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D166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8"/>
        </w:rPr>
        <w:t>Supplementary Material</w:t>
      </w:r>
    </w:p>
    <w:p w14:paraId="3F410D92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Subcutaneous Perianal Nerve Division versus Intradermal Methylene Blue Injection for Refractory Idiopathic Pruritus Ani: A Retrospective Two-Arm Comparative Study.</w:t>
      </w:r>
    </w:p>
    <w:p w14:paraId="3DB279DF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eMethods 1. Propensity-score model and weight construction</w:t>
      </w:r>
    </w:p>
    <w:p w14:paraId="02FA4611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The propensity score (PS) was estimated by a logistic regression of treatment assignment (SPND vs MBI) on the prespecified covariate set: age, sex, body mass index, symptom duration, baseline itch VAS/NRS, sleep disturbance, lichenification, and the number of failed conservative therapies. Estimated PSs were truncated at [0.02, 0.98] before weight construction to limit the influence of extreme weights. Stabilized inverse probability of treatment weights (IPTW) were then computed as Pr(Z = z) / Pr(Z = z | X), where Z is treatment assignment and X is the covariate vector. The weight construction is consistent with the method described by Austin and Stuart (2015).</w:t>
      </w:r>
    </w:p>
    <w:p w14:paraId="565EBCC9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eMethods 2. Component-wise sensitivity analysis of the composite primary endpoint</w:t>
      </w:r>
    </w:p>
    <w:p w14:paraId="0B7D5739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The primary endpoint is a composite (12-month VAS/NRS ≤ 1 OR ≥ 75% reduction from baseline). Because the SPND arm started from a higher baseline VAS/NRS, the percentage-reduction component is more readily attainable in this arm. To examine whether either component drives the primary comparison, the two components were analyzed separately, each as a binary endpoint, in crude and IPTW logistic regressions. Results are in eTable 2.</w:t>
      </w:r>
    </w:p>
    <w:p w14:paraId="6287D4E9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eMethods 3. Multiple imputation (MI) sensitivity</w:t>
      </w:r>
    </w:p>
    <w:p w14:paraId="0FFFD91F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Two MI sensitivity analyses were performed. (a) MI for missing 12-month outcomes (n = 7 records lost to follow-up before 12 months): imputations were drawn from a logistic model fit on completers using treatment plus the prespecified covariate set; M = 20 imputations were combined by Rubin's rules. Three deterministic tipping-point analyses were also performed (all SPND-LTFU non-responders; all MBI-LTFU non-responders; all LTFU non-responders). (b) MI for missing recurrence dates among recurrent records (n = 6): missing recurrence times were imputed from a Weibull distribution fit on the observed (uncensored) recurrence times, drawn within the individual's recorded follow-up window; an exploratory Cox model was refit on each imputed dataset and pooled by Rubin's rules. Results are in eTables 5 and 6.</w:t>
      </w:r>
    </w:p>
    <w:p w14:paraId="65393202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eMethods 4. E-value</w:t>
      </w:r>
    </w:p>
    <w:p w14:paraId="5E4055F5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E-values were computed for the IPTW-adjusted point estimate and for the limit of the 95% CI closer to the null, following the formulation of VanderWeele and Ding (2017). Because the primary outcome is non-rare, the OR was first converted to an approximate risk ratio using the approximation RR ≈ OR / [1 − p₀ + p₀·OR], where p₀ is the response proportion in the comparator (MBI) arm. The E-value is then computed from the resulting RR by E = RR + sqrt(RR · (RR − 1)).</w:t>
      </w:r>
    </w:p>
    <w:p w14:paraId="652E9309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eTable 1. Standardized mean differences before and after IPTW</w:t>
      </w:r>
    </w:p>
    <w:tbl>
      <w:tblPr>
        <w:tblStyle w:val="-10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4209B" w:rsidRPr="00BA6058" w14:paraId="26BBC187" w14:textId="77777777" w:rsidTr="00C3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6CBA3D9" w14:textId="77777777" w:rsidR="00F4209B" w:rsidRPr="00BA60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Covariate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D59A509" w14:textId="77777777" w:rsidR="00F4209B" w:rsidRPr="00BA605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Pre-weighting |SMD|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31CFEA5" w14:textId="77777777" w:rsidR="00F4209B" w:rsidRPr="00BA605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Post-weighting |SMD|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A61D882" w14:textId="77777777" w:rsidR="00F4209B" w:rsidRPr="00BA605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Comment</w:t>
            </w:r>
          </w:p>
        </w:tc>
      </w:tr>
      <w:tr w:rsidR="00F4209B" w:rsidRPr="00BA6058" w14:paraId="48DB0A27" w14:textId="77777777" w:rsidTr="00C3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8" w:space="0" w:color="auto"/>
              <w:left w:val="none" w:sz="0" w:space="0" w:color="auto"/>
              <w:bottom w:val="none" w:sz="0" w:space="0" w:color="auto"/>
            </w:tcBorders>
          </w:tcPr>
          <w:p w14:paraId="0BFC2AC4" w14:textId="77777777" w:rsidR="00F4209B" w:rsidRPr="00BA60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1250" w:type="pct"/>
            <w:tcBorders>
              <w:top w:val="single" w:sz="8" w:space="0" w:color="auto"/>
              <w:bottom w:val="none" w:sz="0" w:space="0" w:color="auto"/>
            </w:tcBorders>
          </w:tcPr>
          <w:p w14:paraId="6401690F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0.270</w:t>
            </w:r>
          </w:p>
        </w:tc>
        <w:tc>
          <w:tcPr>
            <w:tcW w:w="1250" w:type="pct"/>
            <w:tcBorders>
              <w:top w:val="single" w:sz="8" w:space="0" w:color="auto"/>
              <w:bottom w:val="none" w:sz="0" w:space="0" w:color="auto"/>
            </w:tcBorders>
          </w:tcPr>
          <w:p w14:paraId="252845B5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0.039</w:t>
            </w:r>
          </w:p>
        </w:tc>
        <w:tc>
          <w:tcPr>
            <w:tcW w:w="1250" w:type="pct"/>
            <w:tcBorders>
              <w:top w:val="single" w:sz="8" w:space="0" w:color="auto"/>
              <w:bottom w:val="none" w:sz="0" w:space="0" w:color="auto"/>
              <w:right w:val="none" w:sz="0" w:space="0" w:color="auto"/>
            </w:tcBorders>
          </w:tcPr>
          <w:p w14:paraId="150701C1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Balanced</w:t>
            </w:r>
          </w:p>
        </w:tc>
      </w:tr>
      <w:tr w:rsidR="00F4209B" w:rsidRPr="00BA6058" w14:paraId="5785FEDD" w14:textId="77777777" w:rsidTr="00C3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621471F" w14:textId="77777777" w:rsidR="00F4209B" w:rsidRPr="00BA60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Male sex</w:t>
            </w:r>
          </w:p>
        </w:tc>
        <w:tc>
          <w:tcPr>
            <w:tcW w:w="1250" w:type="pct"/>
          </w:tcPr>
          <w:p w14:paraId="15B238A5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0.030</w:t>
            </w:r>
          </w:p>
        </w:tc>
        <w:tc>
          <w:tcPr>
            <w:tcW w:w="1250" w:type="pct"/>
          </w:tcPr>
          <w:p w14:paraId="7133D73F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0.031</w:t>
            </w:r>
          </w:p>
        </w:tc>
        <w:tc>
          <w:tcPr>
            <w:tcW w:w="1250" w:type="pct"/>
          </w:tcPr>
          <w:p w14:paraId="6CD58CC3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Balanced</w:t>
            </w:r>
          </w:p>
        </w:tc>
      </w:tr>
      <w:tr w:rsidR="00F4209B" w:rsidRPr="00BA6058" w14:paraId="44D1DF1F" w14:textId="77777777" w:rsidTr="00C3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A8F3F06" w14:textId="77777777" w:rsidR="00F4209B" w:rsidRPr="00BA60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lastRenderedPageBreak/>
              <w:t>Body mass index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7471A1BE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0.387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4656EAB0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0.190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7634BD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Substantially improved</w:t>
            </w:r>
          </w:p>
        </w:tc>
      </w:tr>
      <w:tr w:rsidR="00F4209B" w:rsidRPr="00BA6058" w14:paraId="2FB50029" w14:textId="77777777" w:rsidTr="00C3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2698566" w14:textId="77777777" w:rsidR="00F4209B" w:rsidRPr="00BA60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Symptom duration (mo)</w:t>
            </w:r>
          </w:p>
        </w:tc>
        <w:tc>
          <w:tcPr>
            <w:tcW w:w="1250" w:type="pct"/>
          </w:tcPr>
          <w:p w14:paraId="652F6B6D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0.768</w:t>
            </w:r>
          </w:p>
        </w:tc>
        <w:tc>
          <w:tcPr>
            <w:tcW w:w="1250" w:type="pct"/>
          </w:tcPr>
          <w:p w14:paraId="6739187A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0.289</w:t>
            </w:r>
          </w:p>
        </w:tc>
        <w:tc>
          <w:tcPr>
            <w:tcW w:w="1250" w:type="pct"/>
          </w:tcPr>
          <w:p w14:paraId="146CDF08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Substantially improved</w:t>
            </w:r>
          </w:p>
        </w:tc>
      </w:tr>
      <w:tr w:rsidR="00F4209B" w:rsidRPr="00BA6058" w14:paraId="5F47705D" w14:textId="77777777" w:rsidTr="00C3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D3FEF5" w14:textId="77777777" w:rsidR="00F4209B" w:rsidRPr="00BA60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Baseline itch VAS/NRS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58E8E394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0.839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796F9827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0.174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2D05E1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Substantially improved</w:t>
            </w:r>
          </w:p>
        </w:tc>
      </w:tr>
      <w:tr w:rsidR="00F4209B" w:rsidRPr="00BA6058" w14:paraId="1CEEFECF" w14:textId="77777777" w:rsidTr="00C3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2AE81A4" w14:textId="77777777" w:rsidR="00F4209B" w:rsidRPr="00BA60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Sleep disturbance</w:t>
            </w:r>
          </w:p>
        </w:tc>
        <w:tc>
          <w:tcPr>
            <w:tcW w:w="1250" w:type="pct"/>
          </w:tcPr>
          <w:p w14:paraId="0BB052F6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0.550</w:t>
            </w:r>
          </w:p>
        </w:tc>
        <w:tc>
          <w:tcPr>
            <w:tcW w:w="1250" w:type="pct"/>
          </w:tcPr>
          <w:p w14:paraId="066B6DCE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0.016</w:t>
            </w:r>
          </w:p>
        </w:tc>
        <w:tc>
          <w:tcPr>
            <w:tcW w:w="1250" w:type="pct"/>
          </w:tcPr>
          <w:p w14:paraId="6260216B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Balanced</w:t>
            </w:r>
          </w:p>
        </w:tc>
      </w:tr>
      <w:tr w:rsidR="00F4209B" w:rsidRPr="00BA6058" w14:paraId="34452EAC" w14:textId="77777777" w:rsidTr="00C3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B2051F" w14:textId="77777777" w:rsidR="00F4209B" w:rsidRPr="00BA60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Lichenification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237B3966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0.471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4955CE4D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0.144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D84E6A" w14:textId="77777777" w:rsidR="00F4209B" w:rsidRPr="00BA605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Substantially improved</w:t>
            </w:r>
          </w:p>
        </w:tc>
      </w:tr>
      <w:tr w:rsidR="00F4209B" w:rsidRPr="00BA6058" w14:paraId="79E4EF66" w14:textId="77777777" w:rsidTr="00C3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D1C4131" w14:textId="77777777" w:rsidR="00F4209B" w:rsidRPr="00BA60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Failed conservative therapies (No.)</w:t>
            </w:r>
          </w:p>
        </w:tc>
        <w:tc>
          <w:tcPr>
            <w:tcW w:w="1250" w:type="pct"/>
          </w:tcPr>
          <w:p w14:paraId="1FFDE44C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0.573</w:t>
            </w:r>
          </w:p>
        </w:tc>
        <w:tc>
          <w:tcPr>
            <w:tcW w:w="1250" w:type="pct"/>
          </w:tcPr>
          <w:p w14:paraId="6A2BF5DF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0.356</w:t>
            </w:r>
          </w:p>
        </w:tc>
        <w:tc>
          <w:tcPr>
            <w:tcW w:w="1250" w:type="pct"/>
          </w:tcPr>
          <w:p w14:paraId="33846A0B" w14:textId="77777777" w:rsidR="00F4209B" w:rsidRPr="00BA605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A6058">
              <w:rPr>
                <w:rFonts w:ascii="Times New Roman" w:hAnsi="Times New Roman" w:cs="Times New Roman"/>
                <w:color w:val="000000" w:themeColor="text1"/>
              </w:rPr>
              <w:t>Improved but residual imbalance</w:t>
            </w:r>
          </w:p>
        </w:tc>
      </w:tr>
    </w:tbl>
    <w:p w14:paraId="5EC1203A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Notes: |SMD| &lt; 0.10 is the conventional threshold for adequate balance. After IPTW, 5 of 8 covariates fell below 0.10. Two covariates (failed conservative therapies, |SMD| ≈ 0.36; symptom duration, |SMD| ≈ 0.29) retained residual imbalance after weighting; this residual imbalance is acknowledged as a limitation in the main text and contributes to the interpretation that residual confounding cannot be excluded.</w:t>
      </w:r>
    </w:p>
    <w:p w14:paraId="31FE3ACC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eFigure 1. Love plot of covariate balance before and after IPTW</w:t>
      </w:r>
    </w:p>
    <w:p w14:paraId="012262E7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noProof/>
        </w:rPr>
        <w:drawing>
          <wp:inline distT="0" distB="0" distL="0" distR="0" wp14:anchorId="742A1024" wp14:editId="0CBA3C67">
            <wp:extent cx="5486400" cy="41973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igure1_LovePlot_SM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8F3A3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Absolute standardized mean differences (SMDs) for each prespecified covariate, before (blue circles) and after (red triangles) IPTW. Vertical reference lines at |SMD| = 0.10 (dotted black) and |SMD| = 0.25 (dotted grey).</w:t>
      </w:r>
    </w:p>
    <w:p w14:paraId="66E78523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eFigure 2. Distribution of stabilized weights and effective sample size</w:t>
      </w:r>
    </w:p>
    <w:p w14:paraId="5AEB7BA6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FABF08A" wp14:editId="6237D604">
            <wp:extent cx="5943600" cy="23041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igure2_WeightDistribution_ES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6F11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(A) Distribution of stabilized inverse probability of treatment weights, by arm. Min = 0.429, median = 0.652, max = 6.193, 99th percentile = 3.648. (B) Effective sample size (ESS) compared with unweighted N. Total N = 100; ESS = 56.66. ESS_SPND = 17.69 (unweighted n = 42); ESS_MBI = 45.04 (unweighted n = 58). The reduced ESS in the SPND arm reflects the cost of reweighting under treatment-selection imbalance and is acknowledged as a constraint on the precision of the IPTW-adjusted estimate.</w:t>
      </w:r>
    </w:p>
    <w:p w14:paraId="13F897E6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eTable 2. Component-wise sensitivity analysis of the composite primary endpoint</w:t>
      </w:r>
    </w:p>
    <w:tbl>
      <w:tblPr>
        <w:tblStyle w:val="-10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4209B" w:rsidRPr="00C3244B" w14:paraId="1791BD4E" w14:textId="77777777" w:rsidTr="00C3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2E8194A" w14:textId="77777777" w:rsidR="00F4209B" w:rsidRPr="00C3244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Endpoint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D1EF157" w14:textId="77777777" w:rsidR="00F4209B" w:rsidRPr="00C3244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SPND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71D7F0F" w14:textId="77777777" w:rsidR="00F4209B" w:rsidRPr="00C3244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MBI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1A01DDF" w14:textId="77777777" w:rsidR="00F4209B" w:rsidRPr="00C3244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Fisher P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6A6A910" w14:textId="77777777" w:rsidR="00F4209B" w:rsidRPr="00C3244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Crude OR (95% CI)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2B0955F" w14:textId="77777777" w:rsidR="00F4209B" w:rsidRPr="00C3244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IPTW OR (95% CI)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B5F06B9" w14:textId="77777777" w:rsidR="00F4209B" w:rsidRPr="00C3244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Note</w:t>
            </w:r>
          </w:p>
        </w:tc>
      </w:tr>
      <w:tr w:rsidR="00F4209B" w:rsidRPr="00C3244B" w14:paraId="7CB1345C" w14:textId="77777777" w:rsidTr="00C3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8" w:space="0" w:color="auto"/>
              <w:left w:val="none" w:sz="0" w:space="0" w:color="auto"/>
              <w:bottom w:val="none" w:sz="0" w:space="0" w:color="auto"/>
            </w:tcBorders>
          </w:tcPr>
          <w:p w14:paraId="4D181880" w14:textId="77777777" w:rsidR="00F4209B" w:rsidRPr="00C3244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VAS/NRS ≤ 1 alone</w:t>
            </w:r>
          </w:p>
        </w:tc>
        <w:tc>
          <w:tcPr>
            <w:tcW w:w="714" w:type="pct"/>
            <w:tcBorders>
              <w:top w:val="single" w:sz="8" w:space="0" w:color="auto"/>
              <w:bottom w:val="none" w:sz="0" w:space="0" w:color="auto"/>
            </w:tcBorders>
          </w:tcPr>
          <w:p w14:paraId="3070C510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22/39 (56.4%)</w:t>
            </w:r>
          </w:p>
        </w:tc>
        <w:tc>
          <w:tcPr>
            <w:tcW w:w="714" w:type="pct"/>
            <w:tcBorders>
              <w:top w:val="single" w:sz="8" w:space="0" w:color="auto"/>
              <w:bottom w:val="none" w:sz="0" w:space="0" w:color="auto"/>
            </w:tcBorders>
          </w:tcPr>
          <w:p w14:paraId="7144B321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28/54 (51.9%)</w:t>
            </w:r>
          </w:p>
        </w:tc>
        <w:tc>
          <w:tcPr>
            <w:tcW w:w="714" w:type="pct"/>
            <w:tcBorders>
              <w:top w:val="single" w:sz="8" w:space="0" w:color="auto"/>
              <w:bottom w:val="none" w:sz="0" w:space="0" w:color="auto"/>
            </w:tcBorders>
          </w:tcPr>
          <w:p w14:paraId="7398DB4B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0.68</w:t>
            </w:r>
          </w:p>
        </w:tc>
        <w:tc>
          <w:tcPr>
            <w:tcW w:w="714" w:type="pct"/>
            <w:tcBorders>
              <w:top w:val="single" w:sz="8" w:space="0" w:color="auto"/>
              <w:bottom w:val="none" w:sz="0" w:space="0" w:color="auto"/>
            </w:tcBorders>
          </w:tcPr>
          <w:p w14:paraId="4A21B213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1.2 (0.53–2.75)</w:t>
            </w:r>
          </w:p>
        </w:tc>
        <w:tc>
          <w:tcPr>
            <w:tcW w:w="714" w:type="pct"/>
            <w:tcBorders>
              <w:top w:val="single" w:sz="8" w:space="0" w:color="auto"/>
              <w:bottom w:val="none" w:sz="0" w:space="0" w:color="auto"/>
            </w:tcBorders>
          </w:tcPr>
          <w:p w14:paraId="09B9570D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1.34 (0.55–3.25)</w:t>
            </w:r>
          </w:p>
        </w:tc>
        <w:tc>
          <w:tcPr>
            <w:tcW w:w="714" w:type="pct"/>
            <w:tcBorders>
              <w:top w:val="single" w:sz="8" w:space="0" w:color="auto"/>
              <w:bottom w:val="none" w:sz="0" w:space="0" w:color="auto"/>
              <w:right w:val="none" w:sz="0" w:space="0" w:color="auto"/>
            </w:tcBorders>
          </w:tcPr>
          <w:p w14:paraId="264D4087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Stricter component</w:t>
            </w:r>
          </w:p>
        </w:tc>
      </w:tr>
      <w:tr w:rsidR="00F4209B" w:rsidRPr="00C3244B" w14:paraId="0C44424E" w14:textId="77777777" w:rsidTr="00C3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3532ABE7" w14:textId="77777777" w:rsidR="00F4209B" w:rsidRPr="00C3244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≥ 75% reduction from baseline alone</w:t>
            </w:r>
          </w:p>
        </w:tc>
        <w:tc>
          <w:tcPr>
            <w:tcW w:w="714" w:type="pct"/>
          </w:tcPr>
          <w:p w14:paraId="73F987C5" w14:textId="77777777" w:rsidR="00F4209B" w:rsidRPr="00C3244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28/39 (71.8%)</w:t>
            </w:r>
          </w:p>
        </w:tc>
        <w:tc>
          <w:tcPr>
            <w:tcW w:w="714" w:type="pct"/>
          </w:tcPr>
          <w:p w14:paraId="46DA7C03" w14:textId="77777777" w:rsidR="00F4209B" w:rsidRPr="00C3244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35/54 (64.8%)</w:t>
            </w:r>
          </w:p>
        </w:tc>
        <w:tc>
          <w:tcPr>
            <w:tcW w:w="714" w:type="pct"/>
          </w:tcPr>
          <w:p w14:paraId="46D46B10" w14:textId="77777777" w:rsidR="00F4209B" w:rsidRPr="00C3244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0.509</w:t>
            </w:r>
          </w:p>
        </w:tc>
        <w:tc>
          <w:tcPr>
            <w:tcW w:w="714" w:type="pct"/>
          </w:tcPr>
          <w:p w14:paraId="5E1C14D6" w14:textId="77777777" w:rsidR="00F4209B" w:rsidRPr="00C3244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1.38 (0.57–3.38)</w:t>
            </w:r>
          </w:p>
        </w:tc>
        <w:tc>
          <w:tcPr>
            <w:tcW w:w="714" w:type="pct"/>
          </w:tcPr>
          <w:p w14:paraId="76582F47" w14:textId="77777777" w:rsidR="00F4209B" w:rsidRPr="00C3244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1.3 (0.52–3.28)</w:t>
            </w:r>
          </w:p>
        </w:tc>
        <w:tc>
          <w:tcPr>
            <w:tcW w:w="714" w:type="pct"/>
          </w:tcPr>
          <w:p w14:paraId="301AB952" w14:textId="77777777" w:rsidR="00F4209B" w:rsidRPr="00C3244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Subsumes the ≤ 1 component in this cohort</w:t>
            </w:r>
          </w:p>
        </w:tc>
      </w:tr>
      <w:tr w:rsidR="00F4209B" w:rsidRPr="00C3244B" w14:paraId="42A3D9ED" w14:textId="77777777" w:rsidTr="00C32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B050B3" w14:textId="77777777" w:rsidR="00F4209B" w:rsidRPr="00C3244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Composite primary endpoint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</w:tcPr>
          <w:p w14:paraId="5414BCDE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28/39 (71.8%)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</w:tcPr>
          <w:p w14:paraId="3A9E6252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35/54 (64.8%)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</w:tcPr>
          <w:p w14:paraId="692EBD2D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0.509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</w:tcPr>
          <w:p w14:paraId="411C5BF0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1.38 (0.57–3.38)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</w:tcPr>
          <w:p w14:paraId="77FFD1F0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1.3 (0.52–3.28)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25D688" w14:textId="77777777" w:rsidR="00F4209B" w:rsidRPr="00C3244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244B">
              <w:rPr>
                <w:rFonts w:ascii="Times New Roman" w:hAnsi="Times New Roman" w:cs="Times New Roman"/>
                <w:color w:val="000000" w:themeColor="text1"/>
              </w:rPr>
              <w:t>Composite = either component met</w:t>
            </w:r>
          </w:p>
        </w:tc>
      </w:tr>
    </w:tbl>
    <w:p w14:paraId="22EC2D9E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Notes: The OR for the VAS/NRS ≤ 1 component (1.20) is closer to the null than the OR for the ≥ 75% reduction component (1.38), consistent with the hypothesis that the percentage-reduction component partly reflects baseline-severity asymmetry. Both components, the composite, and the IPTW-adjusted version of each yield 95% CIs that include the null.</w:t>
      </w:r>
    </w:p>
    <w:p w14:paraId="599EDC0A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eTable 3. E-value for the IPTW-adjusted primary endpoint</w:t>
      </w:r>
    </w:p>
    <w:tbl>
      <w:tblPr>
        <w:tblStyle w:val="-10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5839"/>
      </w:tblGrid>
      <w:tr w:rsidR="00F4209B" w:rsidRPr="006A279B" w14:paraId="2B0CB970" w14:textId="77777777" w:rsidTr="00341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3E6C5D13" w14:textId="77777777" w:rsidR="00F4209B" w:rsidRPr="006A279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IPTW OR (point estimate)</w:t>
            </w:r>
          </w:p>
        </w:tc>
        <w:tc>
          <w:tcPr>
            <w:tcW w:w="3049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E3B7BE4" w14:textId="77777777" w:rsidR="00F4209B" w:rsidRPr="006A279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1.3 (95% CI 0.52–3.28)</w:t>
            </w:r>
          </w:p>
        </w:tc>
      </w:tr>
      <w:tr w:rsidR="00F4209B" w:rsidRPr="006A279B" w14:paraId="31AF758E" w14:textId="77777777" w:rsidTr="0034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8" w:space="0" w:color="auto"/>
              <w:left w:val="none" w:sz="0" w:space="0" w:color="auto"/>
              <w:bottom w:val="none" w:sz="0" w:space="0" w:color="auto"/>
            </w:tcBorders>
          </w:tcPr>
          <w:p w14:paraId="2232CED6" w14:textId="77777777" w:rsidR="00F4209B" w:rsidRPr="006A279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p₀ (response proportion in MBI arm)</w:t>
            </w:r>
          </w:p>
        </w:tc>
        <w:tc>
          <w:tcPr>
            <w:tcW w:w="3049" w:type="pct"/>
            <w:tcBorders>
              <w:top w:val="single" w:sz="8" w:space="0" w:color="auto"/>
              <w:bottom w:val="none" w:sz="0" w:space="0" w:color="auto"/>
              <w:right w:val="none" w:sz="0" w:space="0" w:color="auto"/>
            </w:tcBorders>
          </w:tcPr>
          <w:p w14:paraId="1235B6B8" w14:textId="77777777" w:rsidR="00F4209B" w:rsidRPr="006A279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0.648</w:t>
            </w:r>
          </w:p>
        </w:tc>
      </w:tr>
      <w:tr w:rsidR="00F4209B" w:rsidRPr="006A279B" w14:paraId="53204FD6" w14:textId="77777777" w:rsidTr="00341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</w:tcPr>
          <w:p w14:paraId="333D91B8" w14:textId="77777777" w:rsidR="00F4209B" w:rsidRPr="006A279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Approximate RR (point)</w:t>
            </w:r>
          </w:p>
        </w:tc>
        <w:tc>
          <w:tcPr>
            <w:tcW w:w="3049" w:type="pct"/>
          </w:tcPr>
          <w:p w14:paraId="5C0BFE1C" w14:textId="77777777" w:rsidR="00F4209B" w:rsidRPr="006A279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1.089</w:t>
            </w:r>
          </w:p>
        </w:tc>
      </w:tr>
      <w:tr w:rsidR="00F4209B" w:rsidRPr="006A279B" w14:paraId="12B517C8" w14:textId="77777777" w:rsidTr="0034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9A3B284" w14:textId="77777777" w:rsidR="00F4209B" w:rsidRPr="006A279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Approximate RR (95% CI)</w:t>
            </w:r>
          </w:p>
        </w:tc>
        <w:tc>
          <w:tcPr>
            <w:tcW w:w="304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8042967" w14:textId="77777777" w:rsidR="00F4209B" w:rsidRPr="006A279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0.754–1.324</w:t>
            </w:r>
          </w:p>
        </w:tc>
      </w:tr>
      <w:tr w:rsidR="00F4209B" w:rsidRPr="006A279B" w14:paraId="1AD2B610" w14:textId="77777777" w:rsidTr="00341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</w:tcPr>
          <w:p w14:paraId="485E1272" w14:textId="77777777" w:rsidR="00F4209B" w:rsidRPr="006A279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E-value (point estimate)</w:t>
            </w:r>
          </w:p>
        </w:tc>
        <w:tc>
          <w:tcPr>
            <w:tcW w:w="3049" w:type="pct"/>
          </w:tcPr>
          <w:p w14:paraId="5BF6817E" w14:textId="77777777" w:rsidR="00F4209B" w:rsidRPr="006A279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1.4</w:t>
            </w:r>
          </w:p>
        </w:tc>
      </w:tr>
      <w:tr w:rsidR="00F4209B" w:rsidRPr="006A279B" w14:paraId="1912FE5B" w14:textId="77777777" w:rsidTr="0034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9F3DE2" w14:textId="77777777" w:rsidR="00F4209B" w:rsidRPr="006A279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E-value (CI bound closer to null)</w:t>
            </w:r>
          </w:p>
        </w:tc>
        <w:tc>
          <w:tcPr>
            <w:tcW w:w="304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15D82D" w14:textId="77777777" w:rsidR="00F4209B" w:rsidRPr="006A279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F4209B" w:rsidRPr="006A279B" w14:paraId="3ECF7C48" w14:textId="77777777" w:rsidTr="00341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</w:tcPr>
          <w:p w14:paraId="08B4B1E5" w14:textId="77777777" w:rsidR="00F4209B" w:rsidRPr="006A279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lastRenderedPageBreak/>
              <w:t>CI includes the null?</w:t>
            </w:r>
          </w:p>
        </w:tc>
        <w:tc>
          <w:tcPr>
            <w:tcW w:w="3049" w:type="pct"/>
          </w:tcPr>
          <w:p w14:paraId="17194096" w14:textId="77777777" w:rsidR="00F4209B" w:rsidRPr="006A279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F4209B" w:rsidRPr="006A279B" w14:paraId="577BF82C" w14:textId="77777777" w:rsidTr="0034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DF9C11" w14:textId="77777777" w:rsidR="00F4209B" w:rsidRPr="006A279B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Interpretation</w:t>
            </w:r>
          </w:p>
        </w:tc>
        <w:tc>
          <w:tcPr>
            <w:tcW w:w="304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72FDB5" w14:textId="77777777" w:rsidR="00F4209B" w:rsidRPr="006A279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A279B">
              <w:rPr>
                <w:rFonts w:ascii="Times New Roman" w:hAnsi="Times New Roman" w:cs="Times New Roman"/>
                <w:color w:val="000000" w:themeColor="text1"/>
              </w:rPr>
              <w:t>An unmeasured confounder associated with both treatment assignment and the outcome by a risk ratio of at least 1.4-fold each, above and beyond the measured covariates, could explain away the observed point estimate. Because the 95% CI crossed the null, the data are already compatible with the absence of an effect, and the E-value for the CI is 1.</w:t>
            </w:r>
          </w:p>
        </w:tc>
      </w:tr>
    </w:tbl>
    <w:p w14:paraId="49EC8DB8" w14:textId="77777777" w:rsidR="00F4209B" w:rsidRPr="008B4D4E" w:rsidRDefault="00000000">
      <w:pPr>
        <w:rPr>
          <w:rFonts w:ascii="Times New Roman" w:hAnsi="Times New Roman" w:cs="Times New Roman"/>
        </w:rPr>
      </w:pPr>
      <w:proofErr w:type="spellStart"/>
      <w:r w:rsidRPr="008B4D4E">
        <w:rPr>
          <w:rFonts w:ascii="Times New Roman" w:hAnsi="Times New Roman" w:cs="Times New Roman"/>
          <w:b/>
          <w:sz w:val="24"/>
        </w:rPr>
        <w:t>eTable</w:t>
      </w:r>
      <w:proofErr w:type="spellEnd"/>
      <w:r w:rsidRPr="008B4D4E">
        <w:rPr>
          <w:rFonts w:ascii="Times New Roman" w:hAnsi="Times New Roman" w:cs="Times New Roman"/>
          <w:b/>
          <w:sz w:val="24"/>
        </w:rPr>
        <w:t xml:space="preserve"> 5. Multiple-imputation sensitivity for the IPTW-adjusted primary endpoint</w:t>
      </w:r>
    </w:p>
    <w:tbl>
      <w:tblPr>
        <w:tblStyle w:val="-10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4209B" w:rsidRPr="00FB1BC7" w14:paraId="77BE187A" w14:textId="77777777" w:rsidTr="00341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305AE9A" w14:textId="77777777" w:rsidR="00F4209B" w:rsidRPr="00FB1BC7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Imputation scenario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C080CDB" w14:textId="77777777" w:rsidR="00F4209B" w:rsidRPr="00FB1BC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Pooled OR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3BE20F44" w14:textId="77777777" w:rsidR="00F4209B" w:rsidRPr="00FB1BC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95% CI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A707825" w14:textId="77777777" w:rsidR="00F4209B" w:rsidRPr="00FB1BC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</w:tr>
      <w:tr w:rsidR="00F4209B" w:rsidRPr="00FB1BC7" w14:paraId="597D7FE7" w14:textId="77777777" w:rsidTr="0034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8" w:space="0" w:color="auto"/>
              <w:left w:val="none" w:sz="0" w:space="0" w:color="auto"/>
              <w:bottom w:val="none" w:sz="0" w:space="0" w:color="auto"/>
            </w:tcBorders>
          </w:tcPr>
          <w:p w14:paraId="52BDF5E2" w14:textId="77777777" w:rsidR="00F4209B" w:rsidRPr="00FB1BC7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MAR (logistic-model imputation, M = 20)</w:t>
            </w:r>
          </w:p>
        </w:tc>
        <w:tc>
          <w:tcPr>
            <w:tcW w:w="1250" w:type="pct"/>
            <w:tcBorders>
              <w:top w:val="single" w:sz="8" w:space="0" w:color="auto"/>
              <w:bottom w:val="none" w:sz="0" w:space="0" w:color="auto"/>
            </w:tcBorders>
          </w:tcPr>
          <w:p w14:paraId="5C8EB8CA" w14:textId="77777777" w:rsidR="00F4209B" w:rsidRPr="00FB1BC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1.25</w:t>
            </w:r>
          </w:p>
        </w:tc>
        <w:tc>
          <w:tcPr>
            <w:tcW w:w="1250" w:type="pct"/>
            <w:tcBorders>
              <w:top w:val="single" w:sz="8" w:space="0" w:color="auto"/>
              <w:bottom w:val="none" w:sz="0" w:space="0" w:color="auto"/>
            </w:tcBorders>
          </w:tcPr>
          <w:p w14:paraId="6A54077B" w14:textId="77777777" w:rsidR="00F4209B" w:rsidRPr="00FB1BC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0.505–3.093</w:t>
            </w:r>
          </w:p>
        </w:tc>
        <w:tc>
          <w:tcPr>
            <w:tcW w:w="1250" w:type="pct"/>
            <w:tcBorders>
              <w:top w:val="single" w:sz="8" w:space="0" w:color="auto"/>
              <w:bottom w:val="none" w:sz="0" w:space="0" w:color="auto"/>
              <w:right w:val="none" w:sz="0" w:space="0" w:color="auto"/>
            </w:tcBorders>
          </w:tcPr>
          <w:p w14:paraId="34AFDB51" w14:textId="77777777" w:rsidR="00F4209B" w:rsidRPr="00FB1BC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F4209B" w:rsidRPr="00FB1BC7" w14:paraId="59E7A065" w14:textId="77777777" w:rsidTr="00341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EA093B7" w14:textId="77777777" w:rsidR="00F4209B" w:rsidRPr="00FB1BC7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Tipping-point: all SPND-LTFU = non-responders</w:t>
            </w:r>
          </w:p>
        </w:tc>
        <w:tc>
          <w:tcPr>
            <w:tcW w:w="1250" w:type="pct"/>
          </w:tcPr>
          <w:p w14:paraId="314FA24E" w14:textId="77777777" w:rsidR="00F4209B" w:rsidRPr="00FB1BC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1.046</w:t>
            </w:r>
          </w:p>
        </w:tc>
        <w:tc>
          <w:tcPr>
            <w:tcW w:w="1250" w:type="pct"/>
          </w:tcPr>
          <w:p w14:paraId="57126779" w14:textId="77777777" w:rsidR="00F4209B" w:rsidRPr="00FB1BC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0.428–2.555</w:t>
            </w:r>
          </w:p>
        </w:tc>
        <w:tc>
          <w:tcPr>
            <w:tcW w:w="1250" w:type="pct"/>
          </w:tcPr>
          <w:p w14:paraId="78185E53" w14:textId="77777777" w:rsidR="00F4209B" w:rsidRPr="00FB1BC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F4209B" w:rsidRPr="00FB1BC7" w14:paraId="642ED815" w14:textId="77777777" w:rsidTr="0034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01217A" w14:textId="77777777" w:rsidR="00F4209B" w:rsidRPr="00FB1BC7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Tipping-point: all MBI-LTFU = non-responders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146E168C" w14:textId="77777777" w:rsidR="00F4209B" w:rsidRPr="00FB1BC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1.663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5E63A870" w14:textId="77777777" w:rsidR="00F4209B" w:rsidRPr="00FB1BC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0.681–4.061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041B7A4" w14:textId="77777777" w:rsidR="00F4209B" w:rsidRPr="00FB1BC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F4209B" w:rsidRPr="00FB1BC7" w14:paraId="7A632459" w14:textId="77777777" w:rsidTr="00341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4247EBC" w14:textId="77777777" w:rsidR="00F4209B" w:rsidRPr="00FB1BC7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Tipping-point: all LTFU = non-responders</w:t>
            </w:r>
          </w:p>
        </w:tc>
        <w:tc>
          <w:tcPr>
            <w:tcW w:w="1250" w:type="pct"/>
          </w:tcPr>
          <w:p w14:paraId="371EDBB9" w14:textId="77777777" w:rsidR="00F4209B" w:rsidRPr="00FB1BC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1.422</w:t>
            </w:r>
          </w:p>
        </w:tc>
        <w:tc>
          <w:tcPr>
            <w:tcW w:w="1250" w:type="pct"/>
          </w:tcPr>
          <w:p w14:paraId="35E01190" w14:textId="77777777" w:rsidR="00F4209B" w:rsidRPr="00FB1BC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0.594–3.404</w:t>
            </w:r>
          </w:p>
        </w:tc>
        <w:tc>
          <w:tcPr>
            <w:tcW w:w="1250" w:type="pct"/>
          </w:tcPr>
          <w:p w14:paraId="700E947B" w14:textId="77777777" w:rsidR="00F4209B" w:rsidRPr="00FB1BC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1BC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</w:tbl>
    <w:p w14:paraId="4876594D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Notes: For comparison, the complete-case IPTW OR (n = 93) was 1.30 (95% CI, 0.52–3.28). All MI scenarios produced 95% CIs that include the null, indicating that the negative primary-endpoint finding is robust to plausible missing-data assumptions.</w:t>
      </w:r>
    </w:p>
    <w:p w14:paraId="7F4CB942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eTable 6. Multiple-imputation sensitivity for the exploratory Cox HR</w:t>
      </w:r>
    </w:p>
    <w:tbl>
      <w:tblPr>
        <w:tblStyle w:val="-10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F4209B" w:rsidRPr="003417CC" w14:paraId="2EE15F02" w14:textId="77777777" w:rsidTr="00341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3D6C1475" w14:textId="77777777" w:rsidR="00F4209B" w:rsidRPr="003417C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Analysis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7659B387" w14:textId="77777777" w:rsidR="00F4209B" w:rsidRPr="003417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HR (SPND vs MBI)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A4938E1" w14:textId="77777777" w:rsidR="00F4209B" w:rsidRPr="003417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95% CI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617ECBA" w14:textId="77777777" w:rsidR="00F4209B" w:rsidRPr="003417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n events</w:t>
            </w:r>
          </w:p>
        </w:tc>
      </w:tr>
      <w:tr w:rsidR="00F4209B" w:rsidRPr="003417CC" w14:paraId="3D3F7E0F" w14:textId="77777777" w:rsidTr="0034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8" w:space="0" w:color="auto"/>
              <w:left w:val="none" w:sz="0" w:space="0" w:color="auto"/>
              <w:bottom w:val="none" w:sz="0" w:space="0" w:color="auto"/>
            </w:tcBorders>
          </w:tcPr>
          <w:p w14:paraId="1706957D" w14:textId="77777777" w:rsidR="00F4209B" w:rsidRPr="003417C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Complete-case Cox (n = 87, events = 13)</w:t>
            </w:r>
          </w:p>
        </w:tc>
        <w:tc>
          <w:tcPr>
            <w:tcW w:w="2340" w:type="dxa"/>
            <w:tcBorders>
              <w:top w:val="single" w:sz="8" w:space="0" w:color="auto"/>
              <w:bottom w:val="none" w:sz="0" w:space="0" w:color="auto"/>
            </w:tcBorders>
          </w:tcPr>
          <w:p w14:paraId="72A19401" w14:textId="77777777" w:rsidR="00F4209B" w:rsidRPr="003417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0.375</w:t>
            </w:r>
          </w:p>
        </w:tc>
        <w:tc>
          <w:tcPr>
            <w:tcW w:w="2340" w:type="dxa"/>
            <w:tcBorders>
              <w:top w:val="single" w:sz="8" w:space="0" w:color="auto"/>
              <w:bottom w:val="none" w:sz="0" w:space="0" w:color="auto"/>
            </w:tcBorders>
          </w:tcPr>
          <w:p w14:paraId="3BB7E206" w14:textId="77777777" w:rsidR="00F4209B" w:rsidRPr="003417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0.103–1.365</w:t>
            </w:r>
          </w:p>
        </w:tc>
        <w:tc>
          <w:tcPr>
            <w:tcW w:w="2340" w:type="dxa"/>
            <w:tcBorders>
              <w:top w:val="single" w:sz="8" w:space="0" w:color="auto"/>
              <w:bottom w:val="none" w:sz="0" w:space="0" w:color="auto"/>
              <w:right w:val="none" w:sz="0" w:space="0" w:color="auto"/>
            </w:tcBorders>
          </w:tcPr>
          <w:p w14:paraId="1866DD2B" w14:textId="77777777" w:rsidR="00F4209B" w:rsidRPr="003417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F4209B" w:rsidRPr="003417CC" w14:paraId="1102E939" w14:textId="77777777" w:rsidTr="00341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7D3CB35" w14:textId="77777777" w:rsidR="00F4209B" w:rsidRPr="003417C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MI for missing recurrence dates (M = 20)</w:t>
            </w:r>
          </w:p>
        </w:tc>
        <w:tc>
          <w:tcPr>
            <w:tcW w:w="2340" w:type="dxa"/>
          </w:tcPr>
          <w:p w14:paraId="23278E37" w14:textId="77777777" w:rsidR="00F4209B" w:rsidRPr="003417C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0.58</w:t>
            </w:r>
          </w:p>
        </w:tc>
        <w:tc>
          <w:tcPr>
            <w:tcW w:w="2340" w:type="dxa"/>
          </w:tcPr>
          <w:p w14:paraId="3F87A547" w14:textId="77777777" w:rsidR="00F4209B" w:rsidRPr="003417C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0.22–1.53</w:t>
            </w:r>
          </w:p>
        </w:tc>
        <w:tc>
          <w:tcPr>
            <w:tcW w:w="2340" w:type="dxa"/>
          </w:tcPr>
          <w:p w14:paraId="51DC71B4" w14:textId="77777777" w:rsidR="00F4209B" w:rsidRPr="003417C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417CC">
              <w:rPr>
                <w:rFonts w:ascii="Times New Roman" w:hAnsi="Times New Roman" w:cs="Times New Roman"/>
                <w:color w:val="000000" w:themeColor="text1"/>
              </w:rPr>
              <w:t>13 observed + 6 imputed = 19</w:t>
            </w:r>
          </w:p>
        </w:tc>
      </w:tr>
    </w:tbl>
    <w:p w14:paraId="37B9F996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Notes: P value for the complete-case Cox HR was 0.137 (log-rank P = 0.121 in the unadjusted Kaplan–Meier comparison shown in Figure 3 of the main manuscript). After imputation of the 6 missing recurrence dates, the pooled HR moved toward the null (0.58 vs 0.375 complete-case) and the 95% CI continued to include the null. The exploratory time-to-event findings should therefore not be interpreted as evidence of a between-group difference.</w:t>
      </w:r>
    </w:p>
    <w:p w14:paraId="74A8CD13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  <w:b/>
          <w:sz w:val="24"/>
        </w:rPr>
        <w:t>eMethods 5. Software and reproducibility</w:t>
      </w:r>
    </w:p>
    <w:p w14:paraId="0AD04D17" w14:textId="77777777" w:rsidR="00F4209B" w:rsidRPr="008B4D4E" w:rsidRDefault="00000000">
      <w:pPr>
        <w:rPr>
          <w:rFonts w:ascii="Times New Roman" w:hAnsi="Times New Roman" w:cs="Times New Roman"/>
        </w:rPr>
      </w:pPr>
      <w:r w:rsidRPr="008B4D4E">
        <w:rPr>
          <w:rFonts w:ascii="Times New Roman" w:hAnsi="Times New Roman" w:cs="Times New Roman"/>
        </w:rPr>
        <w:t>Analyses were conducted in Python 3 with pandas 2.3, numpy 1.26, statsmodels 0.14, scipy 1.13, lifelines 0.30, and matplotlib 3.9. The full analysis code (run_supplement_analyses.py and run_mi_sensitivity.py) and the de-identified individual-level dataset are deposited in the project repository (see Data Transparency Statement of the main manuscript).</w:t>
      </w:r>
    </w:p>
    <w:sectPr w:rsidR="00F4209B" w:rsidRPr="008B4D4E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384539">
    <w:abstractNumId w:val="8"/>
  </w:num>
  <w:num w:numId="2" w16cid:durableId="2026863573">
    <w:abstractNumId w:val="6"/>
  </w:num>
  <w:num w:numId="3" w16cid:durableId="1274629091">
    <w:abstractNumId w:val="5"/>
  </w:num>
  <w:num w:numId="4" w16cid:durableId="764420468">
    <w:abstractNumId w:val="4"/>
  </w:num>
  <w:num w:numId="5" w16cid:durableId="574509388">
    <w:abstractNumId w:val="7"/>
  </w:num>
  <w:num w:numId="6" w16cid:durableId="308629588">
    <w:abstractNumId w:val="3"/>
  </w:num>
  <w:num w:numId="7" w16cid:durableId="1392312529">
    <w:abstractNumId w:val="2"/>
  </w:num>
  <w:num w:numId="8" w16cid:durableId="569539984">
    <w:abstractNumId w:val="1"/>
  </w:num>
  <w:num w:numId="9" w16cid:durableId="193293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17CC"/>
    <w:rsid w:val="006A279B"/>
    <w:rsid w:val="007413B8"/>
    <w:rsid w:val="008B4D4E"/>
    <w:rsid w:val="00AA1D8D"/>
    <w:rsid w:val="00B47730"/>
    <w:rsid w:val="00BA6058"/>
    <w:rsid w:val="00C3244B"/>
    <w:rsid w:val="00CB0664"/>
    <w:rsid w:val="00F4209B"/>
    <w:rsid w:val="00FB1B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80B06"/>
  <w14:defaultImageDpi w14:val="300"/>
  <w15:docId w15:val="{E7D8A1ED-CBEE-F24C-B353-CEAF4045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zak</cp:lastModifiedBy>
  <cp:revision>7</cp:revision>
  <dcterms:created xsi:type="dcterms:W3CDTF">2013-12-23T23:15:00Z</dcterms:created>
  <dcterms:modified xsi:type="dcterms:W3CDTF">2026-05-05T14:56:00Z</dcterms:modified>
  <cp:category/>
</cp:coreProperties>
</file>