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A4CD" w14:textId="77777777" w:rsidR="00540764" w:rsidRPr="00C13910" w:rsidRDefault="00540764" w:rsidP="00540764">
      <w:pPr>
        <w:rPr>
          <w:rFonts w:asciiTheme="majorHAnsi" w:hAnsiTheme="majorHAnsi"/>
          <w:lang w:val="en-US"/>
        </w:rPr>
      </w:pPr>
    </w:p>
    <w:p w14:paraId="6A142470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  <w:r w:rsidRPr="00C13910">
        <w:rPr>
          <w:rFonts w:asciiTheme="majorHAnsi" w:hAnsiTheme="majorHAnsi" w:cs="Calibri Light"/>
          <w:szCs w:val="24"/>
          <w:lang w:val="en-US"/>
        </w:rPr>
        <w:t>Table 1. Patient characteristics</w:t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1938"/>
        <w:gridCol w:w="2127"/>
        <w:gridCol w:w="2409"/>
      </w:tblGrid>
      <w:tr w:rsidR="00540764" w:rsidRPr="00C13910" w14:paraId="09750233" w14:textId="77777777" w:rsidTr="00BA04BD">
        <w:tc>
          <w:tcPr>
            <w:tcW w:w="3160" w:type="dxa"/>
            <w:tcBorders>
              <w:top w:val="single" w:sz="4" w:space="0" w:color="auto"/>
              <w:bottom w:val="nil"/>
            </w:tcBorders>
          </w:tcPr>
          <w:p w14:paraId="21C6BFF8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Characteristics</w:t>
            </w:r>
          </w:p>
        </w:tc>
        <w:tc>
          <w:tcPr>
            <w:tcW w:w="1938" w:type="dxa"/>
            <w:tcBorders>
              <w:top w:val="single" w:sz="4" w:space="0" w:color="auto"/>
              <w:bottom w:val="nil"/>
            </w:tcBorders>
          </w:tcPr>
          <w:p w14:paraId="60BF5A6B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All patients (n=287) 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7FCA618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 Intermediate-risk (n=59)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227CBDCA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High-risk </w:t>
            </w:r>
          </w:p>
          <w:p w14:paraId="2689A468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(n=228)</w:t>
            </w:r>
          </w:p>
        </w:tc>
      </w:tr>
      <w:tr w:rsidR="00540764" w:rsidRPr="00C13910" w14:paraId="669ECCA6" w14:textId="77777777" w:rsidTr="00BA04BD">
        <w:tc>
          <w:tcPr>
            <w:tcW w:w="3160" w:type="dxa"/>
            <w:tcBorders>
              <w:top w:val="single" w:sz="4" w:space="0" w:color="auto"/>
              <w:bottom w:val="nil"/>
            </w:tcBorders>
          </w:tcPr>
          <w:p w14:paraId="68E21EE3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Age (years)</w:t>
            </w:r>
          </w:p>
          <w:p w14:paraId="45C7EBCB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Mean (range)</w:t>
            </w:r>
          </w:p>
        </w:tc>
        <w:tc>
          <w:tcPr>
            <w:tcW w:w="1938" w:type="dxa"/>
            <w:tcBorders>
              <w:top w:val="single" w:sz="4" w:space="0" w:color="auto"/>
              <w:bottom w:val="nil"/>
            </w:tcBorders>
          </w:tcPr>
          <w:p w14:paraId="21AD91DB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</w:t>
            </w:r>
          </w:p>
          <w:p w14:paraId="1AC14080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72.2 (46–85)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2D41BFC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  <w:p w14:paraId="1E424FD7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70.0 (47–85)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70FDB4E9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  <w:p w14:paraId="50123C4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72.4 (46–85)</w:t>
            </w:r>
          </w:p>
        </w:tc>
      </w:tr>
      <w:tr w:rsidR="00540764" w:rsidRPr="00C13910" w14:paraId="2A07EFF3" w14:textId="77777777" w:rsidTr="00BA04BD">
        <w:tc>
          <w:tcPr>
            <w:tcW w:w="3160" w:type="dxa"/>
            <w:tcBorders>
              <w:top w:val="nil"/>
            </w:tcBorders>
          </w:tcPr>
          <w:p w14:paraId="751DF53C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PSA at diagnosis (ng/mL) </w:t>
            </w:r>
          </w:p>
          <w:p w14:paraId="19560572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Median (range)</w:t>
            </w:r>
          </w:p>
        </w:tc>
        <w:tc>
          <w:tcPr>
            <w:tcW w:w="1938" w:type="dxa"/>
            <w:tcBorders>
              <w:top w:val="nil"/>
            </w:tcBorders>
          </w:tcPr>
          <w:p w14:paraId="141BA9A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  <w:p w14:paraId="0447365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23.7 (1.4–517)</w:t>
            </w:r>
          </w:p>
        </w:tc>
        <w:tc>
          <w:tcPr>
            <w:tcW w:w="2127" w:type="dxa"/>
            <w:tcBorders>
              <w:top w:val="nil"/>
            </w:tcBorders>
          </w:tcPr>
          <w:p w14:paraId="3AFC91EE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  <w:p w14:paraId="067727A3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9.4 (1.7–18)</w:t>
            </w:r>
          </w:p>
        </w:tc>
        <w:tc>
          <w:tcPr>
            <w:tcW w:w="2409" w:type="dxa"/>
            <w:tcBorders>
              <w:top w:val="nil"/>
            </w:tcBorders>
          </w:tcPr>
          <w:p w14:paraId="2438595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  <w:p w14:paraId="20C7BF70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27.5 (1.4–517)</w:t>
            </w:r>
          </w:p>
        </w:tc>
      </w:tr>
      <w:tr w:rsidR="00540764" w:rsidRPr="00C13910" w14:paraId="408EF1EE" w14:textId="77777777" w:rsidTr="00BA04BD">
        <w:tc>
          <w:tcPr>
            <w:tcW w:w="3160" w:type="dxa"/>
          </w:tcPr>
          <w:p w14:paraId="0D8D02F7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color w:val="000000" w:themeColor="text1"/>
                <w:szCs w:val="24"/>
              </w:rPr>
              <w:t>ISUP grade group, n (%)</w:t>
            </w:r>
          </w:p>
        </w:tc>
        <w:tc>
          <w:tcPr>
            <w:tcW w:w="1938" w:type="dxa"/>
          </w:tcPr>
          <w:p w14:paraId="75B76E5B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</w:tc>
        <w:tc>
          <w:tcPr>
            <w:tcW w:w="2127" w:type="dxa"/>
          </w:tcPr>
          <w:p w14:paraId="191194D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</w:tc>
        <w:tc>
          <w:tcPr>
            <w:tcW w:w="2409" w:type="dxa"/>
          </w:tcPr>
          <w:p w14:paraId="5287D8A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</w:tc>
      </w:tr>
      <w:tr w:rsidR="00540764" w:rsidRPr="00C13910" w14:paraId="66909296" w14:textId="77777777" w:rsidTr="00BA04BD">
        <w:tc>
          <w:tcPr>
            <w:tcW w:w="3160" w:type="dxa"/>
          </w:tcPr>
          <w:p w14:paraId="46E415F2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Grade 1</w:t>
            </w:r>
          </w:p>
        </w:tc>
        <w:tc>
          <w:tcPr>
            <w:tcW w:w="1938" w:type="dxa"/>
          </w:tcPr>
          <w:p w14:paraId="372AC0A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 (0.3)</w:t>
            </w:r>
          </w:p>
        </w:tc>
        <w:tc>
          <w:tcPr>
            <w:tcW w:w="2127" w:type="dxa"/>
          </w:tcPr>
          <w:p w14:paraId="7E2CA08C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0 (0)</w:t>
            </w:r>
          </w:p>
        </w:tc>
        <w:tc>
          <w:tcPr>
            <w:tcW w:w="2409" w:type="dxa"/>
          </w:tcPr>
          <w:p w14:paraId="111826AE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 (0.4)</w:t>
            </w:r>
          </w:p>
        </w:tc>
      </w:tr>
      <w:tr w:rsidR="00540764" w:rsidRPr="00C13910" w14:paraId="52D78A90" w14:textId="77777777" w:rsidTr="00BA04BD">
        <w:tc>
          <w:tcPr>
            <w:tcW w:w="3160" w:type="dxa"/>
          </w:tcPr>
          <w:p w14:paraId="5354793B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Grade 2</w:t>
            </w:r>
          </w:p>
        </w:tc>
        <w:tc>
          <w:tcPr>
            <w:tcW w:w="1938" w:type="dxa"/>
          </w:tcPr>
          <w:p w14:paraId="6ABBA61F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34 (11.8)</w:t>
            </w:r>
          </w:p>
        </w:tc>
        <w:tc>
          <w:tcPr>
            <w:tcW w:w="2127" w:type="dxa"/>
          </w:tcPr>
          <w:p w14:paraId="3BE0DD5C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22 (37.3)</w:t>
            </w:r>
          </w:p>
        </w:tc>
        <w:tc>
          <w:tcPr>
            <w:tcW w:w="2409" w:type="dxa"/>
          </w:tcPr>
          <w:p w14:paraId="3C98F40E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12 (5.3)</w:t>
            </w:r>
          </w:p>
        </w:tc>
      </w:tr>
      <w:tr w:rsidR="00540764" w:rsidRPr="00C13910" w14:paraId="79F59AD9" w14:textId="77777777" w:rsidTr="00BA04BD">
        <w:tc>
          <w:tcPr>
            <w:tcW w:w="3160" w:type="dxa"/>
          </w:tcPr>
          <w:p w14:paraId="31EB891C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Grade 3</w:t>
            </w:r>
          </w:p>
        </w:tc>
        <w:tc>
          <w:tcPr>
            <w:tcW w:w="1938" w:type="dxa"/>
          </w:tcPr>
          <w:p w14:paraId="33F7C5FF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51 (17.8)</w:t>
            </w:r>
          </w:p>
        </w:tc>
        <w:tc>
          <w:tcPr>
            <w:tcW w:w="2127" w:type="dxa"/>
          </w:tcPr>
          <w:p w14:paraId="4373A4C6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37 (62.7)</w:t>
            </w:r>
          </w:p>
        </w:tc>
        <w:tc>
          <w:tcPr>
            <w:tcW w:w="2409" w:type="dxa"/>
          </w:tcPr>
          <w:p w14:paraId="4685114D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14 (6.1)</w:t>
            </w:r>
          </w:p>
        </w:tc>
      </w:tr>
      <w:tr w:rsidR="00540764" w:rsidRPr="00C13910" w14:paraId="3EF2CB08" w14:textId="77777777" w:rsidTr="00BA04BD">
        <w:tc>
          <w:tcPr>
            <w:tcW w:w="3160" w:type="dxa"/>
            <w:tcBorders>
              <w:bottom w:val="nil"/>
            </w:tcBorders>
          </w:tcPr>
          <w:p w14:paraId="5E427BE7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Grade 4</w:t>
            </w:r>
          </w:p>
        </w:tc>
        <w:tc>
          <w:tcPr>
            <w:tcW w:w="1938" w:type="dxa"/>
            <w:tcBorders>
              <w:bottom w:val="nil"/>
            </w:tcBorders>
          </w:tcPr>
          <w:p w14:paraId="37983D89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51 (17.8)</w:t>
            </w:r>
          </w:p>
        </w:tc>
        <w:tc>
          <w:tcPr>
            <w:tcW w:w="2127" w:type="dxa"/>
            <w:tcBorders>
              <w:bottom w:val="nil"/>
            </w:tcBorders>
          </w:tcPr>
          <w:p w14:paraId="667D8AD5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7943F3F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51 (22.4)</w:t>
            </w:r>
          </w:p>
        </w:tc>
      </w:tr>
      <w:tr w:rsidR="00540764" w:rsidRPr="00C13910" w14:paraId="2B31B6F9" w14:textId="77777777" w:rsidTr="00BA04BD">
        <w:tc>
          <w:tcPr>
            <w:tcW w:w="3160" w:type="dxa"/>
            <w:tcBorders>
              <w:top w:val="nil"/>
              <w:bottom w:val="single" w:sz="4" w:space="0" w:color="auto"/>
            </w:tcBorders>
          </w:tcPr>
          <w:p w14:paraId="0363C142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 xml:space="preserve">   Grade 5</w:t>
            </w:r>
          </w:p>
        </w:tc>
        <w:tc>
          <w:tcPr>
            <w:tcW w:w="1938" w:type="dxa"/>
            <w:tcBorders>
              <w:top w:val="nil"/>
              <w:bottom w:val="single" w:sz="4" w:space="0" w:color="auto"/>
            </w:tcBorders>
          </w:tcPr>
          <w:p w14:paraId="24F9C22B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150 (52.3)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C9AA026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2FE91F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150 (65.8)</w:t>
            </w:r>
          </w:p>
        </w:tc>
      </w:tr>
    </w:tbl>
    <w:p w14:paraId="2D454201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5501E825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182DE403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5CC3D484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67EE37D7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30804622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1C4ED075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4533ADBB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  <w:r w:rsidRPr="00C13910">
        <w:rPr>
          <w:rFonts w:asciiTheme="majorHAnsi" w:hAnsiTheme="majorHAnsi" w:cs="Calibri Light"/>
          <w:szCs w:val="24"/>
          <w:lang w:val="en-US"/>
        </w:rPr>
        <w:lastRenderedPageBreak/>
        <w:t>Table 2. Imaging findings</w:t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1812"/>
        <w:gridCol w:w="2098"/>
        <w:gridCol w:w="2441"/>
      </w:tblGrid>
      <w:tr w:rsidR="00540764" w:rsidRPr="00C13910" w14:paraId="15F4E17F" w14:textId="77777777" w:rsidTr="00BA04BD">
        <w:tc>
          <w:tcPr>
            <w:tcW w:w="3283" w:type="dxa"/>
            <w:tcBorders>
              <w:bottom w:val="single" w:sz="4" w:space="0" w:color="auto"/>
            </w:tcBorders>
          </w:tcPr>
          <w:p w14:paraId="6A9CB40D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Imaging findings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18B43DC0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All patients </w:t>
            </w:r>
          </w:p>
          <w:p w14:paraId="55B1BF39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F01CAB2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 Intermediate-risk </w:t>
            </w:r>
          </w:p>
          <w:p w14:paraId="22C9D21A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338DF534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 xml:space="preserve">High-risk </w:t>
            </w:r>
          </w:p>
          <w:p w14:paraId="6804A9D9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</w:tr>
      <w:tr w:rsidR="00540764" w:rsidRPr="00C13910" w14:paraId="18D1DA0C" w14:textId="77777777" w:rsidTr="00BA04BD">
        <w:tc>
          <w:tcPr>
            <w:tcW w:w="3283" w:type="dxa"/>
            <w:tcBorders>
              <w:top w:val="nil"/>
            </w:tcBorders>
          </w:tcPr>
          <w:p w14:paraId="6E7B7BAF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Negative PSMA-PET/CT and     negative BS/CT</w:t>
            </w:r>
          </w:p>
        </w:tc>
        <w:tc>
          <w:tcPr>
            <w:tcW w:w="1812" w:type="dxa"/>
            <w:tcBorders>
              <w:top w:val="nil"/>
            </w:tcBorders>
          </w:tcPr>
          <w:p w14:paraId="1244CB6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187 (65.2)</w:t>
            </w:r>
          </w:p>
        </w:tc>
        <w:tc>
          <w:tcPr>
            <w:tcW w:w="2098" w:type="dxa"/>
            <w:tcBorders>
              <w:top w:val="nil"/>
            </w:tcBorders>
          </w:tcPr>
          <w:p w14:paraId="743C1EBC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46 (78.0)</w:t>
            </w:r>
          </w:p>
        </w:tc>
        <w:tc>
          <w:tcPr>
            <w:tcW w:w="2441" w:type="dxa"/>
            <w:tcBorders>
              <w:top w:val="nil"/>
            </w:tcBorders>
          </w:tcPr>
          <w:p w14:paraId="4173F6DA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141 (61.8)</w:t>
            </w:r>
          </w:p>
        </w:tc>
      </w:tr>
      <w:tr w:rsidR="00540764" w:rsidRPr="00C13910" w14:paraId="23946391" w14:textId="77777777" w:rsidTr="00BA04BD">
        <w:tc>
          <w:tcPr>
            <w:tcW w:w="3283" w:type="dxa"/>
          </w:tcPr>
          <w:p w14:paraId="45A6B176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Negative PSMA-PET/CT but positive BS/CT</w:t>
            </w:r>
          </w:p>
        </w:tc>
        <w:tc>
          <w:tcPr>
            <w:tcW w:w="1812" w:type="dxa"/>
          </w:tcPr>
          <w:p w14:paraId="26F2D110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6 (2.1)</w:t>
            </w:r>
          </w:p>
        </w:tc>
        <w:tc>
          <w:tcPr>
            <w:tcW w:w="2098" w:type="dxa"/>
          </w:tcPr>
          <w:p w14:paraId="4C4B1A72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0 (0)</w:t>
            </w:r>
          </w:p>
        </w:tc>
        <w:tc>
          <w:tcPr>
            <w:tcW w:w="2441" w:type="dxa"/>
          </w:tcPr>
          <w:p w14:paraId="784253C3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6 (2.6)</w:t>
            </w:r>
          </w:p>
        </w:tc>
      </w:tr>
      <w:tr w:rsidR="00540764" w:rsidRPr="00C13910" w14:paraId="2EC5CA67" w14:textId="77777777" w:rsidTr="00BA04BD">
        <w:tc>
          <w:tcPr>
            <w:tcW w:w="3283" w:type="dxa"/>
          </w:tcPr>
          <w:p w14:paraId="0EBC71BE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Positive PSMA-PET/CT and positive BS/CT</w:t>
            </w:r>
          </w:p>
        </w:tc>
        <w:tc>
          <w:tcPr>
            <w:tcW w:w="1812" w:type="dxa"/>
          </w:tcPr>
          <w:p w14:paraId="6E64451C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44 (15.3)</w:t>
            </w:r>
          </w:p>
        </w:tc>
        <w:tc>
          <w:tcPr>
            <w:tcW w:w="2098" w:type="dxa"/>
          </w:tcPr>
          <w:p w14:paraId="17BC412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3 (5.1)</w:t>
            </w:r>
          </w:p>
        </w:tc>
        <w:tc>
          <w:tcPr>
            <w:tcW w:w="2441" w:type="dxa"/>
          </w:tcPr>
          <w:p w14:paraId="2C1B4F8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41 (18.0)</w:t>
            </w:r>
          </w:p>
        </w:tc>
      </w:tr>
      <w:tr w:rsidR="00540764" w:rsidRPr="00C13910" w14:paraId="00F7A487" w14:textId="77777777" w:rsidTr="00BA04BD">
        <w:tc>
          <w:tcPr>
            <w:tcW w:w="3283" w:type="dxa"/>
            <w:tcBorders>
              <w:bottom w:val="nil"/>
            </w:tcBorders>
          </w:tcPr>
          <w:p w14:paraId="74F29048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Positive PSMA-PET/CT but negative BS/CT</w:t>
            </w:r>
          </w:p>
        </w:tc>
        <w:tc>
          <w:tcPr>
            <w:tcW w:w="1812" w:type="dxa"/>
            <w:tcBorders>
              <w:bottom w:val="nil"/>
            </w:tcBorders>
          </w:tcPr>
          <w:p w14:paraId="18960335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50 (17.4)</w:t>
            </w:r>
          </w:p>
        </w:tc>
        <w:tc>
          <w:tcPr>
            <w:tcW w:w="2098" w:type="dxa"/>
            <w:tcBorders>
              <w:bottom w:val="nil"/>
            </w:tcBorders>
          </w:tcPr>
          <w:p w14:paraId="4E05D53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10 (16.9)</w:t>
            </w:r>
          </w:p>
        </w:tc>
        <w:tc>
          <w:tcPr>
            <w:tcW w:w="2441" w:type="dxa"/>
            <w:tcBorders>
              <w:bottom w:val="nil"/>
            </w:tcBorders>
          </w:tcPr>
          <w:p w14:paraId="50D11AA2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40 (17.5)</w:t>
            </w:r>
          </w:p>
        </w:tc>
      </w:tr>
    </w:tbl>
    <w:p w14:paraId="376F8332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4C08D8D3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0A72FCC8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  <w:r w:rsidRPr="00C13910">
        <w:rPr>
          <w:rFonts w:asciiTheme="majorHAnsi" w:hAnsiTheme="majorHAnsi" w:cs="Calibri Light"/>
          <w:szCs w:val="24"/>
          <w:lang w:val="en-US"/>
        </w:rPr>
        <w:t>Table 3. Impact on clinical management</w:t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268"/>
      </w:tblGrid>
      <w:tr w:rsidR="00540764" w:rsidRPr="00C13910" w14:paraId="4396A4C9" w14:textId="77777777" w:rsidTr="00BA04BD">
        <w:tc>
          <w:tcPr>
            <w:tcW w:w="3397" w:type="dxa"/>
            <w:tcBorders>
              <w:bottom w:val="single" w:sz="4" w:space="0" w:color="auto"/>
            </w:tcBorders>
          </w:tcPr>
          <w:p w14:paraId="78584E3C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Management outcome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BE3BDF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All patients</w:t>
            </w:r>
          </w:p>
          <w:p w14:paraId="130BBF65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BA3007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Intermediate-risk</w:t>
            </w:r>
          </w:p>
          <w:p w14:paraId="35D14812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C6B7FA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High-risk</w:t>
            </w:r>
          </w:p>
          <w:p w14:paraId="3A8CB8B4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n (%)</w:t>
            </w:r>
          </w:p>
        </w:tc>
      </w:tr>
      <w:tr w:rsidR="00540764" w:rsidRPr="00C13910" w14:paraId="205D146A" w14:textId="77777777" w:rsidTr="00BA04BD">
        <w:tc>
          <w:tcPr>
            <w:tcW w:w="3397" w:type="dxa"/>
            <w:tcBorders>
              <w:top w:val="nil"/>
            </w:tcBorders>
          </w:tcPr>
          <w:p w14:paraId="053C933B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No change in management</w:t>
            </w:r>
          </w:p>
        </w:tc>
        <w:tc>
          <w:tcPr>
            <w:tcW w:w="1843" w:type="dxa"/>
            <w:tcBorders>
              <w:top w:val="nil"/>
            </w:tcBorders>
          </w:tcPr>
          <w:p w14:paraId="7FE8FA99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222 (77.4)</w:t>
            </w:r>
          </w:p>
        </w:tc>
        <w:tc>
          <w:tcPr>
            <w:tcW w:w="2126" w:type="dxa"/>
            <w:tcBorders>
              <w:top w:val="nil"/>
            </w:tcBorders>
          </w:tcPr>
          <w:p w14:paraId="27E2BA51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50 (84.7)</w:t>
            </w:r>
          </w:p>
        </w:tc>
        <w:tc>
          <w:tcPr>
            <w:tcW w:w="2268" w:type="dxa"/>
            <w:tcBorders>
              <w:top w:val="nil"/>
            </w:tcBorders>
          </w:tcPr>
          <w:p w14:paraId="40127D48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</w:rPr>
            </w:pPr>
            <w:r w:rsidRPr="00C13910">
              <w:rPr>
                <w:rFonts w:asciiTheme="majorHAnsi" w:hAnsiTheme="majorHAnsi" w:cs="Calibri Light"/>
                <w:szCs w:val="24"/>
              </w:rPr>
              <w:t>172 (75.4)</w:t>
            </w:r>
          </w:p>
        </w:tc>
      </w:tr>
      <w:tr w:rsidR="00540764" w:rsidRPr="00C13910" w14:paraId="3CEA20D1" w14:textId="77777777" w:rsidTr="00BA04BD">
        <w:tc>
          <w:tcPr>
            <w:tcW w:w="3397" w:type="dxa"/>
          </w:tcPr>
          <w:p w14:paraId="2DE4F782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Minor change</w:t>
            </w:r>
          </w:p>
        </w:tc>
        <w:tc>
          <w:tcPr>
            <w:tcW w:w="1843" w:type="dxa"/>
          </w:tcPr>
          <w:p w14:paraId="43F7F744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6 (2.1)</w:t>
            </w:r>
          </w:p>
        </w:tc>
        <w:tc>
          <w:tcPr>
            <w:tcW w:w="2126" w:type="dxa"/>
          </w:tcPr>
          <w:p w14:paraId="1AD5B8A8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2 (3.4)</w:t>
            </w:r>
          </w:p>
        </w:tc>
        <w:tc>
          <w:tcPr>
            <w:tcW w:w="2268" w:type="dxa"/>
          </w:tcPr>
          <w:p w14:paraId="1419CD6A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4 (1.8)</w:t>
            </w:r>
          </w:p>
        </w:tc>
      </w:tr>
      <w:tr w:rsidR="00540764" w:rsidRPr="00C13910" w14:paraId="0DAD81EE" w14:textId="77777777" w:rsidTr="00BA04BD">
        <w:tc>
          <w:tcPr>
            <w:tcW w:w="3397" w:type="dxa"/>
          </w:tcPr>
          <w:p w14:paraId="7CF9CC70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Medium change</w:t>
            </w:r>
          </w:p>
        </w:tc>
        <w:tc>
          <w:tcPr>
            <w:tcW w:w="1843" w:type="dxa"/>
          </w:tcPr>
          <w:p w14:paraId="1624CEB7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28 (9.8)</w:t>
            </w:r>
          </w:p>
        </w:tc>
        <w:tc>
          <w:tcPr>
            <w:tcW w:w="2126" w:type="dxa"/>
          </w:tcPr>
          <w:p w14:paraId="1D1AF6DC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3 (5.1)</w:t>
            </w:r>
          </w:p>
        </w:tc>
        <w:tc>
          <w:tcPr>
            <w:tcW w:w="2268" w:type="dxa"/>
          </w:tcPr>
          <w:p w14:paraId="2E7D0820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25 (11.0)</w:t>
            </w:r>
          </w:p>
        </w:tc>
      </w:tr>
      <w:tr w:rsidR="00540764" w:rsidRPr="00C13910" w14:paraId="4B491095" w14:textId="77777777" w:rsidTr="00BA04BD">
        <w:tc>
          <w:tcPr>
            <w:tcW w:w="3397" w:type="dxa"/>
            <w:tcBorders>
              <w:bottom w:val="nil"/>
            </w:tcBorders>
          </w:tcPr>
          <w:p w14:paraId="545E33D1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Major change</w:t>
            </w:r>
          </w:p>
        </w:tc>
        <w:tc>
          <w:tcPr>
            <w:tcW w:w="1843" w:type="dxa"/>
            <w:tcBorders>
              <w:bottom w:val="nil"/>
            </w:tcBorders>
          </w:tcPr>
          <w:p w14:paraId="3CF6C725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31 (10.8)</w:t>
            </w:r>
          </w:p>
        </w:tc>
        <w:tc>
          <w:tcPr>
            <w:tcW w:w="2126" w:type="dxa"/>
            <w:tcBorders>
              <w:bottom w:val="nil"/>
            </w:tcBorders>
          </w:tcPr>
          <w:p w14:paraId="6242B7B2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4 (5.8)</w:t>
            </w:r>
          </w:p>
        </w:tc>
        <w:tc>
          <w:tcPr>
            <w:tcW w:w="2268" w:type="dxa"/>
            <w:tcBorders>
              <w:bottom w:val="nil"/>
            </w:tcBorders>
          </w:tcPr>
          <w:p w14:paraId="348E1F07" w14:textId="77777777" w:rsidR="00540764" w:rsidRPr="00C13910" w:rsidRDefault="00540764" w:rsidP="00BA04BD">
            <w:pPr>
              <w:rPr>
                <w:rFonts w:asciiTheme="majorHAnsi" w:hAnsiTheme="majorHAnsi" w:cs="Calibri Light"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szCs w:val="24"/>
                <w:lang w:val="en-US"/>
              </w:rPr>
              <w:t>27 (11.8)</w:t>
            </w:r>
          </w:p>
        </w:tc>
      </w:tr>
      <w:tr w:rsidR="00540764" w:rsidRPr="00C13910" w14:paraId="30DEBAB3" w14:textId="77777777" w:rsidTr="00BA04BD"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4D0DF114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  <w:lang w:val="en-US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  <w:lang w:val="en-US"/>
              </w:rPr>
              <w:t>Any management change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AE67B03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65 (22.6)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709E765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9 (15.3)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1FF0E92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Cs w:val="24"/>
              </w:rPr>
            </w:pPr>
            <w:r w:rsidRPr="00C13910">
              <w:rPr>
                <w:rFonts w:asciiTheme="majorHAnsi" w:hAnsiTheme="majorHAnsi" w:cs="Calibri Light"/>
                <w:b/>
                <w:bCs/>
                <w:szCs w:val="24"/>
              </w:rPr>
              <w:t>56 (24.6)</w:t>
            </w:r>
          </w:p>
        </w:tc>
      </w:tr>
    </w:tbl>
    <w:p w14:paraId="6BAD3FB1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707151E6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465FD446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0A54425B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69729F4C" w14:textId="77777777" w:rsidR="00540764" w:rsidRDefault="00540764" w:rsidP="00540764">
      <w:pPr>
        <w:rPr>
          <w:rFonts w:asciiTheme="majorHAnsi" w:hAnsiTheme="majorHAnsi" w:cs="Calibri Light"/>
          <w:szCs w:val="24"/>
          <w:lang w:val="en-US"/>
        </w:rPr>
      </w:pPr>
    </w:p>
    <w:p w14:paraId="655F54AC" w14:textId="77777777" w:rsidR="00540764" w:rsidRPr="00C13910" w:rsidRDefault="00540764" w:rsidP="00540764">
      <w:pPr>
        <w:rPr>
          <w:rFonts w:asciiTheme="majorHAnsi" w:hAnsiTheme="majorHAnsi" w:cs="Calibri Light"/>
          <w:szCs w:val="24"/>
          <w:lang w:val="en-US"/>
        </w:rPr>
      </w:pPr>
      <w:r w:rsidRPr="00C13910">
        <w:rPr>
          <w:rFonts w:asciiTheme="majorHAnsi" w:hAnsiTheme="majorHAnsi" w:cs="Calibri Light"/>
          <w:szCs w:val="24"/>
          <w:lang w:val="en-US"/>
        </w:rPr>
        <w:t>Table 4. Examples of management changes</w:t>
      </w:r>
    </w:p>
    <w:tbl>
      <w:tblPr>
        <w:tblStyle w:val="TableGrid"/>
        <w:tblW w:w="97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832"/>
        <w:gridCol w:w="2268"/>
        <w:gridCol w:w="1984"/>
        <w:gridCol w:w="2410"/>
      </w:tblGrid>
      <w:tr w:rsidR="00540764" w:rsidRPr="00C13910" w14:paraId="2401F48B" w14:textId="77777777" w:rsidTr="00BA04BD">
        <w:tc>
          <w:tcPr>
            <w:tcW w:w="1282" w:type="dxa"/>
            <w:tcBorders>
              <w:bottom w:val="single" w:sz="4" w:space="0" w:color="auto"/>
            </w:tcBorders>
          </w:tcPr>
          <w:p w14:paraId="1540431F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D5BC0AB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 xml:space="preserve">Initial treatment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FB5A1B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 xml:space="preserve"> Post PET/CT treatment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BC8C8E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Management change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69201D" w14:textId="77777777" w:rsidR="00540764" w:rsidRPr="00C13910" w:rsidRDefault="00540764" w:rsidP="00BA04BD">
            <w:pPr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Reason for management change</w:t>
            </w:r>
          </w:p>
        </w:tc>
      </w:tr>
      <w:tr w:rsidR="00540764" w:rsidRPr="009D5E3E" w14:paraId="37112A42" w14:textId="77777777" w:rsidTr="00BA04BD">
        <w:tc>
          <w:tcPr>
            <w:tcW w:w="1282" w:type="dxa"/>
            <w:tcBorders>
              <w:top w:val="nil"/>
            </w:tcBorders>
            <w:shd w:val="clear" w:color="auto" w:fill="E59EDC" w:themeFill="accent5" w:themeFillTint="66"/>
          </w:tcPr>
          <w:p w14:paraId="7A0F4392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>
              <w:rPr>
                <w:rFonts w:asciiTheme="majorHAnsi" w:hAnsiTheme="majorHAnsi" w:cs="Calibri Light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E59EDC" w:themeFill="accent5" w:themeFillTint="66"/>
          </w:tcPr>
          <w:p w14:paraId="36A03864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Prostatectomy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E59EDC" w:themeFill="accent5" w:themeFillTint="66"/>
          </w:tcPr>
          <w:p w14:paraId="3BA03403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ADT+ARPI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E59EDC" w:themeFill="accent5" w:themeFillTint="66"/>
          </w:tcPr>
          <w:p w14:paraId="0BF82F36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Major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59EDC" w:themeFill="accent5" w:themeFillTint="66"/>
          </w:tcPr>
          <w:p w14:paraId="4B37CF1B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Several bone metastases on PET/CT</w:t>
            </w:r>
          </w:p>
        </w:tc>
      </w:tr>
      <w:tr w:rsidR="00540764" w:rsidRPr="009D5E3E" w14:paraId="02CFB4C2" w14:textId="77777777" w:rsidTr="00BA04BD">
        <w:tc>
          <w:tcPr>
            <w:tcW w:w="1282" w:type="dxa"/>
            <w:shd w:val="clear" w:color="auto" w:fill="E59EDC" w:themeFill="accent5" w:themeFillTint="66"/>
          </w:tcPr>
          <w:p w14:paraId="288EEB96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>
              <w:rPr>
                <w:rFonts w:asciiTheme="majorHAnsi" w:hAnsiTheme="majorHAnsi" w:cs="Calibri Light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E59EDC" w:themeFill="accent5" w:themeFillTint="66"/>
          </w:tcPr>
          <w:p w14:paraId="0DF0A985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Curative radiation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64A4067E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ADT+ARPI+palliative radiation</w:t>
            </w:r>
          </w:p>
        </w:tc>
        <w:tc>
          <w:tcPr>
            <w:tcW w:w="1984" w:type="dxa"/>
            <w:shd w:val="clear" w:color="auto" w:fill="E59EDC" w:themeFill="accent5" w:themeFillTint="66"/>
          </w:tcPr>
          <w:p w14:paraId="0399EBF0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Major</w:t>
            </w:r>
          </w:p>
        </w:tc>
        <w:tc>
          <w:tcPr>
            <w:tcW w:w="2410" w:type="dxa"/>
            <w:shd w:val="clear" w:color="auto" w:fill="E59EDC" w:themeFill="accent5" w:themeFillTint="66"/>
          </w:tcPr>
          <w:p w14:paraId="42FD19B3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7 lymph node metastases in the abdomen on PET/CT</w:t>
            </w:r>
          </w:p>
        </w:tc>
      </w:tr>
      <w:tr w:rsidR="00540764" w:rsidRPr="009D5E3E" w14:paraId="34987A6C" w14:textId="77777777" w:rsidTr="00BA04BD">
        <w:tc>
          <w:tcPr>
            <w:tcW w:w="1282" w:type="dxa"/>
            <w:shd w:val="clear" w:color="auto" w:fill="F6C5AC" w:themeFill="accent2" w:themeFillTint="66"/>
          </w:tcPr>
          <w:p w14:paraId="755629F3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>
              <w:rPr>
                <w:rFonts w:asciiTheme="majorHAnsi" w:hAnsiTheme="majorHAnsi" w:cs="Calibri Light"/>
                <w:sz w:val="20"/>
                <w:szCs w:val="20"/>
              </w:rPr>
              <w:t>3</w:t>
            </w:r>
          </w:p>
        </w:tc>
        <w:tc>
          <w:tcPr>
            <w:tcW w:w="1832" w:type="dxa"/>
            <w:shd w:val="clear" w:color="auto" w:fill="F6C5AC" w:themeFill="accent2" w:themeFillTint="66"/>
          </w:tcPr>
          <w:p w14:paraId="05944752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Curative Radiation</w:t>
            </w:r>
          </w:p>
        </w:tc>
        <w:tc>
          <w:tcPr>
            <w:tcW w:w="2268" w:type="dxa"/>
            <w:shd w:val="clear" w:color="auto" w:fill="F6C5AC" w:themeFill="accent2" w:themeFillTint="66"/>
          </w:tcPr>
          <w:p w14:paraId="2480B88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Curative Radiation with radiation of iliac lymph nodes</w:t>
            </w:r>
          </w:p>
        </w:tc>
        <w:tc>
          <w:tcPr>
            <w:tcW w:w="1984" w:type="dxa"/>
            <w:shd w:val="clear" w:color="auto" w:fill="F6C5AC" w:themeFill="accent2" w:themeFillTint="66"/>
          </w:tcPr>
          <w:p w14:paraId="7934058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5BC52139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2 iliac lymph node metastases on PET/CT</w:t>
            </w:r>
          </w:p>
        </w:tc>
      </w:tr>
      <w:tr w:rsidR="00540764" w:rsidRPr="009D5E3E" w14:paraId="7A9B8232" w14:textId="77777777" w:rsidTr="00BA04BD">
        <w:tc>
          <w:tcPr>
            <w:tcW w:w="1282" w:type="dxa"/>
            <w:shd w:val="clear" w:color="auto" w:fill="C1E4F5" w:themeFill="accent1" w:themeFillTint="33"/>
          </w:tcPr>
          <w:p w14:paraId="589D5E9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>
              <w:rPr>
                <w:rFonts w:asciiTheme="majorHAnsi" w:hAnsiTheme="majorHAnsi" w:cs="Calibri Light"/>
                <w:sz w:val="20"/>
                <w:szCs w:val="20"/>
              </w:rPr>
              <w:t>4</w:t>
            </w:r>
          </w:p>
        </w:tc>
        <w:tc>
          <w:tcPr>
            <w:tcW w:w="1832" w:type="dxa"/>
            <w:shd w:val="clear" w:color="auto" w:fill="C1E4F5" w:themeFill="accent1" w:themeFillTint="33"/>
          </w:tcPr>
          <w:p w14:paraId="2842D37F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Prostatectomy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26B886A8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Prostatectomy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10129481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</w:rPr>
              <w:t>Minor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33D7D88E" w14:textId="77777777" w:rsidR="00540764" w:rsidRPr="00C13910" w:rsidRDefault="00540764" w:rsidP="00BA04BD">
            <w:pPr>
              <w:jc w:val="center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C13910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Delayed operation due to investigation of miscellaneous uptake in bone on PET/CT</w:t>
            </w:r>
          </w:p>
        </w:tc>
      </w:tr>
    </w:tbl>
    <w:p w14:paraId="36B822AC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64"/>
    <w:rsid w:val="00264C10"/>
    <w:rsid w:val="00470242"/>
    <w:rsid w:val="00540764"/>
    <w:rsid w:val="00726E03"/>
    <w:rsid w:val="009542D6"/>
    <w:rsid w:val="009F1BAA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3DC4"/>
  <w15:chartTrackingRefBased/>
  <w15:docId w15:val="{B294D285-7CA7-46FF-803E-3F26CAD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64"/>
    <w:pPr>
      <w:spacing w:line="480" w:lineRule="auto"/>
    </w:pPr>
    <w:rPr>
      <w:rFonts w:eastAsiaTheme="minorHAnsi"/>
      <w:szCs w:val="22"/>
      <w:lang w:val="sv-S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7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7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7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7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7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7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7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7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7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54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7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54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76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Cs w:val="24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54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764"/>
    <w:pPr>
      <w:spacing w:line="278" w:lineRule="auto"/>
      <w:ind w:left="720"/>
      <w:contextualSpacing/>
    </w:pPr>
    <w:rPr>
      <w:rFonts w:eastAsiaTheme="minorEastAsia"/>
      <w:szCs w:val="24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54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Cs w:val="24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7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0764"/>
    <w:pPr>
      <w:spacing w:after="0" w:line="240" w:lineRule="auto"/>
    </w:pPr>
    <w:rPr>
      <w:rFonts w:eastAsiaTheme="minorHAnsi"/>
      <w:kern w:val="0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2026-05-18T09:40:00Z</dcterms:created>
  <dcterms:modified xsi:type="dcterms:W3CDTF">2026-05-18T09:42:00Z</dcterms:modified>
</cp:coreProperties>
</file>