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33AD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480" w:lineRule="auto"/>
        <w:textAlignment w:val="auto"/>
        <w:outlineLvl w:val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Supplementary materials</w:t>
      </w:r>
    </w:p>
    <w:p w14:paraId="275453D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Supplementary Figure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Validation of the risk model.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) Risk curves and survival states (validation Set GSE72094).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>) KM Survival curves (validation Set GSE72094).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) 1, 3 and 5 year ROC curves (validation Set GSE72094).</w:t>
      </w:r>
    </w:p>
    <w:p w14:paraId="0F18545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80" w:lineRule="auto"/>
        <w:jc w:val="left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3515" cy="3477260"/>
            <wp:effectExtent l="0" t="0" r="13335" b="8890"/>
            <wp:docPr id="14" name="图片 14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A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Supplementary Figure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Cell annotation and differentiation results. (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) Clustering of UMAP cell taxa in nLung, tLung and tL/B groupings. (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) Cell type annotation. (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) Cell differentiation of different samples.</w:t>
      </w:r>
    </w:p>
    <w:p w14:paraId="0D3AFF2E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480" w:lineRule="auto"/>
        <w:textAlignment w:val="auto"/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503545" cy="2223770"/>
            <wp:effectExtent l="0" t="0" r="1905" b="5080"/>
            <wp:docPr id="15" name="图片 15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upplementary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10833"/>
    <w:rsid w:val="5DF1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2026-05-10T12:29:00Z</dcterms:created>
  <dc:creator>墨墨</dc:creator>
  <cp:lastModifiedBy>墨墨</cp:lastModifiedBy>
  <dcterms:modified xsi:type="dcterms:W3CDTF">2026-05-10T12:29:46Z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12DC94FA429A4962A3F7065D8FE96CE5_11</vt:lpwstr>
  </property>
  <property fmtid="{D5CDD505-2E9C-101B-9397-08002B2CF9AE}" pid="4" name="KSOTemplateDocerSaveRecord">
    <vt:lpwstr>eyJoZGlkIjoiMjZjYTI5NmY3OGI2NTkxOWY3MjMyZDRiZjQ2YzU2ZmIiLCJ1c2VySWQiOiI0MTcyNzMzMDgifQ==</vt:lpwstr>
  </property>
</Properties>
</file>