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8228C" w14:textId="77777777" w:rsidR="00F60BBF" w:rsidRPr="00F60BBF" w:rsidRDefault="00F60BBF" w:rsidP="00F60BBF">
      <w:pPr>
        <w:rPr>
          <w:b/>
          <w:bCs/>
          <w:lang w:val="en-US"/>
        </w:rPr>
      </w:pPr>
      <w:r w:rsidRPr="00F60BBF">
        <w:rPr>
          <w:b/>
          <w:bCs/>
          <w:lang w:val="en-US"/>
        </w:rPr>
        <w:t>Supplementary Figure1</w:t>
      </w:r>
    </w:p>
    <w:p w14:paraId="4642361E" w14:textId="583FC6DD" w:rsidR="00F60BBF" w:rsidRPr="00F60BBF" w:rsidRDefault="00F60BBF" w:rsidP="00F60BBF">
      <w:pPr>
        <w:rPr>
          <w:b/>
          <w:bCs/>
          <w:lang w:val="en-US"/>
        </w:rPr>
      </w:pPr>
      <w:r w:rsidRPr="00F60BBF">
        <w:rPr>
          <w:b/>
          <w:lang w:val="en-US"/>
        </w:rPr>
        <w:drawing>
          <wp:inline distT="0" distB="0" distL="0" distR="0" wp14:anchorId="24899865" wp14:editId="31889A60">
            <wp:extent cx="5731510" cy="4206875"/>
            <wp:effectExtent l="0" t="0" r="2540" b="3175"/>
            <wp:docPr id="15107956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0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D54C8" w14:textId="77777777" w:rsidR="00F60BBF" w:rsidRPr="00F60BBF" w:rsidRDefault="00F60BBF" w:rsidP="00F60BBF">
      <w:pPr>
        <w:rPr>
          <w:b/>
          <w:bCs/>
          <w:lang w:val="en-US"/>
        </w:rPr>
      </w:pPr>
      <w:r w:rsidRPr="00F60BBF">
        <w:rPr>
          <w:b/>
          <w:bCs/>
          <w:lang w:val="en-US"/>
        </w:rPr>
        <w:br w:type="page"/>
      </w:r>
      <w:r w:rsidRPr="00F60BBF">
        <w:rPr>
          <w:b/>
          <w:bCs/>
          <w:lang w:val="en-US"/>
        </w:rPr>
        <w:lastRenderedPageBreak/>
        <w:t>Fig. S</w:t>
      </w:r>
      <w:proofErr w:type="gramStart"/>
      <w:r w:rsidRPr="00F60BBF">
        <w:rPr>
          <w:b/>
          <w:bCs/>
          <w:lang w:val="en-US"/>
        </w:rPr>
        <w:t>1  Mean</w:t>
      </w:r>
      <w:proofErr w:type="gramEnd"/>
      <w:r w:rsidRPr="00F60BBF">
        <w:rPr>
          <w:b/>
          <w:bCs/>
          <w:lang w:val="en-US"/>
        </w:rPr>
        <w:t xml:space="preserve"> pre-to-post change in CICS29 total score by baseline seizure-response confidence group (exploratory analysis).</w:t>
      </w:r>
    </w:p>
    <w:p w14:paraId="444A2904" w14:textId="77777777" w:rsidR="00F60BBF" w:rsidRPr="00F60BBF" w:rsidRDefault="00F60BBF" w:rsidP="00F60BBF">
      <w:pPr>
        <w:rPr>
          <w:b/>
          <w:bCs/>
          <w:lang w:val="en-US"/>
        </w:rPr>
      </w:pPr>
      <w:r w:rsidRPr="00F60BBF">
        <w:rPr>
          <w:b/>
          <w:bCs/>
          <w:lang w:val="en-US"/>
        </w:rPr>
        <w:t xml:space="preserve">Participants were grouped by their self-rated seizure-response confidence recorded immediately before training: Low (score 0–2, n = 51); Middle (score 3–4, n = 77); High (score 5, n = 32). Bar heights represent group means. Labels above brackets show the mean change (Δ) and effect size (r, rank-biserial correlation). BH-adjusted p values (3-comparison family): * p &lt; 0.05; ** p &lt; 0.01; </w:t>
      </w:r>
      <w:proofErr w:type="spellStart"/>
      <w:r w:rsidRPr="00F60BBF">
        <w:rPr>
          <w:b/>
          <w:bCs/>
          <w:lang w:val="en-US"/>
        </w:rPr>
        <w:t>n.s</w:t>
      </w:r>
      <w:proofErr w:type="spellEnd"/>
      <w:r w:rsidRPr="00F60BBF">
        <w:rPr>
          <w:b/>
          <w:bCs/>
          <w:lang w:val="en-US"/>
        </w:rPr>
        <w:t>., not significant. This analysis was pre-specified as exploratory; findings should be interpreted as hypothesis-generating.</w:t>
      </w:r>
    </w:p>
    <w:p w14:paraId="18199025" w14:textId="77777777" w:rsidR="00F60BBF" w:rsidRDefault="00F60BBF" w:rsidP="00F60BBF">
      <w:pPr>
        <w:rPr>
          <w:b/>
          <w:bCs/>
          <w:lang w:val="en-US"/>
        </w:rPr>
      </w:pPr>
    </w:p>
    <w:p w14:paraId="63BC8424" w14:textId="77777777" w:rsidR="00F60BBF" w:rsidRDefault="00F60BBF" w:rsidP="00F60BBF">
      <w:pPr>
        <w:rPr>
          <w:b/>
          <w:bCs/>
          <w:lang w:val="en-US"/>
        </w:rPr>
      </w:pPr>
    </w:p>
    <w:p w14:paraId="2230C85E" w14:textId="77777777" w:rsidR="00F60BBF" w:rsidRDefault="00F60BBF" w:rsidP="00F60BBF">
      <w:pPr>
        <w:rPr>
          <w:b/>
          <w:bCs/>
          <w:lang w:val="en-US"/>
        </w:rPr>
      </w:pPr>
    </w:p>
    <w:p w14:paraId="04C4351B" w14:textId="77777777" w:rsidR="00F60BBF" w:rsidRDefault="00F60BBF" w:rsidP="00F60BBF">
      <w:pPr>
        <w:rPr>
          <w:b/>
          <w:bCs/>
          <w:lang w:val="en-US"/>
        </w:rPr>
      </w:pPr>
    </w:p>
    <w:p w14:paraId="12A9EBB1" w14:textId="77777777" w:rsidR="00F60BBF" w:rsidRDefault="00F60BBF" w:rsidP="00F60BBF">
      <w:pPr>
        <w:rPr>
          <w:b/>
          <w:bCs/>
          <w:lang w:val="en-US"/>
        </w:rPr>
      </w:pPr>
    </w:p>
    <w:p w14:paraId="3B7DC84F" w14:textId="77777777" w:rsidR="00F60BBF" w:rsidRDefault="00F60BBF" w:rsidP="00F60BBF">
      <w:pPr>
        <w:rPr>
          <w:b/>
          <w:bCs/>
          <w:lang w:val="en-US"/>
        </w:rPr>
      </w:pPr>
    </w:p>
    <w:p w14:paraId="65AF4E4E" w14:textId="77777777" w:rsidR="00F60BBF" w:rsidRDefault="00F60BBF" w:rsidP="00F60BBF">
      <w:pPr>
        <w:rPr>
          <w:b/>
          <w:bCs/>
          <w:lang w:val="en-US"/>
        </w:rPr>
      </w:pPr>
    </w:p>
    <w:p w14:paraId="109C4304" w14:textId="77777777" w:rsidR="00F60BBF" w:rsidRDefault="00F60BBF" w:rsidP="00F60BBF">
      <w:pPr>
        <w:rPr>
          <w:b/>
          <w:bCs/>
          <w:lang w:val="en-US"/>
        </w:rPr>
      </w:pPr>
    </w:p>
    <w:p w14:paraId="50EFCB0B" w14:textId="77777777" w:rsidR="00F60BBF" w:rsidRDefault="00F60BBF" w:rsidP="00F60BBF">
      <w:pPr>
        <w:rPr>
          <w:b/>
          <w:bCs/>
          <w:lang w:val="en-US"/>
        </w:rPr>
      </w:pPr>
    </w:p>
    <w:p w14:paraId="1EA47E1C" w14:textId="77777777" w:rsidR="00F60BBF" w:rsidRDefault="00F60BBF" w:rsidP="00F60BBF">
      <w:pPr>
        <w:rPr>
          <w:b/>
          <w:bCs/>
          <w:lang w:val="en-US"/>
        </w:rPr>
      </w:pPr>
    </w:p>
    <w:p w14:paraId="75768556" w14:textId="77777777" w:rsidR="00F60BBF" w:rsidRDefault="00F60BBF" w:rsidP="00F60BBF">
      <w:pPr>
        <w:rPr>
          <w:b/>
          <w:bCs/>
          <w:lang w:val="en-US"/>
        </w:rPr>
      </w:pPr>
    </w:p>
    <w:p w14:paraId="3C8E782B" w14:textId="77777777" w:rsidR="00F60BBF" w:rsidRDefault="00F60BBF" w:rsidP="00F60BBF">
      <w:pPr>
        <w:rPr>
          <w:b/>
          <w:bCs/>
          <w:lang w:val="en-US"/>
        </w:rPr>
      </w:pPr>
    </w:p>
    <w:p w14:paraId="0E24B528" w14:textId="77777777" w:rsidR="00F60BBF" w:rsidRDefault="00F60BBF" w:rsidP="00F60BBF">
      <w:pPr>
        <w:rPr>
          <w:b/>
          <w:bCs/>
          <w:lang w:val="en-US"/>
        </w:rPr>
      </w:pPr>
    </w:p>
    <w:p w14:paraId="7A181E78" w14:textId="77777777" w:rsidR="00F60BBF" w:rsidRDefault="00F60BBF" w:rsidP="00F60BBF">
      <w:pPr>
        <w:rPr>
          <w:b/>
          <w:bCs/>
          <w:lang w:val="en-US"/>
        </w:rPr>
      </w:pPr>
    </w:p>
    <w:p w14:paraId="19C757D3" w14:textId="77777777" w:rsidR="00F60BBF" w:rsidRDefault="00F60BBF" w:rsidP="00F60BBF">
      <w:pPr>
        <w:rPr>
          <w:b/>
          <w:bCs/>
          <w:lang w:val="en-US"/>
        </w:rPr>
      </w:pPr>
    </w:p>
    <w:p w14:paraId="622F6479" w14:textId="77777777" w:rsidR="00F60BBF" w:rsidRDefault="00F60BBF" w:rsidP="00F60BBF">
      <w:pPr>
        <w:rPr>
          <w:b/>
          <w:bCs/>
          <w:lang w:val="en-US"/>
        </w:rPr>
      </w:pPr>
    </w:p>
    <w:p w14:paraId="43E53B29" w14:textId="77777777" w:rsidR="00F60BBF" w:rsidRDefault="00F60BBF" w:rsidP="00F60BBF">
      <w:pPr>
        <w:rPr>
          <w:b/>
          <w:bCs/>
          <w:lang w:val="en-US"/>
        </w:rPr>
      </w:pPr>
    </w:p>
    <w:p w14:paraId="55FC980F" w14:textId="77777777" w:rsidR="00F60BBF" w:rsidRDefault="00F60BBF" w:rsidP="00F60BBF">
      <w:pPr>
        <w:rPr>
          <w:b/>
          <w:bCs/>
          <w:lang w:val="en-US"/>
        </w:rPr>
      </w:pPr>
    </w:p>
    <w:p w14:paraId="16A420BC" w14:textId="77777777" w:rsidR="00F60BBF" w:rsidRDefault="00F60BBF" w:rsidP="00F60BBF">
      <w:pPr>
        <w:rPr>
          <w:b/>
          <w:bCs/>
          <w:lang w:val="en-US"/>
        </w:rPr>
      </w:pPr>
    </w:p>
    <w:p w14:paraId="5845E231" w14:textId="56625D5A" w:rsidR="00F60BBF" w:rsidRPr="00F60BBF" w:rsidRDefault="00F60BBF" w:rsidP="00F60BBF">
      <w:pPr>
        <w:rPr>
          <w:b/>
          <w:bCs/>
          <w:lang w:val="en-US"/>
        </w:rPr>
      </w:pPr>
      <w:r w:rsidRPr="00F60BBF">
        <w:rPr>
          <w:b/>
          <w:bCs/>
          <w:lang w:val="en-US"/>
        </w:rPr>
        <w:t>Table S1. Comparison of baseline characteristics between matched and unmatched pre-training respondents.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0"/>
        <w:gridCol w:w="2000"/>
        <w:gridCol w:w="2000"/>
        <w:gridCol w:w="1000"/>
      </w:tblGrid>
      <w:tr w:rsidR="00F60BBF" w:rsidRPr="00F60BBF" w14:paraId="191D1CC8" w14:textId="77777777">
        <w:trPr>
          <w:cantSplit/>
        </w:trPr>
        <w:tc>
          <w:tcPr>
            <w:tcW w:w="440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0C035D8D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Characteristic</w:t>
            </w:r>
          </w:p>
        </w:tc>
        <w:tc>
          <w:tcPr>
            <w:tcW w:w="200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7828A557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Matched (n = 209)</w:t>
            </w:r>
          </w:p>
        </w:tc>
        <w:tc>
          <w:tcPr>
            <w:tcW w:w="200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4A5BE082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Unmatched (n = 194)</w:t>
            </w:r>
          </w:p>
        </w:tc>
        <w:tc>
          <w:tcPr>
            <w:tcW w:w="100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41C0B644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 xml:space="preserve">p </w:t>
            </w:r>
            <w:r w:rsidRPr="00F60BBF">
              <w:rPr>
                <w:rFonts w:ascii="Arial" w:hAnsi="Arial" w:cs="Arial"/>
                <w:b/>
                <w:bCs/>
                <w:lang w:val="en-US"/>
              </w:rPr>
              <w:t>ᵃ</w:t>
            </w:r>
          </w:p>
        </w:tc>
      </w:tr>
      <w:tr w:rsidR="00F60BBF" w:rsidRPr="00F60BBF" w14:paraId="79E38960" w14:textId="77777777">
        <w:trPr>
          <w:cantSplit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0CE5E27A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Work experience, median years (IQR)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2E102D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2F6E7C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AE403F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</w:p>
        </w:tc>
      </w:tr>
      <w:tr w:rsidR="00F60BBF" w:rsidRPr="00F60BBF" w14:paraId="3C1F46E2" w14:textId="77777777">
        <w:trPr>
          <w:cantSplit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291A1592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 xml:space="preserve">  Overall work experience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68BA58E1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4.0 (1.0–8.0)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4FF09D95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4.0 (1.0–8.0)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5CDA41E8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0.315</w:t>
            </w:r>
          </w:p>
        </w:tc>
      </w:tr>
      <w:tr w:rsidR="00F60BBF" w:rsidRPr="00F60BBF" w14:paraId="6A7C5CE2" w14:textId="77777777">
        <w:trPr>
          <w:cantSplit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16EF31A2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 xml:space="preserve">  Pediatric experience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714FCC0C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2.0 (1.0–4.0)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1D53CB0B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2.0 (0.0–4.0)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32A12104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0.448</w:t>
            </w:r>
          </w:p>
        </w:tc>
      </w:tr>
      <w:tr w:rsidR="00F60BBF" w:rsidRPr="00F60BBF" w14:paraId="738E2D8A" w14:textId="77777777">
        <w:trPr>
          <w:cantSplit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4004406A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 xml:space="preserve">  CAPS Clinic experience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7E27F513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1.5 (0.0–3.0)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5DF1E08C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1.5 (0.0–3.0)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2340446F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0.640</w:t>
            </w:r>
          </w:p>
        </w:tc>
      </w:tr>
      <w:tr w:rsidR="00F60BBF" w:rsidRPr="00F60BBF" w14:paraId="473A8E5D" w14:textId="77777777">
        <w:trPr>
          <w:cantSplit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3075F175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Categorical variables, n (%)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BCE5C1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C6E531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537EF7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</w:p>
        </w:tc>
      </w:tr>
      <w:tr w:rsidR="00F60BBF" w:rsidRPr="00F60BBF" w14:paraId="14F4A4A6" w14:textId="77777777">
        <w:trPr>
          <w:cantSplit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2C746E50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 xml:space="preserve">  Prior simulation training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09B8B574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45 (21.5)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0E15D412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42 (21.6)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76758177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0.522</w:t>
            </w:r>
          </w:p>
        </w:tc>
      </w:tr>
      <w:tr w:rsidR="00F60BBF" w:rsidRPr="00F60BBF" w14:paraId="6A844A38" w14:textId="77777777">
        <w:trPr>
          <w:cantSplit/>
        </w:trPr>
        <w:tc>
          <w:tcPr>
            <w:tcW w:w="44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085D35DF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 xml:space="preserve">  Low seizure-response confidence (score 0–2)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7AE85D03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64 (30.6)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3F45345A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70 (36.1)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5CF628B3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0.063</w:t>
            </w:r>
          </w:p>
        </w:tc>
      </w:tr>
    </w:tbl>
    <w:p w14:paraId="70203576" w14:textId="77777777" w:rsidR="00F60BBF" w:rsidRPr="00F60BBF" w:rsidRDefault="00F60BBF" w:rsidP="00F60BBF">
      <w:pPr>
        <w:rPr>
          <w:b/>
          <w:bCs/>
          <w:lang w:val="en-US"/>
        </w:rPr>
      </w:pPr>
      <w:r w:rsidRPr="00F60BBF">
        <w:rPr>
          <w:b/>
          <w:bCs/>
          <w:lang w:val="en-US"/>
        </w:rPr>
        <w:lastRenderedPageBreak/>
        <w:t>Values are median (interquartile range) for continuous variables and n (%) for categorical variables.</w:t>
      </w:r>
    </w:p>
    <w:p w14:paraId="1EAFD805" w14:textId="77777777" w:rsidR="00F60BBF" w:rsidRPr="00F60BBF" w:rsidRDefault="00F60BBF" w:rsidP="00F60BBF">
      <w:pPr>
        <w:rPr>
          <w:b/>
          <w:bCs/>
          <w:lang w:val="en-US"/>
        </w:rPr>
      </w:pPr>
      <w:r w:rsidRPr="00F60BBF">
        <w:rPr>
          <w:rFonts w:ascii="Arial" w:hAnsi="Arial" w:cs="Arial"/>
          <w:b/>
          <w:bCs/>
          <w:lang w:val="en-US"/>
        </w:rPr>
        <w:t>ᵃ</w:t>
      </w:r>
      <w:r w:rsidRPr="00F60BBF">
        <w:rPr>
          <w:b/>
          <w:bCs/>
          <w:lang w:val="en-US"/>
        </w:rPr>
        <w:t xml:space="preserve"> Continuous variables compared using Mann–Whitney U tests; categorical variables compared using χ² tests.</w:t>
      </w:r>
    </w:p>
    <w:p w14:paraId="5AFEFDDF" w14:textId="77777777" w:rsidR="00F60BBF" w:rsidRPr="00F60BBF" w:rsidRDefault="00F60BBF" w:rsidP="00F60BBF">
      <w:pPr>
        <w:rPr>
          <w:b/>
          <w:bCs/>
          <w:lang w:val="en-US"/>
        </w:rPr>
      </w:pPr>
      <w:r w:rsidRPr="00F60BBF">
        <w:rPr>
          <w:b/>
          <w:bCs/>
          <w:lang w:val="en-US"/>
        </w:rPr>
        <w:t>No variable reached statistical significance at p &lt; 0.05, indicating that attrition was not systematic. The p value for low baseline confidence (0.063) represents a non-significant trend, with comparable proportions across groups (matched 30.6% vs unmatched 36.1%).</w:t>
      </w:r>
    </w:p>
    <w:p w14:paraId="035E4DD9" w14:textId="77777777" w:rsidR="00F60BBF" w:rsidRPr="00F60BBF" w:rsidRDefault="00F60BBF" w:rsidP="00F60BBF">
      <w:pPr>
        <w:rPr>
          <w:b/>
          <w:bCs/>
          <w:lang w:val="en-US"/>
        </w:rPr>
      </w:pPr>
      <w:r w:rsidRPr="00F60BBF">
        <w:rPr>
          <w:b/>
          <w:bCs/>
          <w:lang w:val="en-US"/>
        </w:rPr>
        <w:t xml:space="preserve">CAPS, Child Allergy Primary </w:t>
      </w:r>
      <w:proofErr w:type="gramStart"/>
      <w:r w:rsidRPr="00F60BBF">
        <w:rPr>
          <w:b/>
          <w:bCs/>
          <w:lang w:val="en-US"/>
        </w:rPr>
        <w:t>care</w:t>
      </w:r>
      <w:proofErr w:type="gramEnd"/>
      <w:r w:rsidRPr="00F60BBF">
        <w:rPr>
          <w:b/>
          <w:bCs/>
          <w:lang w:val="en-US"/>
        </w:rPr>
        <w:t xml:space="preserve"> Service; IQR, interquartile range.</w:t>
      </w:r>
    </w:p>
    <w:p w14:paraId="53DD3EA5" w14:textId="77777777" w:rsidR="00F60BBF" w:rsidRPr="00F60BBF" w:rsidRDefault="00F60BBF" w:rsidP="00F60BBF">
      <w:pPr>
        <w:rPr>
          <w:b/>
          <w:bCs/>
          <w:lang w:val="en-US"/>
        </w:rPr>
        <w:sectPr w:rsidR="00F60BBF" w:rsidRPr="00F60BBF" w:rsidSect="00F60BBF">
          <w:type w:val="continuous"/>
          <w:pgSz w:w="15840" w:h="12240" w:orient="landscape"/>
          <w:pgMar w:top="1440" w:right="1440" w:bottom="1440" w:left="1440" w:header="708" w:footer="708" w:gutter="0"/>
          <w:cols w:space="720"/>
        </w:sectPr>
      </w:pPr>
    </w:p>
    <w:p w14:paraId="69B91E59" w14:textId="77777777" w:rsidR="00F60BBF" w:rsidRPr="00F60BBF" w:rsidRDefault="00F60BBF" w:rsidP="00F60BBF">
      <w:pPr>
        <w:rPr>
          <w:b/>
          <w:bCs/>
          <w:lang w:val="en-US"/>
        </w:rPr>
      </w:pPr>
    </w:p>
    <w:p w14:paraId="7DCE3770" w14:textId="77777777" w:rsidR="00F60BBF" w:rsidRPr="00F60BBF" w:rsidRDefault="00F60BBF" w:rsidP="00F60BBF">
      <w:pPr>
        <w:rPr>
          <w:b/>
          <w:bCs/>
          <w:lang w:val="en-US"/>
        </w:rPr>
      </w:pPr>
      <w:r w:rsidRPr="00F60BBF">
        <w:rPr>
          <w:b/>
          <w:bCs/>
          <w:lang w:val="en-US"/>
        </w:rPr>
        <w:t xml:space="preserve">Table S2. Sensitivity analysis: </w:t>
      </w:r>
      <w:proofErr w:type="gramStart"/>
      <w:r w:rsidRPr="00F60BBF">
        <w:rPr>
          <w:b/>
          <w:bCs/>
          <w:lang w:val="en-US"/>
        </w:rPr>
        <w:t>independent-samples</w:t>
      </w:r>
      <w:proofErr w:type="gramEnd"/>
      <w:r w:rsidRPr="00F60BBF">
        <w:rPr>
          <w:b/>
          <w:bCs/>
          <w:lang w:val="en-US"/>
        </w:rPr>
        <w:t xml:space="preserve"> comparison of all pre-training and post-training respondents.</w:t>
      </w:r>
    </w:p>
    <w:tbl>
      <w:tblPr>
        <w:tblW w:w="1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0"/>
        <w:gridCol w:w="2400"/>
        <w:gridCol w:w="2400"/>
        <w:gridCol w:w="1400"/>
        <w:gridCol w:w="1000"/>
      </w:tblGrid>
      <w:tr w:rsidR="00F60BBF" w:rsidRPr="00F60BBF" w14:paraId="72A49FF3" w14:textId="77777777">
        <w:trPr>
          <w:cantSplit/>
        </w:trPr>
        <w:tc>
          <w:tcPr>
            <w:tcW w:w="380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6B31AE3C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Measure</w:t>
            </w:r>
          </w:p>
        </w:tc>
        <w:tc>
          <w:tcPr>
            <w:tcW w:w="240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6BF61906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Pre-training (n = 378) Mean (SD)</w:t>
            </w:r>
          </w:p>
        </w:tc>
        <w:tc>
          <w:tcPr>
            <w:tcW w:w="240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5B2AE44E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Post-training (n = 216) Mean (SD)</w:t>
            </w:r>
          </w:p>
        </w:tc>
        <w:tc>
          <w:tcPr>
            <w:tcW w:w="140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1785582F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U</w:t>
            </w:r>
          </w:p>
        </w:tc>
        <w:tc>
          <w:tcPr>
            <w:tcW w:w="100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7194C05D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p</w:t>
            </w:r>
          </w:p>
        </w:tc>
      </w:tr>
      <w:tr w:rsidR="00F60BBF" w:rsidRPr="00F60BBF" w14:paraId="2305412D" w14:textId="77777777">
        <w:trPr>
          <w:cantSplit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30992A55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CICS29 total (range 29–145)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7EF9DEDC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108.9 (14.8)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52E791E9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113.2 (16.3)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18D57861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34,892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5077E7D2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&lt;0.001</w:t>
            </w:r>
          </w:p>
        </w:tc>
      </w:tr>
      <w:tr w:rsidR="00F60BBF" w:rsidRPr="00F60BBF" w14:paraId="5D8658CF" w14:textId="77777777">
        <w:trPr>
          <w:cantSplit/>
        </w:trPr>
        <w:tc>
          <w:tcPr>
            <w:tcW w:w="38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1BA225AE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T-TPQ total (range 35–175)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368C3EE1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137.1 (18.0)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3D552032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139.0 (19.7)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05C0EB92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38,524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5519E581" w14:textId="77777777" w:rsidR="00F60BBF" w:rsidRPr="00F60BBF" w:rsidRDefault="00F60BBF" w:rsidP="00F60BBF">
            <w:pPr>
              <w:rPr>
                <w:b/>
                <w:bCs/>
                <w:lang w:val="en-US"/>
              </w:rPr>
            </w:pPr>
            <w:r w:rsidRPr="00F60BBF">
              <w:rPr>
                <w:b/>
                <w:bCs/>
                <w:lang w:val="en-US"/>
              </w:rPr>
              <w:t>0.236</w:t>
            </w:r>
          </w:p>
        </w:tc>
      </w:tr>
    </w:tbl>
    <w:p w14:paraId="0609D9F7" w14:textId="77777777" w:rsidR="00F60BBF" w:rsidRPr="00F60BBF" w:rsidRDefault="00F60BBF" w:rsidP="00F60BBF">
      <w:pPr>
        <w:rPr>
          <w:b/>
          <w:bCs/>
          <w:lang w:val="en-US"/>
        </w:rPr>
      </w:pPr>
      <w:r w:rsidRPr="00F60BBF">
        <w:rPr>
          <w:b/>
          <w:bCs/>
          <w:lang w:val="en-US"/>
        </w:rPr>
        <w:t>Independent-samples Mann–Whitney U tests (two-tailed) were conducted to assess the robustness of the primary paired analysis (matching rate 51.9%) against all respondents with valid scores.</w:t>
      </w:r>
    </w:p>
    <w:p w14:paraId="42FB8743" w14:textId="77777777" w:rsidR="00F60BBF" w:rsidRPr="00F60BBF" w:rsidRDefault="00F60BBF" w:rsidP="00F60BBF">
      <w:pPr>
        <w:rPr>
          <w:b/>
          <w:bCs/>
          <w:lang w:val="en-US"/>
        </w:rPr>
      </w:pPr>
      <w:r w:rsidRPr="00F60BBF">
        <w:rPr>
          <w:b/>
          <w:bCs/>
          <w:lang w:val="en-US"/>
        </w:rPr>
        <w:t>The direction and significance pattern are consistent with the primary paired analysis (Table 3): CICS29 scores were significantly higher in post-training respondents, whereas T-TPQ scores did not differ significantly.</w:t>
      </w:r>
    </w:p>
    <w:p w14:paraId="4680E776" w14:textId="77777777" w:rsidR="00F60BBF" w:rsidRPr="00F60BBF" w:rsidRDefault="00F60BBF" w:rsidP="00F60BBF">
      <w:pPr>
        <w:rPr>
          <w:b/>
          <w:bCs/>
          <w:lang w:val="en-US"/>
        </w:rPr>
      </w:pPr>
      <w:r w:rsidRPr="00F60BBF">
        <w:rPr>
          <w:b/>
          <w:bCs/>
          <w:lang w:val="en-US"/>
        </w:rPr>
        <w:t xml:space="preserve">CICS29, Chiba Interprofessional Competency Scale; T-TPQ, </w:t>
      </w:r>
      <w:proofErr w:type="spellStart"/>
      <w:r w:rsidRPr="00F60BBF">
        <w:rPr>
          <w:b/>
          <w:bCs/>
          <w:lang w:val="en-US"/>
        </w:rPr>
        <w:t>TeamSTEPPS</w:t>
      </w:r>
      <w:proofErr w:type="spellEnd"/>
      <w:r w:rsidRPr="00F60BBF">
        <w:rPr>
          <w:b/>
          <w:bCs/>
          <w:lang w:val="en-US"/>
        </w:rPr>
        <w:t xml:space="preserve"> Teamwork Perceptions Questionnaire; SD, standard deviation.</w:t>
      </w:r>
    </w:p>
    <w:p w14:paraId="5A3C76B4" w14:textId="77777777" w:rsidR="00F60BBF" w:rsidRPr="00F60BBF" w:rsidRDefault="00F60BBF" w:rsidP="00F60BBF">
      <w:pPr>
        <w:rPr>
          <w:b/>
          <w:bCs/>
          <w:lang w:val="en-US"/>
        </w:rPr>
      </w:pPr>
    </w:p>
    <w:p w14:paraId="7522EDE5" w14:textId="6C14464F" w:rsidR="00F60BBF" w:rsidRPr="00F60BBF" w:rsidRDefault="00F60BBF" w:rsidP="00F60BBF">
      <w:pPr>
        <w:rPr>
          <w:b/>
          <w:bCs/>
          <w:lang w:val="en-US"/>
        </w:rPr>
      </w:pPr>
    </w:p>
    <w:p w14:paraId="44FDEA90" w14:textId="77777777" w:rsidR="00767E38" w:rsidRDefault="00767E38"/>
    <w:sectPr w:rsidR="00767E38" w:rsidSect="00F60BBF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BBF"/>
    <w:rsid w:val="00767E38"/>
    <w:rsid w:val="00866F7D"/>
    <w:rsid w:val="00BB4251"/>
    <w:rsid w:val="00EE5CC4"/>
    <w:rsid w:val="00F6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1A1E4"/>
  <w15:chartTrackingRefBased/>
  <w15:docId w15:val="{883746D9-CFDB-4016-9D7F-32DBAE1A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0B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0B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0B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B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0B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0B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0B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0B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0B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B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0B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0B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B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0B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0B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0B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0B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0B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0B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B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0B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0B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0B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0B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0B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0B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0B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0B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2026-06-18T11:44:00Z</dcterms:created>
  <dcterms:modified xsi:type="dcterms:W3CDTF">2026-06-18T11:45:00Z</dcterms:modified>
</cp:coreProperties>
</file>