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480" w:lineRule="auto"/>
        <w:jc w:val="center"/>
      </w:pPr>
      <w:r>
        <w:rPr>
          <w:rFonts w:ascii="Times New Roman" w:hAnsi="Times New Roman" w:eastAsia="Times New Roman"/>
          <w:b/>
          <w:sz w:val="32"/>
        </w:rPr>
        <w:t>Supplementary Material</w:t>
      </w:r>
    </w:p>
    <w:p>
      <w:pPr>
        <w:spacing w:line="480" w:lineRule="auto"/>
        <w:jc w:val="center"/>
      </w:pPr>
      <w:r>
        <w:rPr>
          <w:rFonts w:ascii="Times New Roman" w:hAnsi="Times New Roman" w:eastAsia="Times New Roman"/>
          <w:b/>
          <w:sz w:val="24"/>
        </w:rPr>
        <w:t>Development and internal validation of a contrast-enhanced CT-based clinical-radiomics model for preoperative prediction of lymph node metastasis in rectal cancer</w:t>
      </w:r>
    </w:p>
    <w:p>
      <w:pPr>
        <w:spacing w:before="0" w:after="120" w:line="480" w:lineRule="auto"/>
        <w:jc w:val="center"/>
      </w:pPr>
      <w:r>
        <w:rPr>
          <w:rFonts w:ascii="Times New Roman" w:hAnsi="Times New Roman" w:eastAsia="Times New Roman"/>
          <w:sz w:val="24"/>
        </w:rPr>
        <w:t>Additional file 1: Supplementary figures.</w:t>
      </w:r>
    </w:p>
    <w:p>
      <w:pPr>
        <w:pStyle w:val="Heading1"/>
        <w:spacing w:before="240" w:after="120"/>
        <w:jc w:val="left"/>
      </w:pPr>
      <w:r>
        <w:rPr>
          <w:rFonts w:ascii="Times New Roman" w:hAnsi="Times New Roman" w:eastAsia="Times New Roman"/>
          <w:b/>
          <w:sz w:val="28"/>
        </w:rPr>
        <w:t>Supplementary Figure S1</w:t>
      </w:r>
    </w:p>
    <w:p>
      <w:pPr>
        <w:spacing w:before="0" w:after="120" w:line="276" w:lineRule="auto"/>
      </w:pPr>
      <w:r>
        <w:rPr>
          <w:rFonts w:ascii="Times New Roman" w:hAnsi="Times New Roman" w:eastAsia="Times New Roman"/>
          <w:sz w:val="24"/>
        </w:rPr>
        <w:t>LASSO-based radiomics feature selection and coefficient profiles for construction of the radiomics model.</w:t>
      </w:r>
    </w:p>
    <w:p>
      <w:pPr>
        <w:jc w:val="center"/>
      </w:pPr>
      <w:r>
        <w:drawing>
          <wp:inline xmlns:a="http://schemas.openxmlformats.org/drawingml/2006/main" xmlns:pic="http://schemas.openxmlformats.org/drawingml/2006/picture">
            <wp:extent cx="5669280" cy="1518077"/>
            <wp:docPr id="1" name="Picture 1"/>
            <wp:cNvGraphicFramePr>
              <a:graphicFrameLocks noChangeAspect="1"/>
            </wp:cNvGraphicFramePr>
            <a:graphic>
              <a:graphicData uri="http://schemas.openxmlformats.org/drawingml/2006/picture">
                <pic:pic>
                  <pic:nvPicPr>
                    <pic:cNvPr id="0" name="image1.png"/>
                    <pic:cNvPicPr/>
                  </pic:nvPicPr>
                  <pic:blipFill>
                    <a:blip r:embed="rId10"/>
                    <a:stretch>
                      <a:fillRect/>
                    </a:stretch>
                  </pic:blipFill>
                  <pic:spPr>
                    <a:xfrm>
                      <a:off x="0" y="0"/>
                      <a:ext cx="5669280" cy="1518077"/>
                    </a:xfrm>
                    <a:prstGeom prst="rect"/>
                  </pic:spPr>
                </pic:pic>
              </a:graphicData>
            </a:graphic>
          </wp:inline>
        </w:drawing>
      </w:r>
    </w:p>
    <w:p>
      <w:pPr>
        <w:jc w:val="center"/>
      </w:pPr>
      <w:r>
        <w:drawing>
          <wp:inline xmlns:a="http://schemas.openxmlformats.org/drawingml/2006/main" xmlns:pic="http://schemas.openxmlformats.org/drawingml/2006/picture">
            <wp:extent cx="4389120" cy="1290434"/>
            <wp:docPr id="2" name="Picture 2"/>
            <wp:cNvGraphicFramePr>
              <a:graphicFrameLocks noChangeAspect="1"/>
            </wp:cNvGraphicFramePr>
            <a:graphic>
              <a:graphicData uri="http://schemas.openxmlformats.org/drawingml/2006/picture">
                <pic:pic>
                  <pic:nvPicPr>
                    <pic:cNvPr id="0" name="image2.png"/>
                    <pic:cNvPicPr/>
                  </pic:nvPicPr>
                  <pic:blipFill>
                    <a:blip r:embed="rId11"/>
                    <a:stretch>
                      <a:fillRect/>
                    </a:stretch>
                  </pic:blipFill>
                  <pic:spPr>
                    <a:xfrm>
                      <a:off x="0" y="0"/>
                      <a:ext cx="4389120" cy="1290434"/>
                    </a:xfrm>
                    <a:prstGeom prst="rect"/>
                  </pic:spPr>
                </pic:pic>
              </a:graphicData>
            </a:graphic>
          </wp:inline>
        </w:drawing>
      </w:r>
    </w:p>
    <w:p>
      <w:pPr>
        <w:jc w:val="center"/>
      </w:pPr>
      <w:r>
        <w:drawing>
          <wp:inline xmlns:a="http://schemas.openxmlformats.org/drawingml/2006/main" xmlns:pic="http://schemas.openxmlformats.org/drawingml/2006/picture">
            <wp:extent cx="5669280" cy="1612117"/>
            <wp:docPr id="3" name="Picture 3"/>
            <wp:cNvGraphicFramePr>
              <a:graphicFrameLocks noChangeAspect="1"/>
            </wp:cNvGraphicFramePr>
            <a:graphic>
              <a:graphicData uri="http://schemas.openxmlformats.org/drawingml/2006/picture">
                <pic:pic>
                  <pic:nvPicPr>
                    <pic:cNvPr id="0" name="image3.png"/>
                    <pic:cNvPicPr/>
                  </pic:nvPicPr>
                  <pic:blipFill>
                    <a:blip r:embed="rId12"/>
                    <a:stretch>
                      <a:fillRect/>
                    </a:stretch>
                  </pic:blipFill>
                  <pic:spPr>
                    <a:xfrm>
                      <a:off x="0" y="0"/>
                      <a:ext cx="5669280" cy="1612117"/>
                    </a:xfrm>
                    <a:prstGeom prst="rect"/>
                  </pic:spPr>
                </pic:pic>
              </a:graphicData>
            </a:graphic>
          </wp:inline>
        </w:drawing>
      </w:r>
    </w:p>
    <w:p>
      <w:pPr>
        <w:spacing w:before="0" w:after="120" w:line="276" w:lineRule="auto"/>
      </w:pPr>
      <w:r>
        <w:rPr>
          <w:rFonts w:ascii="Times New Roman" w:hAnsi="Times New Roman" w:eastAsia="Times New Roman"/>
          <w:sz w:val="24"/>
        </w:rPr>
        <w:t>(A) LASSO coefficient profiles of radiomics features plotted against -log(lambda); (B) radiomics features retained after LASSO shrinkage with non-zero coefficients; and (C) the corresponding coefficients of the selected radiomics features. A total of eight radiomics features were ultimately retained for radiomics model construction.</w:t>
      </w:r>
    </w:p>
    <w:p>
      <w:pPr>
        <w:pStyle w:val="Heading1"/>
        <w:spacing w:before="240" w:after="120"/>
        <w:jc w:val="left"/>
      </w:pPr>
      <w:r>
        <w:rPr>
          <w:rFonts w:ascii="Times New Roman" w:hAnsi="Times New Roman" w:eastAsia="Times New Roman"/>
          <w:b/>
          <w:sz w:val="28"/>
        </w:rPr>
        <w:t>Supplementary Figure S2</w:t>
      </w:r>
    </w:p>
    <w:p>
      <w:pPr>
        <w:spacing w:before="0" w:after="120" w:line="276" w:lineRule="auto"/>
      </w:pPr>
      <w:r>
        <w:rPr>
          <w:rFonts w:ascii="Times New Roman" w:hAnsi="Times New Roman" w:eastAsia="Times New Roman"/>
          <w:sz w:val="24"/>
        </w:rPr>
        <w:t>Confusion matrices of the clinical, radiomics, and combined models in the training and validation cohorts.</w:t>
      </w:r>
    </w:p>
    <w:p>
      <w:pPr>
        <w:jc w:val="center"/>
      </w:pPr>
      <w:r>
        <w:drawing>
          <wp:inline xmlns:a="http://schemas.openxmlformats.org/drawingml/2006/main" xmlns:pic="http://schemas.openxmlformats.org/drawingml/2006/picture">
            <wp:extent cx="5486400" cy="7760601"/>
            <wp:docPr id="4" name="Picture 4"/>
            <wp:cNvGraphicFramePr>
              <a:graphicFrameLocks noChangeAspect="1"/>
            </wp:cNvGraphicFramePr>
            <a:graphic>
              <a:graphicData uri="http://schemas.openxmlformats.org/drawingml/2006/picture">
                <pic:pic>
                  <pic:nvPicPr>
                    <pic:cNvPr id="0" name="image4.png"/>
                    <pic:cNvPicPr/>
                  </pic:nvPicPr>
                  <pic:blipFill>
                    <a:blip r:embed="rId13"/>
                    <a:stretch>
                      <a:fillRect/>
                    </a:stretch>
                  </pic:blipFill>
                  <pic:spPr>
                    <a:xfrm>
                      <a:off x="0" y="0"/>
                      <a:ext cx="5486400" cy="7760601"/>
                    </a:xfrm>
                    <a:prstGeom prst="rect"/>
                  </pic:spPr>
                </pic:pic>
              </a:graphicData>
            </a:graphic>
          </wp:inline>
        </w:drawing>
      </w:r>
    </w:p>
    <w:p>
      <w:pPr>
        <w:spacing w:before="0" w:after="120" w:line="276" w:lineRule="auto"/>
      </w:pPr>
      <w:r>
        <w:rPr>
          <w:rFonts w:ascii="Times New Roman" w:hAnsi="Times New Roman" w:eastAsia="Times New Roman"/>
          <w:sz w:val="24"/>
        </w:rPr>
        <w:t>(A) Clinical model in the training cohort; (B) radiomics model in the training cohort; (C) combined model in the training cohort; (D) clinical model in the validation cohort; (E) radiomics model in the validation cohort; and (F) combined model in the validation cohort. The confusion matrices provide an intuitive presentation of the classification performance of each model for preoperative prediction of lymph node metastasis in rectal cancer.</w:t>
      </w:r>
    </w:p>
    <w:sectPr w:rsidR="00FC693F" w:rsidRPr="0006063C" w:rsidSect="00034616">
      <w:footerReference w:type="default" r:id="rId9"/>
      <w:pgSz w:w="12240" w:h="15840"/>
      <w:pgMar w:top="1440" w:right="1440" w:bottom="1440" w:left="1440" w:header="720" w:footer="720" w:gutter="0"/>
      <w:cols w:space="720"/>
      <w:docGrid w:linePitch="360"/>
      <w:lnNumType w:countBy="1" w:start="1" w:restart="newPa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Times New Roman"/>
        <w:sz w:val="20"/>
      </w:rPr>
      <w:fldChar w:fldCharType="begin"/>
      <w:instrText xml:space="preserve">PAGE</w:instrText>
      <w:fldChar w:fldCharType="separate"/>
      <w:t>1</w: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Times New Roman"/>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Times New Roman"/>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Times New Roman"/>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rPr>
      <w:rFonts w:ascii="Times New Roman" w:hAnsi="Times New Roman" w:eastAsia="Times New Roman"/>
      <w:sz w:val="24"/>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