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sz w:val="28"/>
        </w:rPr>
        <w:t>STARD 2015 Checklist</w:t>
      </w:r>
    </w:p>
    <w:p>
      <w:pPr>
        <w:spacing w:after="240"/>
        <w:jc w:val="center"/>
      </w:pPr>
      <w:r>
        <w:rPr>
          <w:rFonts w:ascii="Times New Roman" w:hAnsi="Times New Roman"/>
          <w:b w:val="0"/>
          <w:sz w:val="22"/>
        </w:rPr>
        <w:t>Essential Items for Reporting Diagnostic Accuracy Studies</w:t>
      </w:r>
    </w:p>
    <w:p>
      <w:pPr>
        <w:spacing w:after="80"/>
      </w:pPr>
      <w:r>
        <w:rPr>
          <w:rFonts w:ascii="Times New Roman" w:hAnsi="Times New Roman"/>
          <w:b/>
          <w:i w:val="0"/>
          <w:sz w:val="20"/>
        </w:rPr>
        <w:t>Manuscript: Carotid Flow Time and Inferior Vena Cava Collapsibility Index for Prediction of Active Bleeding in Upper Gastrointestinal Haemorrhage: A Prospective Emergency Department Study</w:t>
      </w:r>
    </w:p>
    <w:p>
      <w:pPr>
        <w:spacing w:after="80"/>
      </w:pPr>
      <w:r>
        <w:rPr>
          <w:rFonts w:ascii="Times New Roman" w:hAnsi="Times New Roman"/>
          <w:b w:val="0"/>
          <w:i w:val="0"/>
          <w:sz w:val="20"/>
        </w:rPr>
        <w:t>Corresponding author: Bilal Yeniyurt, MD — bilalyeniyurt@gmail.com</w:t>
      </w:r>
    </w:p>
    <w:p>
      <w:pPr>
        <w:spacing w:after="280"/>
      </w:pPr>
      <w:r>
        <w:rPr>
          <w:rFonts w:ascii="Times New Roman" w:hAnsi="Times New Roman"/>
          <w:b w:val="0"/>
          <w:i/>
          <w:sz w:val="20"/>
        </w:rPr>
        <w:t>Reference: Bossuyt PM, Reitsma JB, Bruns DE, et al. STARD 2015: An Updated List of Essential Items for Reporting Diagnostic Accuracy Studies. BMJ 2015;351:h5527. doi:10.1136/bmj.h5527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304"/>
            <w:shd w:val="clear" w:color="auto" w:fill="4472C4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center"/>
          </w:tcPr>
          <w:p>
            <w:pPr>
              <w:spacing w:after="40"/>
            </w:pPr>
            <w:r/>
            <w:r>
              <w:rPr>
                <w:rFonts w:ascii="Times New Roman" w:hAnsi="Times New Roman"/>
                <w:b/>
                <w:color w:val="FFFFFF"/>
                <w:sz w:val="20"/>
              </w:rPr>
              <w:t>Section/Topic</w:t>
            </w:r>
          </w:p>
        </w:tc>
        <w:tc>
          <w:tcPr>
            <w:tcW w:type="dxa" w:w="576"/>
            <w:shd w:val="clear" w:color="auto" w:fill="4472C4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center"/>
          </w:tcPr>
          <w:p>
            <w:pPr>
              <w:spacing w:after="40"/>
            </w:pPr>
            <w:r/>
            <w:r>
              <w:rPr>
                <w:rFonts w:ascii="Times New Roman" w:hAnsi="Times New Roman"/>
                <w:b/>
                <w:color w:val="FFFFFF"/>
                <w:sz w:val="20"/>
              </w:rPr>
              <w:t>Item #</w:t>
            </w:r>
          </w:p>
        </w:tc>
        <w:tc>
          <w:tcPr>
            <w:tcW w:type="dxa" w:w="4320"/>
            <w:shd w:val="clear" w:color="auto" w:fill="4472C4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center"/>
          </w:tcPr>
          <w:p>
            <w:pPr>
              <w:spacing w:after="40"/>
            </w:pPr>
            <w:r/>
            <w:r>
              <w:rPr>
                <w:rFonts w:ascii="Times New Roman" w:hAnsi="Times New Roman"/>
                <w:b/>
                <w:color w:val="FFFFFF"/>
                <w:sz w:val="20"/>
              </w:rPr>
              <w:t>Item Description</w:t>
            </w:r>
          </w:p>
        </w:tc>
        <w:tc>
          <w:tcPr>
            <w:tcW w:type="dxa" w:w="3456"/>
            <w:shd w:val="clear" w:color="auto" w:fill="4472C4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center"/>
          </w:tcPr>
          <w:p>
            <w:pPr>
              <w:spacing w:after="40"/>
            </w:pPr>
            <w:r/>
            <w:r>
              <w:rPr>
                <w:rFonts w:ascii="Times New Roman" w:hAnsi="Times New Roman"/>
                <w:b/>
                <w:color w:val="FFFFFF"/>
                <w:sz w:val="20"/>
              </w:rPr>
              <w:t>Reported on Page/Section</w:t>
            </w:r>
          </w:p>
        </w:tc>
      </w:tr>
      <w:tr>
        <w:tc>
          <w:tcPr>
            <w:tcW w:type="dxa" w:w="2304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b/>
                <w:sz w:val="18"/>
              </w:rPr>
              <w:t>TITLE OR ABSTRACT</w:t>
            </w:r>
          </w:p>
        </w:tc>
        <w:tc>
          <w:tcPr>
            <w:tcW w:type="dxa" w:w="57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type="dxa" w:w="432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Identification as a study of diagnostic accuracy using at least one measure of accuracy (such as sensitivity, specificity, predictive values, or AUC)</w:t>
            </w:r>
          </w:p>
        </w:tc>
        <w:tc>
          <w:tcPr>
            <w:tcW w:type="dxa" w:w="345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Title page; Abstract (Methods, Results)</w:t>
            </w:r>
          </w:p>
        </w:tc>
      </w:tr>
      <w:tr>
        <w:tc>
          <w:tcPr>
            <w:tcW w:type="dxa" w:w="2304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b/>
                <w:sz w:val="18"/>
              </w:rPr>
              <w:t>ABSTRACT</w:t>
            </w:r>
          </w:p>
        </w:tc>
        <w:tc>
          <w:tcPr>
            <w:tcW w:type="dxa" w:w="57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type="dxa" w:w="432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Structured summary of study design, methods, results, and conclusions (for specific guidance, see STARD for Abstracts)</w:t>
            </w:r>
          </w:p>
        </w:tc>
        <w:tc>
          <w:tcPr>
            <w:tcW w:type="dxa" w:w="345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Abstract — structured: Background, Methods, Results, Conclusions</w:t>
            </w:r>
          </w:p>
        </w:tc>
      </w:tr>
      <w:tr>
        <w:tc>
          <w:tcPr>
            <w:tcW w:type="dxa" w:w="2304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b/>
                <w:sz w:val="18"/>
              </w:rPr>
              <w:t>INTRODUCTION</w:t>
            </w:r>
          </w:p>
        </w:tc>
        <w:tc>
          <w:tcPr>
            <w:tcW w:type="dxa" w:w="57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type="dxa" w:w="432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Scientific and clinical background, including the intended use and clinical role of the index test</w:t>
            </w:r>
          </w:p>
        </w:tc>
        <w:tc>
          <w:tcPr>
            <w:tcW w:type="dxa" w:w="345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Background — paragraphs 1–3 (POCUS as bedside adjunct in UGIB)</w:t>
            </w:r>
          </w:p>
        </w:tc>
      </w:tr>
      <w:tr>
        <w:tc>
          <w:tcPr>
            <w:tcW w:type="dxa" w:w="2304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W w:type="dxa" w:w="57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type="dxa" w:w="432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Study objectives and hypotheses</w:t>
            </w:r>
          </w:p>
        </w:tc>
        <w:tc>
          <w:tcPr>
            <w:tcW w:type="dxa" w:w="345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Background — final paragraph (aim + hypothesis)</w:t>
            </w:r>
          </w:p>
        </w:tc>
      </w:tr>
      <w:tr>
        <w:tc>
          <w:tcPr>
            <w:tcW w:type="dxa" w:w="2304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b/>
                <w:sz w:val="18"/>
              </w:rPr>
              <w:t>METHODS — Study design</w:t>
            </w:r>
          </w:p>
        </w:tc>
        <w:tc>
          <w:tcPr>
            <w:tcW w:type="dxa" w:w="57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type="dxa" w:w="432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Whether data collection was planned before the index test and reference standard were performed (prospective study) or after (retrospective study)</w:t>
            </w:r>
          </w:p>
        </w:tc>
        <w:tc>
          <w:tcPr>
            <w:tcW w:type="dxa" w:w="345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Methods — Study Design and Setting (prospective, pre-specified protocol)</w:t>
            </w:r>
          </w:p>
        </w:tc>
      </w:tr>
      <w:tr>
        <w:tc>
          <w:tcPr>
            <w:tcW w:type="dxa" w:w="2304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b/>
                <w:sz w:val="18"/>
              </w:rPr>
              <w:t>METHODS — Participants</w:t>
            </w:r>
          </w:p>
        </w:tc>
        <w:tc>
          <w:tcPr>
            <w:tcW w:type="dxa" w:w="57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type="dxa" w:w="432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Eligibility criteria</w:t>
            </w:r>
          </w:p>
        </w:tc>
        <w:tc>
          <w:tcPr>
            <w:tcW w:type="dxa" w:w="345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Methods — Inclusion Criteria; Exclusion Criteria</w:t>
            </w:r>
          </w:p>
        </w:tc>
      </w:tr>
      <w:tr>
        <w:tc>
          <w:tcPr>
            <w:tcW w:type="dxa" w:w="2304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W w:type="dxa" w:w="57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type="dxa" w:w="432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On what basis potentially eligible participants were identified (such as symptoms, results from previous tests, inclusion in registry)</w:t>
            </w:r>
          </w:p>
        </w:tc>
        <w:tc>
          <w:tcPr>
            <w:tcW w:type="dxa" w:w="345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Methods — Inclusion Criteria (haematemesis, melaena, coffee-ground vomiting + clinical decision for endoscopy)</w:t>
            </w:r>
          </w:p>
        </w:tc>
      </w:tr>
      <w:tr>
        <w:tc>
          <w:tcPr>
            <w:tcW w:type="dxa" w:w="2304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W w:type="dxa" w:w="57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type="dxa" w:w="432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Where and when potentially eligible participants were identified (setting, location, and dates)</w:t>
            </w:r>
          </w:p>
        </w:tc>
        <w:tc>
          <w:tcPr>
            <w:tcW w:type="dxa" w:w="345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Methods — Study Design and Setting (Kanuni Sultan Süleyman Training and Research Hospital ED, 1 September 2022–1 September 2023)</w:t>
            </w:r>
          </w:p>
        </w:tc>
      </w:tr>
      <w:tr>
        <w:tc>
          <w:tcPr>
            <w:tcW w:type="dxa" w:w="2304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W w:type="dxa" w:w="57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type="dxa" w:w="432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Whether participants formed a consecutive, random, or convenience series</w:t>
            </w:r>
          </w:p>
        </w:tc>
        <w:tc>
          <w:tcPr>
            <w:tcW w:type="dxa" w:w="345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Methods — Inclusion Criteria (consecutive enrolment); Patient Flow</w:t>
            </w:r>
          </w:p>
        </w:tc>
      </w:tr>
      <w:tr>
        <w:tc>
          <w:tcPr>
            <w:tcW w:type="dxa" w:w="2304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b/>
                <w:sz w:val="18"/>
              </w:rPr>
              <w:t>METHODS — Test methods</w:t>
            </w:r>
          </w:p>
        </w:tc>
        <w:tc>
          <w:tcPr>
            <w:tcW w:type="dxa" w:w="57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10a</w:t>
            </w:r>
          </w:p>
        </w:tc>
        <w:tc>
          <w:tcPr>
            <w:tcW w:type="dxa" w:w="432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Index test, in sufficient detail to allow replication</w:t>
            </w:r>
          </w:p>
        </w:tc>
        <w:tc>
          <w:tcPr>
            <w:tcW w:type="dxa" w:w="345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Methods — Ultrasound Protocol: Carotid Flow Time (probe, position, insonation angle, waveform timing, averaging)</w:t>
            </w:r>
          </w:p>
        </w:tc>
      </w:tr>
      <w:tr>
        <w:tc>
          <w:tcPr>
            <w:tcW w:type="dxa" w:w="2304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W w:type="dxa" w:w="57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10b</w:t>
            </w:r>
          </w:p>
        </w:tc>
        <w:tc>
          <w:tcPr>
            <w:tcW w:type="dxa" w:w="432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Reference standard, in sufficient detail to allow replication</w:t>
            </w:r>
          </w:p>
        </w:tc>
        <w:tc>
          <w:tcPr>
            <w:tcW w:type="dxa" w:w="345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Methods — Primary Outcome (upper GI endoscopy with Forrest classification by experienced gastroenterologists/surgeons)</w:t>
            </w:r>
          </w:p>
        </w:tc>
      </w:tr>
      <w:tr>
        <w:tc>
          <w:tcPr>
            <w:tcW w:type="dxa" w:w="2304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W w:type="dxa" w:w="57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type="dxa" w:w="432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Rationale for choosing the reference standard (if alternatives exist)</w:t>
            </w:r>
          </w:p>
        </w:tc>
        <w:tc>
          <w:tcPr>
            <w:tcW w:type="dxa" w:w="345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Background; Methods — Primary Outcome (Forrest classification per ESGE re-bleeding risk criteria)</w:t>
            </w:r>
          </w:p>
        </w:tc>
      </w:tr>
      <w:tr>
        <w:tc>
          <w:tcPr>
            <w:tcW w:type="dxa" w:w="2304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W w:type="dxa" w:w="57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12a</w:t>
            </w:r>
          </w:p>
        </w:tc>
        <w:tc>
          <w:tcPr>
            <w:tcW w:type="dxa" w:w="432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Definition of and rationale for test positivity cut-offs or result categories of the index test, distinguishing pre-specified from exploratory</w:t>
            </w:r>
          </w:p>
        </w:tc>
        <w:tc>
          <w:tcPr>
            <w:tcW w:type="dxa" w:w="345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Methods — Statistical Analysis (Youden index for cut-off identification; raw CFT pre-specified)</w:t>
            </w:r>
          </w:p>
        </w:tc>
      </w:tr>
      <w:tr>
        <w:tc>
          <w:tcPr>
            <w:tcW w:type="dxa" w:w="2304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W w:type="dxa" w:w="57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12b</w:t>
            </w:r>
          </w:p>
        </w:tc>
        <w:tc>
          <w:tcPr>
            <w:tcW w:type="dxa" w:w="432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Definition of and rationale for test positivity cut-offs or result categories of the reference standard, distinguishing pre-specified from exploratory</w:t>
            </w:r>
          </w:p>
        </w:tc>
        <w:tc>
          <w:tcPr>
            <w:tcW w:type="dxa" w:w="345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Methods — Primary Outcome (Forrest Ia–IIc pre-specified as active/high-risk; sensitivity analysis excluding Forrest IIc pre-specified)</w:t>
            </w:r>
          </w:p>
        </w:tc>
      </w:tr>
      <w:tr>
        <w:tc>
          <w:tcPr>
            <w:tcW w:type="dxa" w:w="2304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W w:type="dxa" w:w="57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13a</w:t>
            </w:r>
          </w:p>
        </w:tc>
        <w:tc>
          <w:tcPr>
            <w:tcW w:type="dxa" w:w="432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Whether clinical information and reference standard results were available to the performers/readers of the index test</w:t>
            </w:r>
          </w:p>
        </w:tc>
        <w:tc>
          <w:tcPr>
            <w:tcW w:type="dxa" w:w="345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Methods — Ultrasound Protocol (POCUS performed before endoscopy; emergency physicians acquired index test data)</w:t>
            </w:r>
          </w:p>
        </w:tc>
      </w:tr>
      <w:tr>
        <w:tc>
          <w:tcPr>
            <w:tcW w:type="dxa" w:w="2304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W w:type="dxa" w:w="57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13b</w:t>
            </w:r>
          </w:p>
        </w:tc>
        <w:tc>
          <w:tcPr>
            <w:tcW w:type="dxa" w:w="432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Whether clinical information and index test results were available to the assessors of the reference standard</w:t>
            </w:r>
          </w:p>
        </w:tc>
        <w:tc>
          <w:tcPr>
            <w:tcW w:type="dxa" w:w="345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Methods — Primary Outcome (endoscopists blinded to POCUS findings); Acknowledgements</w:t>
            </w:r>
          </w:p>
        </w:tc>
      </w:tr>
      <w:tr>
        <w:tc>
          <w:tcPr>
            <w:tcW w:type="dxa" w:w="2304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b/>
                <w:sz w:val="18"/>
              </w:rPr>
              <w:t>METHODS — Analysis</w:t>
            </w:r>
          </w:p>
        </w:tc>
        <w:tc>
          <w:tcPr>
            <w:tcW w:type="dxa" w:w="57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14</w:t>
            </w:r>
          </w:p>
        </w:tc>
        <w:tc>
          <w:tcPr>
            <w:tcW w:type="dxa" w:w="432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Methods for estimating or comparing measures of diagnostic accuracy</w:t>
            </w:r>
          </w:p>
        </w:tc>
        <w:tc>
          <w:tcPr>
            <w:tcW w:type="dxa" w:w="345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Methods — Statistical Analysis (ROC, AUC with 95% CI, sensitivity/specificity/PPV/NPV, DeLong pairwise AUC comparison)</w:t>
            </w:r>
          </w:p>
        </w:tc>
      </w:tr>
      <w:tr>
        <w:tc>
          <w:tcPr>
            <w:tcW w:type="dxa" w:w="2304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W w:type="dxa" w:w="57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15</w:t>
            </w:r>
          </w:p>
        </w:tc>
        <w:tc>
          <w:tcPr>
            <w:tcW w:type="dxa" w:w="432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How indeterminate index test or reference standard results were handled</w:t>
            </w:r>
          </w:p>
        </w:tc>
        <w:tc>
          <w:tcPr>
            <w:tcW w:type="dxa" w:w="345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Methods — Ultrasound Protocol: IVC-CI (one patient with uninterpretable IVCmin excluded from IVC-CI analysis); Results — POCUS Parameters</w:t>
            </w:r>
          </w:p>
        </w:tc>
      </w:tr>
      <w:tr>
        <w:tc>
          <w:tcPr>
            <w:tcW w:type="dxa" w:w="2304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W w:type="dxa" w:w="57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type="dxa" w:w="432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How missing data on the index test and reference standard were handled</w:t>
            </w:r>
          </w:p>
        </w:tc>
        <w:tc>
          <w:tcPr>
            <w:tcW w:type="dxa" w:w="345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Methods — Ultrasound Protocol/Statistical Analysis (case-wise exclusion for uninterpretable measurements; no imputation)</w:t>
            </w:r>
          </w:p>
        </w:tc>
      </w:tr>
      <w:tr>
        <w:tc>
          <w:tcPr>
            <w:tcW w:type="dxa" w:w="2304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W w:type="dxa" w:w="57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17</w:t>
            </w:r>
          </w:p>
        </w:tc>
        <w:tc>
          <w:tcPr>
            <w:tcW w:type="dxa" w:w="432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Any analyses of variability in diagnostic accuracy, distinguishing pre-specified from exploratory</w:t>
            </w:r>
          </w:p>
        </w:tc>
        <w:tc>
          <w:tcPr>
            <w:tcW w:type="dxa" w:w="345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Methods — Statistical Analysis (pre-specified sensitivity analysis excluding Forrest IIc); Limitations (interobserver variability acknowledged but not formally assessed)</w:t>
            </w:r>
          </w:p>
        </w:tc>
      </w:tr>
      <w:tr>
        <w:tc>
          <w:tcPr>
            <w:tcW w:type="dxa" w:w="2304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W w:type="dxa" w:w="57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18</w:t>
            </w:r>
          </w:p>
        </w:tc>
        <w:tc>
          <w:tcPr>
            <w:tcW w:type="dxa" w:w="432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Intended sample size and how it was determined</w:t>
            </w:r>
          </w:p>
        </w:tc>
        <w:tc>
          <w:tcPr>
            <w:tcW w:type="dxa" w:w="345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Methods — Sample Size (a priori power analysis: expected AUC 0.85, α = 0.05, power 80% → n = 78)</w:t>
            </w:r>
          </w:p>
        </w:tc>
      </w:tr>
      <w:tr>
        <w:tc>
          <w:tcPr>
            <w:tcW w:type="dxa" w:w="2304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b/>
                <w:sz w:val="18"/>
              </w:rPr>
              <w:t>RESULTS — Participants</w:t>
            </w:r>
          </w:p>
        </w:tc>
        <w:tc>
          <w:tcPr>
            <w:tcW w:type="dxa" w:w="57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19</w:t>
            </w:r>
          </w:p>
        </w:tc>
        <w:tc>
          <w:tcPr>
            <w:tcW w:type="dxa" w:w="432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Flow of participants, using a diagram</w:t>
            </w:r>
          </w:p>
        </w:tc>
        <w:tc>
          <w:tcPr>
            <w:tcW w:type="dxa" w:w="345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Methods — Patient Flow narrative (248 screened → 78 enrolled; CONSORT-style flow may be added as Figure if requested)</w:t>
            </w:r>
          </w:p>
        </w:tc>
      </w:tr>
      <w:tr>
        <w:tc>
          <w:tcPr>
            <w:tcW w:type="dxa" w:w="2304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W w:type="dxa" w:w="57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type="dxa" w:w="432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Baseline demographic and clinical characteristics of participants</w:t>
            </w:r>
          </w:p>
        </w:tc>
        <w:tc>
          <w:tcPr>
            <w:tcW w:type="dxa" w:w="345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Results — Study Population; Table 1</w:t>
            </w:r>
          </w:p>
        </w:tc>
      </w:tr>
      <w:tr>
        <w:tc>
          <w:tcPr>
            <w:tcW w:type="dxa" w:w="2304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W w:type="dxa" w:w="57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21a</w:t>
            </w:r>
          </w:p>
        </w:tc>
        <w:tc>
          <w:tcPr>
            <w:tcW w:type="dxa" w:w="432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Distribution of severity of disease in those with the target condition</w:t>
            </w:r>
          </w:p>
        </w:tc>
        <w:tc>
          <w:tcPr>
            <w:tcW w:type="dxa" w:w="345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Table 3 (Forrest classification distribution)</w:t>
            </w:r>
          </w:p>
        </w:tc>
      </w:tr>
      <w:tr>
        <w:tc>
          <w:tcPr>
            <w:tcW w:type="dxa" w:w="2304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W w:type="dxa" w:w="57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21b</w:t>
            </w:r>
          </w:p>
        </w:tc>
        <w:tc>
          <w:tcPr>
            <w:tcW w:type="dxa" w:w="432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Distribution of alternative diagnoses in those without the target condition</w:t>
            </w:r>
          </w:p>
        </w:tc>
        <w:tc>
          <w:tcPr>
            <w:tcW w:type="dxa" w:w="345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Table 3 (Forrest IIIa, III); Methods — Exclusion Criteria (variceal/lower GI excluded)</w:t>
            </w:r>
          </w:p>
        </w:tc>
      </w:tr>
      <w:tr>
        <w:tc>
          <w:tcPr>
            <w:tcW w:type="dxa" w:w="2304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W w:type="dxa" w:w="57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22</w:t>
            </w:r>
          </w:p>
        </w:tc>
        <w:tc>
          <w:tcPr>
            <w:tcW w:type="dxa" w:w="432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Time interval and any clinical interventions between index test and reference standard</w:t>
            </w:r>
          </w:p>
        </w:tc>
        <w:tc>
          <w:tcPr>
            <w:tcW w:type="dxa" w:w="345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Methods — Ultrasound Protocol (“all measurements obtained prior to endoscopy and within 30 minutes of initial resuscitation”)</w:t>
            </w:r>
          </w:p>
        </w:tc>
      </w:tr>
      <w:tr>
        <w:tc>
          <w:tcPr>
            <w:tcW w:type="dxa" w:w="2304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b/>
                <w:sz w:val="18"/>
              </w:rPr>
              <w:t>RESULTS — Test results</w:t>
            </w:r>
          </w:p>
        </w:tc>
        <w:tc>
          <w:tcPr>
            <w:tcW w:type="dxa" w:w="57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23</w:t>
            </w:r>
          </w:p>
        </w:tc>
        <w:tc>
          <w:tcPr>
            <w:tcW w:type="dxa" w:w="432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Cross tabulation of the index test results (or their distribution) by the results of the reference standard</w:t>
            </w:r>
          </w:p>
        </w:tc>
        <w:tc>
          <w:tcPr>
            <w:tcW w:type="dxa" w:w="345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Table 2 (sensitivity/specificity/PPV/NPV for each cut-off); Table 1 (CFT and IVC-CI distributions stratified by active bleeding status)</w:t>
            </w:r>
          </w:p>
        </w:tc>
      </w:tr>
      <w:tr>
        <w:tc>
          <w:tcPr>
            <w:tcW w:type="dxa" w:w="2304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W w:type="dxa" w:w="57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24</w:t>
            </w:r>
          </w:p>
        </w:tc>
        <w:tc>
          <w:tcPr>
            <w:tcW w:type="dxa" w:w="432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Estimates of diagnostic accuracy and their precision (such as 95% confidence intervals)</w:t>
            </w:r>
          </w:p>
        </w:tc>
        <w:tc>
          <w:tcPr>
            <w:tcW w:type="dxa" w:w="345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Results — Diagnostic Performance; Table 2 (AUC with 95% CI for all variables)</w:t>
            </w:r>
          </w:p>
        </w:tc>
      </w:tr>
      <w:tr>
        <w:tc>
          <w:tcPr>
            <w:tcW w:type="dxa" w:w="2304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W w:type="dxa" w:w="57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25</w:t>
            </w:r>
          </w:p>
        </w:tc>
        <w:tc>
          <w:tcPr>
            <w:tcW w:type="dxa" w:w="432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Any adverse events from performing the index test or the reference standard</w:t>
            </w:r>
          </w:p>
        </w:tc>
        <w:tc>
          <w:tcPr>
            <w:tcW w:type="dxa" w:w="345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Methods — Ultrasound Protocol (non-invasive bedside POCUS, no test-related adverse events anticipated or observed); none reported</w:t>
            </w:r>
          </w:p>
        </w:tc>
      </w:tr>
      <w:tr>
        <w:tc>
          <w:tcPr>
            <w:tcW w:type="dxa" w:w="2304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b/>
                <w:sz w:val="18"/>
              </w:rPr>
              <w:t>DISCUSSION</w:t>
            </w:r>
          </w:p>
        </w:tc>
        <w:tc>
          <w:tcPr>
            <w:tcW w:type="dxa" w:w="57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26</w:t>
            </w:r>
          </w:p>
        </w:tc>
        <w:tc>
          <w:tcPr>
            <w:tcW w:type="dxa" w:w="432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Study limitations, including sources of potential bias, statistical uncertainty, and generalisability</w:t>
            </w:r>
          </w:p>
        </w:tc>
        <w:tc>
          <w:tcPr>
            <w:tcW w:type="dxa" w:w="345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Discussion — Limitations (single-centre, small event count, spectrum bias, no calibration, no formal interobserver assessment)</w:t>
            </w:r>
          </w:p>
        </w:tc>
      </w:tr>
      <w:tr>
        <w:tc>
          <w:tcPr>
            <w:tcW w:type="dxa" w:w="2304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W w:type="dxa" w:w="57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27</w:t>
            </w:r>
          </w:p>
        </w:tc>
        <w:tc>
          <w:tcPr>
            <w:tcW w:type="dxa" w:w="432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Implications for practice, including the intended use and clinical role of the index test</w:t>
            </w:r>
          </w:p>
        </w:tc>
        <w:tc>
          <w:tcPr>
            <w:tcW w:type="dxa" w:w="345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Discussion — CFT as a Haemodynamic Biomarker; Comparison with Conventional Risk Scores; Conclusions</w:t>
            </w:r>
          </w:p>
        </w:tc>
      </w:tr>
      <w:tr>
        <w:tc>
          <w:tcPr>
            <w:tcW w:type="dxa" w:w="2304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b/>
                <w:sz w:val="18"/>
              </w:rPr>
              <w:t>OTHER INFORMATION</w:t>
            </w:r>
          </w:p>
        </w:tc>
        <w:tc>
          <w:tcPr>
            <w:tcW w:type="dxa" w:w="57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28</w:t>
            </w:r>
          </w:p>
        </w:tc>
        <w:tc>
          <w:tcPr>
            <w:tcW w:type="dxa" w:w="432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Registration number and name of registry</w:t>
            </w:r>
          </w:p>
        </w:tc>
        <w:tc>
          <w:tcPr>
            <w:tcW w:type="dxa" w:w="345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Methods — Study Design and Setting (observational study; prospective trial registration not mandatory)</w:t>
            </w:r>
          </w:p>
        </w:tc>
      </w:tr>
      <w:tr>
        <w:tc>
          <w:tcPr>
            <w:tcW w:type="dxa" w:w="2304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W w:type="dxa" w:w="57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29</w:t>
            </w:r>
          </w:p>
        </w:tc>
        <w:tc>
          <w:tcPr>
            <w:tcW w:type="dxa" w:w="432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Where the full study protocol can be accessed</w:t>
            </w:r>
          </w:p>
        </w:tc>
        <w:tc>
          <w:tcPr>
            <w:tcW w:type="dxa" w:w="345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Declarations — Availability of Data and Materials (available from corresponding author upon reasonable request)</w:t>
            </w:r>
          </w:p>
        </w:tc>
      </w:tr>
      <w:tr>
        <w:tc>
          <w:tcPr>
            <w:tcW w:type="dxa" w:w="2304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W w:type="dxa" w:w="57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type="dxa" w:w="432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Sources of funding and other support; role of funders</w:t>
            </w:r>
          </w:p>
        </w:tc>
        <w:tc>
          <w:tcPr>
            <w:tcW w:type="dxa" w:w="3456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vAlign w:val="top"/>
          </w:tcPr>
          <w:p>
            <w:pPr>
              <w:spacing w:after="40"/>
            </w:pPr>
            <w:r/>
            <w:r>
              <w:rPr>
                <w:rFonts w:ascii="Times New Roman" w:hAnsi="Times New Roman"/>
                <w:sz w:val="18"/>
              </w:rPr>
              <w:t>Declarations — Funding (no funding received)</w:t>
            </w:r>
          </w:p>
        </w:tc>
      </w:tr>
    </w:tbl>
    <w:p>
      <w:pPr>
        <w:spacing w:after="120"/>
      </w:pPr>
      <w:r>
        <w:rPr>
          <w:rFonts w:ascii="Times New Roman" w:hAnsi="Times New Roman"/>
          <w:b w:val="0"/>
          <w:i w:val="0"/>
          <w:sz w:val="20"/>
        </w:rPr>
      </w:r>
    </w:p>
    <w:p>
      <w:pPr>
        <w:spacing w:after="120"/>
      </w:pPr>
      <w:r>
        <w:rPr>
          <w:rFonts w:ascii="Times New Roman" w:hAnsi="Times New Roman"/>
          <w:b w:val="0"/>
          <w:i/>
          <w:sz w:val="18"/>
        </w:rPr>
        <w:t>All items have been addressed in the submitted manuscript. Page/section references refer to the structure of the main manuscript. The completed checklist accompanies the manuscript as a supplementary file in accordance with BMC Emergency Medicine submission requirements for diagnostic accuracy studies.</w:t>
      </w:r>
    </w:p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