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08C4" w14:textId="77777777" w:rsidR="00D5056F" w:rsidRPr="00A15B9F" w:rsidRDefault="00D5056F" w:rsidP="00D5056F">
      <w:pPr>
        <w:rPr>
          <w:lang w:val="en-US"/>
        </w:rPr>
      </w:pPr>
      <w:r w:rsidRPr="00071550">
        <w:rPr>
          <w:b/>
          <w:bCs/>
        </w:rPr>
        <w:t>Table 1.</w:t>
      </w:r>
      <w:r>
        <w:t xml:space="preserve"> Flowering, branching and stature of </w:t>
      </w:r>
      <w:r w:rsidRPr="00A15B9F">
        <w:rPr>
          <w:i/>
          <w:iCs/>
        </w:rPr>
        <w:t>Xanthorrhoea preissii</w:t>
      </w:r>
      <w:r>
        <w:t xml:space="preserve"> plants at Redmond Reserve, separated into those in t</w:t>
      </w:r>
      <w:r>
        <w:rPr>
          <w:lang w:val="en-US"/>
        </w:rPr>
        <w:t>he closest 10 m to the roadway and those in the rest of the population, and plants in the Barrington Rd reserve recovering from fire in the previous dry season. Multiple range tests (and pairwise tests in the case of the nonparametric flowering data) were applied to the three data sets for each variable assessed. SD = standard deviation.</w:t>
      </w:r>
    </w:p>
    <w:tbl>
      <w:tblPr>
        <w:tblpPr w:leftFromText="180" w:rightFromText="180" w:vertAnchor="text" w:horzAnchor="margin" w:tblpY="107"/>
        <w:tblW w:w="10632" w:type="dxa"/>
        <w:tblLook w:val="04A0" w:firstRow="1" w:lastRow="0" w:firstColumn="1" w:lastColumn="0" w:noHBand="0" w:noVBand="1"/>
      </w:tblPr>
      <w:tblGrid>
        <w:gridCol w:w="3261"/>
        <w:gridCol w:w="1842"/>
        <w:gridCol w:w="1701"/>
        <w:gridCol w:w="1134"/>
        <w:gridCol w:w="312"/>
        <w:gridCol w:w="1091"/>
        <w:gridCol w:w="158"/>
        <w:gridCol w:w="1133"/>
      </w:tblGrid>
      <w:tr w:rsidR="00D5056F" w:rsidRPr="00D160ED" w14:paraId="09529F3E" w14:textId="77777777" w:rsidTr="002F607C">
        <w:trPr>
          <w:trHeight w:val="560"/>
        </w:trPr>
        <w:tc>
          <w:tcPr>
            <w:tcW w:w="3261" w:type="dxa"/>
            <w:tcBorders>
              <w:top w:val="single" w:sz="4" w:space="0" w:color="auto"/>
              <w:left w:val="nil"/>
              <w:bottom w:val="single" w:sz="4" w:space="0" w:color="auto"/>
              <w:right w:val="nil"/>
            </w:tcBorders>
            <w:noWrap/>
            <w:vAlign w:val="bottom"/>
            <w:hideMark/>
          </w:tcPr>
          <w:p w14:paraId="588A356C" w14:textId="77777777" w:rsidR="00D5056F" w:rsidRPr="00D160ED" w:rsidRDefault="00D5056F" w:rsidP="002F607C">
            <w:pPr>
              <w:rPr>
                <w:b/>
                <w:bCs/>
                <w:color w:val="000000"/>
              </w:rPr>
            </w:pPr>
            <w:r w:rsidRPr="00D160ED">
              <w:rPr>
                <w:b/>
                <w:bCs/>
                <w:color w:val="000000"/>
              </w:rPr>
              <w:t>Grasstrees:</w:t>
            </w:r>
          </w:p>
        </w:tc>
        <w:tc>
          <w:tcPr>
            <w:tcW w:w="1842" w:type="dxa"/>
            <w:tcBorders>
              <w:top w:val="single" w:sz="4" w:space="0" w:color="auto"/>
              <w:left w:val="nil"/>
              <w:bottom w:val="single" w:sz="4" w:space="0" w:color="auto"/>
              <w:right w:val="nil"/>
            </w:tcBorders>
            <w:noWrap/>
            <w:vAlign w:val="bottom"/>
            <w:hideMark/>
          </w:tcPr>
          <w:p w14:paraId="49305191" w14:textId="77777777" w:rsidR="00D5056F" w:rsidRPr="00D160ED" w:rsidRDefault="00D5056F" w:rsidP="002F607C">
            <w:pPr>
              <w:rPr>
                <w:b/>
                <w:bCs/>
                <w:color w:val="000000"/>
              </w:rPr>
            </w:pPr>
            <w:r w:rsidRPr="00D160ED">
              <w:rPr>
                <w:b/>
                <w:bCs/>
                <w:color w:val="000000"/>
              </w:rPr>
              <w:t>Unburnt within 10 m of roadway</w:t>
            </w:r>
          </w:p>
        </w:tc>
        <w:tc>
          <w:tcPr>
            <w:tcW w:w="1701" w:type="dxa"/>
            <w:tcBorders>
              <w:top w:val="single" w:sz="4" w:space="0" w:color="auto"/>
              <w:left w:val="nil"/>
              <w:bottom w:val="single" w:sz="4" w:space="0" w:color="auto"/>
              <w:right w:val="nil"/>
            </w:tcBorders>
            <w:noWrap/>
            <w:vAlign w:val="bottom"/>
            <w:hideMark/>
          </w:tcPr>
          <w:p w14:paraId="5DB5FFA4" w14:textId="77777777" w:rsidR="00D5056F" w:rsidRPr="00D160ED" w:rsidRDefault="00D5056F" w:rsidP="002F607C">
            <w:pPr>
              <w:rPr>
                <w:b/>
                <w:bCs/>
                <w:color w:val="000000"/>
              </w:rPr>
            </w:pPr>
            <w:r w:rsidRPr="00D160ED">
              <w:rPr>
                <w:b/>
                <w:bCs/>
                <w:color w:val="000000"/>
              </w:rPr>
              <w:t>Unburnt 11-63 m of roadway</w:t>
            </w:r>
          </w:p>
        </w:tc>
        <w:tc>
          <w:tcPr>
            <w:tcW w:w="1446" w:type="dxa"/>
            <w:gridSpan w:val="2"/>
            <w:tcBorders>
              <w:top w:val="single" w:sz="4" w:space="0" w:color="auto"/>
              <w:left w:val="nil"/>
              <w:bottom w:val="single" w:sz="4" w:space="0" w:color="auto"/>
              <w:right w:val="nil"/>
            </w:tcBorders>
            <w:noWrap/>
            <w:vAlign w:val="bottom"/>
            <w:hideMark/>
          </w:tcPr>
          <w:p w14:paraId="2A1D19DC" w14:textId="77777777" w:rsidR="00D5056F" w:rsidRPr="00D160ED" w:rsidRDefault="00D5056F" w:rsidP="002F607C">
            <w:pPr>
              <w:rPr>
                <w:b/>
                <w:bCs/>
                <w:color w:val="000000"/>
              </w:rPr>
            </w:pPr>
            <w:r w:rsidRPr="00D160ED">
              <w:rPr>
                <w:b/>
                <w:bCs/>
                <w:color w:val="000000"/>
              </w:rPr>
              <w:t>Burnt 8-</w:t>
            </w:r>
            <w:r>
              <w:rPr>
                <w:b/>
                <w:bCs/>
                <w:color w:val="000000"/>
              </w:rPr>
              <w:t>64</w:t>
            </w:r>
            <w:r w:rsidRPr="00D160ED">
              <w:rPr>
                <w:b/>
                <w:bCs/>
                <w:color w:val="000000"/>
              </w:rPr>
              <w:t xml:space="preserve"> m of roadway</w:t>
            </w:r>
          </w:p>
        </w:tc>
        <w:tc>
          <w:tcPr>
            <w:tcW w:w="1249" w:type="dxa"/>
            <w:gridSpan w:val="2"/>
            <w:tcBorders>
              <w:top w:val="single" w:sz="4" w:space="0" w:color="auto"/>
              <w:left w:val="nil"/>
              <w:bottom w:val="single" w:sz="4" w:space="0" w:color="auto"/>
              <w:right w:val="nil"/>
            </w:tcBorders>
            <w:noWrap/>
            <w:vAlign w:val="bottom"/>
            <w:hideMark/>
          </w:tcPr>
          <w:p w14:paraId="3975DA40" w14:textId="77777777" w:rsidR="00D5056F" w:rsidRPr="00D160ED" w:rsidRDefault="00D5056F" w:rsidP="002F607C">
            <w:pPr>
              <w:rPr>
                <w:b/>
                <w:bCs/>
                <w:color w:val="000000"/>
              </w:rPr>
            </w:pPr>
            <w:r w:rsidRPr="00D160ED">
              <w:rPr>
                <w:b/>
                <w:bCs/>
                <w:color w:val="000000"/>
              </w:rPr>
              <w:t>Test</w:t>
            </w:r>
          </w:p>
        </w:tc>
        <w:tc>
          <w:tcPr>
            <w:tcW w:w="1133" w:type="dxa"/>
            <w:tcBorders>
              <w:top w:val="single" w:sz="4" w:space="0" w:color="auto"/>
              <w:left w:val="nil"/>
              <w:bottom w:val="single" w:sz="4" w:space="0" w:color="auto"/>
              <w:right w:val="nil"/>
            </w:tcBorders>
            <w:noWrap/>
            <w:vAlign w:val="bottom"/>
            <w:hideMark/>
          </w:tcPr>
          <w:p w14:paraId="79428E1B" w14:textId="77777777" w:rsidR="00D5056F" w:rsidRPr="00D160ED" w:rsidRDefault="00D5056F" w:rsidP="002F607C">
            <w:pPr>
              <w:rPr>
                <w:b/>
                <w:bCs/>
                <w:i/>
                <w:iCs/>
                <w:color w:val="000000"/>
              </w:rPr>
            </w:pPr>
            <w:r w:rsidRPr="00D160ED">
              <w:rPr>
                <w:b/>
                <w:bCs/>
                <w:i/>
                <w:iCs/>
                <w:color w:val="000000"/>
              </w:rPr>
              <w:t>P</w:t>
            </w:r>
          </w:p>
        </w:tc>
      </w:tr>
      <w:tr w:rsidR="00D5056F" w:rsidRPr="00D160ED" w14:paraId="371BE6CF" w14:textId="77777777" w:rsidTr="002F607C">
        <w:trPr>
          <w:trHeight w:val="560"/>
        </w:trPr>
        <w:tc>
          <w:tcPr>
            <w:tcW w:w="3261" w:type="dxa"/>
            <w:tcBorders>
              <w:top w:val="single" w:sz="4" w:space="0" w:color="auto"/>
              <w:left w:val="nil"/>
              <w:bottom w:val="nil"/>
              <w:right w:val="nil"/>
            </w:tcBorders>
            <w:noWrap/>
            <w:vAlign w:val="bottom"/>
            <w:hideMark/>
          </w:tcPr>
          <w:p w14:paraId="41B3C3B2" w14:textId="77777777" w:rsidR="00D5056F" w:rsidRPr="00D160ED" w:rsidRDefault="00D5056F" w:rsidP="002F607C">
            <w:pPr>
              <w:rPr>
                <w:color w:val="000000"/>
              </w:rPr>
            </w:pPr>
            <w:r w:rsidRPr="00D160ED">
              <w:rPr>
                <w:color w:val="000000"/>
              </w:rPr>
              <w:t>Sample size</w:t>
            </w:r>
            <w:r>
              <w:rPr>
                <w:color w:val="000000"/>
              </w:rPr>
              <w:t xml:space="preserve"> (total)</w:t>
            </w:r>
          </w:p>
        </w:tc>
        <w:tc>
          <w:tcPr>
            <w:tcW w:w="1842" w:type="dxa"/>
            <w:tcBorders>
              <w:top w:val="single" w:sz="4" w:space="0" w:color="auto"/>
              <w:left w:val="nil"/>
              <w:bottom w:val="nil"/>
              <w:right w:val="nil"/>
            </w:tcBorders>
            <w:noWrap/>
            <w:vAlign w:val="bottom"/>
            <w:hideMark/>
          </w:tcPr>
          <w:p w14:paraId="28676A05" w14:textId="77777777" w:rsidR="00D5056F" w:rsidRPr="00D160ED" w:rsidRDefault="00D5056F" w:rsidP="002F607C">
            <w:pPr>
              <w:rPr>
                <w:color w:val="000000"/>
              </w:rPr>
            </w:pPr>
            <w:r w:rsidRPr="00D160ED">
              <w:rPr>
                <w:color w:val="000000"/>
              </w:rPr>
              <w:t>20</w:t>
            </w:r>
          </w:p>
        </w:tc>
        <w:tc>
          <w:tcPr>
            <w:tcW w:w="1701" w:type="dxa"/>
            <w:tcBorders>
              <w:top w:val="single" w:sz="4" w:space="0" w:color="auto"/>
              <w:left w:val="nil"/>
              <w:bottom w:val="nil"/>
              <w:right w:val="nil"/>
            </w:tcBorders>
            <w:noWrap/>
            <w:vAlign w:val="bottom"/>
            <w:hideMark/>
          </w:tcPr>
          <w:p w14:paraId="225AF9F1" w14:textId="77777777" w:rsidR="00D5056F" w:rsidRPr="00D160ED" w:rsidRDefault="00D5056F" w:rsidP="002F607C">
            <w:pPr>
              <w:rPr>
                <w:color w:val="000000"/>
              </w:rPr>
            </w:pPr>
            <w:r w:rsidRPr="00D160ED">
              <w:rPr>
                <w:color w:val="000000"/>
              </w:rPr>
              <w:t>122</w:t>
            </w:r>
          </w:p>
        </w:tc>
        <w:tc>
          <w:tcPr>
            <w:tcW w:w="1446" w:type="dxa"/>
            <w:gridSpan w:val="2"/>
            <w:tcBorders>
              <w:top w:val="single" w:sz="4" w:space="0" w:color="auto"/>
              <w:left w:val="nil"/>
              <w:bottom w:val="nil"/>
              <w:right w:val="nil"/>
            </w:tcBorders>
            <w:noWrap/>
            <w:vAlign w:val="bottom"/>
            <w:hideMark/>
          </w:tcPr>
          <w:p w14:paraId="173347E7" w14:textId="77777777" w:rsidR="00D5056F" w:rsidRPr="00D160ED" w:rsidRDefault="00D5056F" w:rsidP="002F607C">
            <w:pPr>
              <w:rPr>
                <w:color w:val="000000"/>
              </w:rPr>
            </w:pPr>
            <w:r w:rsidRPr="00D160ED">
              <w:rPr>
                <w:color w:val="000000"/>
              </w:rPr>
              <w:t>14</w:t>
            </w:r>
            <w:r>
              <w:rPr>
                <w:color w:val="000000"/>
              </w:rPr>
              <w:t>4</w:t>
            </w:r>
          </w:p>
        </w:tc>
        <w:tc>
          <w:tcPr>
            <w:tcW w:w="1249" w:type="dxa"/>
            <w:gridSpan w:val="2"/>
            <w:tcBorders>
              <w:top w:val="single" w:sz="4" w:space="0" w:color="auto"/>
              <w:left w:val="nil"/>
              <w:bottom w:val="nil"/>
              <w:right w:val="nil"/>
            </w:tcBorders>
            <w:noWrap/>
            <w:vAlign w:val="bottom"/>
            <w:hideMark/>
          </w:tcPr>
          <w:p w14:paraId="255A28FC" w14:textId="77777777" w:rsidR="00D5056F" w:rsidRPr="00D160ED" w:rsidRDefault="00D5056F" w:rsidP="002F607C">
            <w:pPr>
              <w:rPr>
                <w:color w:val="000000"/>
              </w:rPr>
            </w:pPr>
          </w:p>
        </w:tc>
        <w:tc>
          <w:tcPr>
            <w:tcW w:w="1133" w:type="dxa"/>
            <w:tcBorders>
              <w:top w:val="single" w:sz="4" w:space="0" w:color="auto"/>
              <w:left w:val="nil"/>
              <w:bottom w:val="nil"/>
              <w:right w:val="nil"/>
            </w:tcBorders>
            <w:noWrap/>
            <w:vAlign w:val="bottom"/>
            <w:hideMark/>
          </w:tcPr>
          <w:p w14:paraId="0EE30AA4" w14:textId="77777777" w:rsidR="00D5056F" w:rsidRPr="00D160ED" w:rsidRDefault="00D5056F" w:rsidP="002F607C"/>
        </w:tc>
      </w:tr>
      <w:tr w:rsidR="00D5056F" w:rsidRPr="00D160ED" w14:paraId="7BE7FA43" w14:textId="77777777" w:rsidTr="002F607C">
        <w:trPr>
          <w:trHeight w:val="560"/>
        </w:trPr>
        <w:tc>
          <w:tcPr>
            <w:tcW w:w="3261" w:type="dxa"/>
            <w:tcBorders>
              <w:top w:val="nil"/>
              <w:left w:val="nil"/>
              <w:bottom w:val="nil"/>
              <w:right w:val="nil"/>
            </w:tcBorders>
            <w:noWrap/>
            <w:vAlign w:val="bottom"/>
            <w:hideMark/>
          </w:tcPr>
          <w:p w14:paraId="447253A3" w14:textId="77777777" w:rsidR="00D5056F" w:rsidRPr="00D160ED" w:rsidRDefault="00D5056F" w:rsidP="002F607C">
            <w:pPr>
              <w:rPr>
                <w:b/>
                <w:bCs/>
                <w:color w:val="000000"/>
              </w:rPr>
            </w:pPr>
            <w:r w:rsidRPr="00D160ED">
              <w:rPr>
                <w:b/>
                <w:bCs/>
                <w:color w:val="000000"/>
              </w:rPr>
              <w:t>% in flower</w:t>
            </w:r>
          </w:p>
        </w:tc>
        <w:tc>
          <w:tcPr>
            <w:tcW w:w="1842" w:type="dxa"/>
            <w:tcBorders>
              <w:top w:val="nil"/>
              <w:left w:val="nil"/>
              <w:bottom w:val="nil"/>
              <w:right w:val="nil"/>
            </w:tcBorders>
            <w:noWrap/>
            <w:vAlign w:val="bottom"/>
            <w:hideMark/>
          </w:tcPr>
          <w:p w14:paraId="70FF7625" w14:textId="77777777" w:rsidR="00D5056F" w:rsidRPr="00D160ED" w:rsidRDefault="00D5056F" w:rsidP="002F607C">
            <w:pPr>
              <w:rPr>
                <w:b/>
                <w:bCs/>
                <w:color w:val="000000"/>
              </w:rPr>
            </w:pPr>
            <w:r w:rsidRPr="00D160ED">
              <w:rPr>
                <w:b/>
                <w:bCs/>
                <w:color w:val="000000"/>
              </w:rPr>
              <w:t>45</w:t>
            </w:r>
            <w:r w:rsidRPr="00D160ED">
              <w:rPr>
                <w:b/>
                <w:bCs/>
                <w:color w:val="000000"/>
                <w:vertAlign w:val="superscript"/>
              </w:rPr>
              <w:t>a</w:t>
            </w:r>
          </w:p>
        </w:tc>
        <w:tc>
          <w:tcPr>
            <w:tcW w:w="1701" w:type="dxa"/>
            <w:tcBorders>
              <w:top w:val="nil"/>
              <w:left w:val="nil"/>
              <w:bottom w:val="nil"/>
              <w:right w:val="nil"/>
            </w:tcBorders>
            <w:noWrap/>
            <w:vAlign w:val="bottom"/>
            <w:hideMark/>
          </w:tcPr>
          <w:p w14:paraId="136452CB" w14:textId="77777777" w:rsidR="00D5056F" w:rsidRPr="00D160ED" w:rsidRDefault="00D5056F" w:rsidP="002F607C">
            <w:pPr>
              <w:rPr>
                <w:b/>
                <w:bCs/>
                <w:color w:val="000000"/>
              </w:rPr>
            </w:pPr>
            <w:r w:rsidRPr="00D160ED">
              <w:rPr>
                <w:b/>
                <w:bCs/>
                <w:color w:val="000000"/>
              </w:rPr>
              <w:t>18</w:t>
            </w:r>
            <w:r w:rsidRPr="00D160ED">
              <w:rPr>
                <w:b/>
                <w:bCs/>
                <w:color w:val="000000"/>
                <w:vertAlign w:val="superscript"/>
              </w:rPr>
              <w:t>b</w:t>
            </w:r>
          </w:p>
        </w:tc>
        <w:tc>
          <w:tcPr>
            <w:tcW w:w="1134" w:type="dxa"/>
            <w:tcBorders>
              <w:top w:val="nil"/>
              <w:left w:val="nil"/>
              <w:bottom w:val="nil"/>
              <w:right w:val="nil"/>
            </w:tcBorders>
            <w:noWrap/>
            <w:vAlign w:val="bottom"/>
            <w:hideMark/>
          </w:tcPr>
          <w:p w14:paraId="0AC8F836" w14:textId="77777777" w:rsidR="00D5056F" w:rsidRPr="00D160ED" w:rsidRDefault="00D5056F" w:rsidP="002F607C">
            <w:pPr>
              <w:rPr>
                <w:b/>
                <w:bCs/>
                <w:color w:val="000000"/>
              </w:rPr>
            </w:pPr>
            <w:r w:rsidRPr="00D160ED">
              <w:rPr>
                <w:b/>
                <w:bCs/>
                <w:color w:val="000000"/>
              </w:rPr>
              <w:t>5</w:t>
            </w:r>
            <w:r>
              <w:rPr>
                <w:b/>
                <w:bCs/>
                <w:color w:val="000000"/>
              </w:rPr>
              <w:t>0</w:t>
            </w:r>
            <w:r w:rsidRPr="00D160ED">
              <w:rPr>
                <w:b/>
                <w:bCs/>
                <w:color w:val="000000"/>
                <w:vertAlign w:val="superscript"/>
              </w:rPr>
              <w:t>a</w:t>
            </w:r>
          </w:p>
        </w:tc>
        <w:tc>
          <w:tcPr>
            <w:tcW w:w="1403" w:type="dxa"/>
            <w:gridSpan w:val="2"/>
            <w:tcBorders>
              <w:top w:val="nil"/>
              <w:left w:val="nil"/>
              <w:bottom w:val="nil"/>
              <w:right w:val="nil"/>
            </w:tcBorders>
            <w:noWrap/>
            <w:vAlign w:val="bottom"/>
            <w:hideMark/>
          </w:tcPr>
          <w:p w14:paraId="5AE6E783" w14:textId="77777777" w:rsidR="00D5056F" w:rsidRPr="00D160ED" w:rsidRDefault="00D5056F" w:rsidP="002F607C">
            <w:pPr>
              <w:rPr>
                <w:color w:val="000000"/>
              </w:rPr>
            </w:pPr>
            <w:r w:rsidRPr="00D160ED">
              <w:rPr>
                <w:color w:val="000000"/>
              </w:rPr>
              <w:t>Fisher</w:t>
            </w:r>
            <w:r>
              <w:rPr>
                <w:color w:val="000000"/>
              </w:rPr>
              <w:t>’</w:t>
            </w:r>
            <w:r w:rsidRPr="00D160ED">
              <w:rPr>
                <w:color w:val="000000"/>
              </w:rPr>
              <w:t xml:space="preserve">s </w:t>
            </w:r>
          </w:p>
        </w:tc>
        <w:tc>
          <w:tcPr>
            <w:tcW w:w="1291" w:type="dxa"/>
            <w:gridSpan w:val="2"/>
            <w:tcBorders>
              <w:top w:val="nil"/>
              <w:left w:val="nil"/>
              <w:bottom w:val="nil"/>
              <w:right w:val="nil"/>
            </w:tcBorders>
            <w:noWrap/>
            <w:vAlign w:val="bottom"/>
            <w:hideMark/>
          </w:tcPr>
          <w:p w14:paraId="674C79C2" w14:textId="77777777" w:rsidR="00D5056F" w:rsidRPr="00D160ED" w:rsidRDefault="00D5056F" w:rsidP="002F607C">
            <w:pPr>
              <w:rPr>
                <w:color w:val="000000"/>
              </w:rPr>
            </w:pPr>
            <w:r w:rsidRPr="00D160ED">
              <w:rPr>
                <w:color w:val="000000"/>
              </w:rPr>
              <w:t>&lt; 0.0001</w:t>
            </w:r>
          </w:p>
        </w:tc>
      </w:tr>
      <w:tr w:rsidR="00D5056F" w:rsidRPr="00D160ED" w14:paraId="26607AC2" w14:textId="77777777" w:rsidTr="002F607C">
        <w:trPr>
          <w:trHeight w:val="560"/>
        </w:trPr>
        <w:tc>
          <w:tcPr>
            <w:tcW w:w="3261" w:type="dxa"/>
            <w:tcBorders>
              <w:top w:val="nil"/>
              <w:left w:val="nil"/>
              <w:bottom w:val="nil"/>
              <w:right w:val="nil"/>
            </w:tcBorders>
            <w:noWrap/>
            <w:vAlign w:val="bottom"/>
            <w:hideMark/>
          </w:tcPr>
          <w:p w14:paraId="0D78E709" w14:textId="77777777" w:rsidR="00D5056F" w:rsidRPr="00D160ED" w:rsidRDefault="00D5056F" w:rsidP="002F607C">
            <w:pPr>
              <w:rPr>
                <w:color w:val="000000"/>
              </w:rPr>
            </w:pPr>
            <w:r>
              <w:rPr>
                <w:color w:val="000000"/>
              </w:rPr>
              <w:t>Number in flower</w:t>
            </w:r>
          </w:p>
        </w:tc>
        <w:tc>
          <w:tcPr>
            <w:tcW w:w="1842" w:type="dxa"/>
            <w:tcBorders>
              <w:top w:val="nil"/>
              <w:left w:val="nil"/>
              <w:bottom w:val="nil"/>
              <w:right w:val="nil"/>
            </w:tcBorders>
            <w:noWrap/>
            <w:vAlign w:val="bottom"/>
            <w:hideMark/>
          </w:tcPr>
          <w:p w14:paraId="72440022" w14:textId="77777777" w:rsidR="00D5056F" w:rsidRPr="00D160ED" w:rsidRDefault="00D5056F" w:rsidP="002F607C">
            <w:pPr>
              <w:rPr>
                <w:color w:val="000000"/>
              </w:rPr>
            </w:pPr>
            <w:r w:rsidRPr="00D160ED">
              <w:rPr>
                <w:color w:val="000000"/>
              </w:rPr>
              <w:t>9</w:t>
            </w:r>
          </w:p>
        </w:tc>
        <w:tc>
          <w:tcPr>
            <w:tcW w:w="1701" w:type="dxa"/>
            <w:tcBorders>
              <w:top w:val="nil"/>
              <w:left w:val="nil"/>
              <w:bottom w:val="nil"/>
              <w:right w:val="nil"/>
            </w:tcBorders>
            <w:noWrap/>
            <w:vAlign w:val="bottom"/>
            <w:hideMark/>
          </w:tcPr>
          <w:p w14:paraId="35C61D93" w14:textId="77777777" w:rsidR="00D5056F" w:rsidRPr="00D160ED" w:rsidRDefault="00D5056F" w:rsidP="002F607C">
            <w:pPr>
              <w:rPr>
                <w:color w:val="000000"/>
              </w:rPr>
            </w:pPr>
            <w:r w:rsidRPr="00D160ED">
              <w:rPr>
                <w:color w:val="000000"/>
              </w:rPr>
              <w:t>22</w:t>
            </w:r>
          </w:p>
        </w:tc>
        <w:tc>
          <w:tcPr>
            <w:tcW w:w="1134" w:type="dxa"/>
            <w:tcBorders>
              <w:top w:val="nil"/>
              <w:left w:val="nil"/>
              <w:bottom w:val="nil"/>
              <w:right w:val="nil"/>
            </w:tcBorders>
            <w:noWrap/>
            <w:vAlign w:val="bottom"/>
            <w:hideMark/>
          </w:tcPr>
          <w:p w14:paraId="0C6968BF" w14:textId="77777777" w:rsidR="00D5056F" w:rsidRPr="00D160ED" w:rsidRDefault="00D5056F" w:rsidP="002F607C">
            <w:pPr>
              <w:rPr>
                <w:color w:val="000000"/>
              </w:rPr>
            </w:pPr>
            <w:r w:rsidRPr="00D160ED">
              <w:rPr>
                <w:color w:val="000000"/>
              </w:rPr>
              <w:t>73</w:t>
            </w:r>
          </w:p>
        </w:tc>
        <w:tc>
          <w:tcPr>
            <w:tcW w:w="1403" w:type="dxa"/>
            <w:gridSpan w:val="2"/>
            <w:tcBorders>
              <w:top w:val="nil"/>
              <w:left w:val="nil"/>
              <w:bottom w:val="nil"/>
              <w:right w:val="nil"/>
            </w:tcBorders>
            <w:noWrap/>
            <w:vAlign w:val="bottom"/>
            <w:hideMark/>
          </w:tcPr>
          <w:p w14:paraId="42E420C8" w14:textId="77777777" w:rsidR="00D5056F" w:rsidRPr="00D160ED" w:rsidRDefault="00D5056F" w:rsidP="002F607C">
            <w:pPr>
              <w:rPr>
                <w:color w:val="000000"/>
              </w:rPr>
            </w:pPr>
          </w:p>
        </w:tc>
        <w:tc>
          <w:tcPr>
            <w:tcW w:w="1291" w:type="dxa"/>
            <w:gridSpan w:val="2"/>
            <w:tcBorders>
              <w:top w:val="nil"/>
              <w:left w:val="nil"/>
              <w:bottom w:val="nil"/>
              <w:right w:val="nil"/>
            </w:tcBorders>
            <w:noWrap/>
            <w:vAlign w:val="bottom"/>
            <w:hideMark/>
          </w:tcPr>
          <w:p w14:paraId="44CA77BE" w14:textId="77777777" w:rsidR="00D5056F" w:rsidRPr="00D160ED" w:rsidRDefault="00D5056F" w:rsidP="002F607C"/>
        </w:tc>
      </w:tr>
      <w:tr w:rsidR="00D5056F" w:rsidRPr="00D160ED" w14:paraId="6AF898EA" w14:textId="77777777" w:rsidTr="002F607C">
        <w:trPr>
          <w:trHeight w:val="560"/>
        </w:trPr>
        <w:tc>
          <w:tcPr>
            <w:tcW w:w="3261" w:type="dxa"/>
            <w:tcBorders>
              <w:top w:val="nil"/>
              <w:left w:val="nil"/>
              <w:right w:val="nil"/>
            </w:tcBorders>
            <w:noWrap/>
            <w:vAlign w:val="bottom"/>
            <w:hideMark/>
          </w:tcPr>
          <w:p w14:paraId="5E5229EF" w14:textId="77777777" w:rsidR="00D5056F" w:rsidRPr="00D160ED" w:rsidRDefault="00D5056F" w:rsidP="002F607C">
            <w:pPr>
              <w:rPr>
                <w:b/>
                <w:bCs/>
                <w:color w:val="000000"/>
              </w:rPr>
            </w:pPr>
            <w:r w:rsidRPr="00D160ED">
              <w:rPr>
                <w:b/>
                <w:bCs/>
                <w:color w:val="000000"/>
              </w:rPr>
              <w:t>No. spikes per flowering</w:t>
            </w:r>
          </w:p>
          <w:p w14:paraId="111F9E47" w14:textId="77777777" w:rsidR="00D5056F" w:rsidRPr="00D160ED" w:rsidRDefault="00D5056F" w:rsidP="002F607C">
            <w:pPr>
              <w:rPr>
                <w:b/>
                <w:bCs/>
                <w:color w:val="000000"/>
              </w:rPr>
            </w:pPr>
            <w:r w:rsidRPr="00D160ED">
              <w:rPr>
                <w:b/>
                <w:bCs/>
                <w:color w:val="000000"/>
              </w:rPr>
              <w:t>plant</w:t>
            </w:r>
            <w:r>
              <w:rPr>
                <w:b/>
                <w:bCs/>
                <w:color w:val="000000"/>
              </w:rPr>
              <w:t xml:space="preserve"> </w:t>
            </w:r>
            <w:r w:rsidRPr="00D160ED">
              <w:rPr>
                <w:b/>
                <w:bCs/>
                <w:color w:val="000000"/>
              </w:rPr>
              <w:t>corrected for stature (/sq rt m)</w:t>
            </w:r>
          </w:p>
        </w:tc>
        <w:tc>
          <w:tcPr>
            <w:tcW w:w="1842" w:type="dxa"/>
            <w:tcBorders>
              <w:top w:val="nil"/>
              <w:left w:val="nil"/>
              <w:right w:val="nil"/>
            </w:tcBorders>
            <w:noWrap/>
            <w:vAlign w:val="bottom"/>
            <w:hideMark/>
          </w:tcPr>
          <w:p w14:paraId="0507C537" w14:textId="77777777" w:rsidR="00D5056F" w:rsidRPr="00D160ED" w:rsidRDefault="00D5056F" w:rsidP="002F607C">
            <w:pPr>
              <w:rPr>
                <w:b/>
                <w:bCs/>
                <w:color w:val="000000"/>
              </w:rPr>
            </w:pPr>
            <w:r w:rsidRPr="00D160ED">
              <w:rPr>
                <w:b/>
                <w:bCs/>
                <w:color w:val="000000"/>
              </w:rPr>
              <w:t>1.93</w:t>
            </w:r>
            <w:r w:rsidRPr="00D160ED">
              <w:rPr>
                <w:b/>
                <w:bCs/>
                <w:color w:val="000000"/>
                <w:vertAlign w:val="superscript"/>
              </w:rPr>
              <w:t>a</w:t>
            </w:r>
          </w:p>
        </w:tc>
        <w:tc>
          <w:tcPr>
            <w:tcW w:w="1701" w:type="dxa"/>
            <w:tcBorders>
              <w:top w:val="nil"/>
              <w:left w:val="nil"/>
              <w:right w:val="nil"/>
            </w:tcBorders>
            <w:noWrap/>
            <w:vAlign w:val="bottom"/>
            <w:hideMark/>
          </w:tcPr>
          <w:p w14:paraId="16258408" w14:textId="77777777" w:rsidR="00D5056F" w:rsidRPr="00D160ED" w:rsidRDefault="00D5056F" w:rsidP="002F607C">
            <w:pPr>
              <w:rPr>
                <w:b/>
                <w:bCs/>
                <w:color w:val="000000"/>
              </w:rPr>
            </w:pPr>
            <w:r w:rsidRPr="00D160ED">
              <w:rPr>
                <w:b/>
                <w:bCs/>
                <w:color w:val="000000"/>
              </w:rPr>
              <w:t>1.21</w:t>
            </w:r>
            <w:r w:rsidRPr="00D160ED">
              <w:rPr>
                <w:b/>
                <w:bCs/>
                <w:color w:val="000000"/>
                <w:vertAlign w:val="superscript"/>
              </w:rPr>
              <w:t>b</w:t>
            </w:r>
          </w:p>
        </w:tc>
        <w:tc>
          <w:tcPr>
            <w:tcW w:w="1134" w:type="dxa"/>
            <w:tcBorders>
              <w:top w:val="nil"/>
              <w:left w:val="nil"/>
              <w:right w:val="nil"/>
            </w:tcBorders>
            <w:noWrap/>
            <w:vAlign w:val="bottom"/>
            <w:hideMark/>
          </w:tcPr>
          <w:p w14:paraId="3846F176" w14:textId="77777777" w:rsidR="00D5056F" w:rsidRPr="00D160ED" w:rsidRDefault="00D5056F" w:rsidP="002F607C">
            <w:pPr>
              <w:rPr>
                <w:b/>
                <w:bCs/>
                <w:color w:val="000000"/>
              </w:rPr>
            </w:pPr>
            <w:r w:rsidRPr="00D160ED">
              <w:rPr>
                <w:b/>
                <w:bCs/>
                <w:color w:val="000000"/>
              </w:rPr>
              <w:t>1.02</w:t>
            </w:r>
            <w:r w:rsidRPr="00D160ED">
              <w:rPr>
                <w:b/>
                <w:bCs/>
                <w:color w:val="000000"/>
                <w:vertAlign w:val="superscript"/>
              </w:rPr>
              <w:t>b</w:t>
            </w:r>
          </w:p>
        </w:tc>
        <w:tc>
          <w:tcPr>
            <w:tcW w:w="1403" w:type="dxa"/>
            <w:gridSpan w:val="2"/>
            <w:tcBorders>
              <w:top w:val="nil"/>
              <w:left w:val="nil"/>
              <w:right w:val="nil"/>
            </w:tcBorders>
            <w:noWrap/>
            <w:vAlign w:val="bottom"/>
            <w:hideMark/>
          </w:tcPr>
          <w:p w14:paraId="14AA0B72" w14:textId="77777777" w:rsidR="00D5056F" w:rsidRPr="00D160ED" w:rsidRDefault="00D5056F" w:rsidP="002F607C">
            <w:pPr>
              <w:rPr>
                <w:color w:val="000000"/>
              </w:rPr>
            </w:pPr>
            <w:r w:rsidRPr="00D160ED">
              <w:rPr>
                <w:color w:val="000000"/>
              </w:rPr>
              <w:t>ANOVA/</w:t>
            </w:r>
          </w:p>
          <w:p w14:paraId="5A85C424" w14:textId="77777777" w:rsidR="00D5056F" w:rsidRPr="00D160ED" w:rsidRDefault="00D5056F" w:rsidP="002F607C">
            <w:pPr>
              <w:rPr>
                <w:color w:val="000000"/>
              </w:rPr>
            </w:pPr>
            <w:r w:rsidRPr="00D160ED">
              <w:rPr>
                <w:color w:val="000000"/>
              </w:rPr>
              <w:t>Tukey</w:t>
            </w:r>
            <w:r>
              <w:rPr>
                <w:color w:val="000000"/>
              </w:rPr>
              <w:t>’</w:t>
            </w:r>
            <w:r w:rsidRPr="00D160ED">
              <w:rPr>
                <w:color w:val="000000"/>
              </w:rPr>
              <w:t>s</w:t>
            </w:r>
          </w:p>
        </w:tc>
        <w:tc>
          <w:tcPr>
            <w:tcW w:w="1291" w:type="dxa"/>
            <w:gridSpan w:val="2"/>
            <w:tcBorders>
              <w:top w:val="nil"/>
              <w:left w:val="nil"/>
              <w:right w:val="nil"/>
            </w:tcBorders>
            <w:noWrap/>
            <w:vAlign w:val="bottom"/>
            <w:hideMark/>
          </w:tcPr>
          <w:p w14:paraId="58C28DF7" w14:textId="77777777" w:rsidR="00D5056F" w:rsidRPr="00D160ED" w:rsidRDefault="00D5056F" w:rsidP="002F607C">
            <w:pPr>
              <w:rPr>
                <w:color w:val="000000"/>
              </w:rPr>
            </w:pPr>
            <w:r w:rsidRPr="00D160ED">
              <w:rPr>
                <w:color w:val="000000"/>
              </w:rPr>
              <w:t>&lt; 0.0001/</w:t>
            </w:r>
          </w:p>
          <w:p w14:paraId="3ACD245B" w14:textId="77777777" w:rsidR="00D5056F" w:rsidRPr="00D160ED" w:rsidRDefault="00D5056F" w:rsidP="002F607C">
            <w:pPr>
              <w:rPr>
                <w:color w:val="000000"/>
              </w:rPr>
            </w:pPr>
            <w:r w:rsidRPr="00D160ED">
              <w:rPr>
                <w:color w:val="000000"/>
              </w:rPr>
              <w:t>&lt; 0.01</w:t>
            </w:r>
          </w:p>
        </w:tc>
      </w:tr>
      <w:tr w:rsidR="00D5056F" w:rsidRPr="00D160ED" w14:paraId="45FE93F4" w14:textId="77777777" w:rsidTr="002F607C">
        <w:trPr>
          <w:trHeight w:val="560"/>
        </w:trPr>
        <w:tc>
          <w:tcPr>
            <w:tcW w:w="3261" w:type="dxa"/>
            <w:tcBorders>
              <w:top w:val="nil"/>
              <w:left w:val="nil"/>
              <w:bottom w:val="nil"/>
              <w:right w:val="nil"/>
            </w:tcBorders>
            <w:noWrap/>
            <w:vAlign w:val="bottom"/>
            <w:hideMark/>
          </w:tcPr>
          <w:p w14:paraId="5E0F2B63" w14:textId="77777777" w:rsidR="00D5056F" w:rsidRPr="00D160ED" w:rsidRDefault="00D5056F" w:rsidP="002F607C">
            <w:pPr>
              <w:rPr>
                <w:color w:val="000000"/>
              </w:rPr>
            </w:pPr>
            <w:r w:rsidRPr="00D160ED">
              <w:rPr>
                <w:color w:val="000000"/>
              </w:rPr>
              <w:t>± SD</w:t>
            </w:r>
          </w:p>
        </w:tc>
        <w:tc>
          <w:tcPr>
            <w:tcW w:w="1842" w:type="dxa"/>
            <w:tcBorders>
              <w:top w:val="nil"/>
              <w:left w:val="nil"/>
              <w:bottom w:val="nil"/>
              <w:right w:val="nil"/>
            </w:tcBorders>
            <w:noWrap/>
            <w:vAlign w:val="bottom"/>
            <w:hideMark/>
          </w:tcPr>
          <w:p w14:paraId="070061D7" w14:textId="77777777" w:rsidR="00D5056F" w:rsidRPr="00D160ED" w:rsidRDefault="00D5056F" w:rsidP="002F607C">
            <w:pPr>
              <w:rPr>
                <w:color w:val="000000"/>
              </w:rPr>
            </w:pPr>
            <w:r w:rsidRPr="00D160ED">
              <w:rPr>
                <w:color w:val="000000"/>
              </w:rPr>
              <w:t>1.41</w:t>
            </w:r>
          </w:p>
        </w:tc>
        <w:tc>
          <w:tcPr>
            <w:tcW w:w="1701" w:type="dxa"/>
            <w:tcBorders>
              <w:top w:val="nil"/>
              <w:left w:val="nil"/>
              <w:bottom w:val="nil"/>
              <w:right w:val="nil"/>
            </w:tcBorders>
            <w:noWrap/>
            <w:vAlign w:val="bottom"/>
            <w:hideMark/>
          </w:tcPr>
          <w:p w14:paraId="34B625A9" w14:textId="77777777" w:rsidR="00D5056F" w:rsidRPr="00D160ED" w:rsidRDefault="00D5056F" w:rsidP="002F607C">
            <w:pPr>
              <w:rPr>
                <w:color w:val="000000"/>
              </w:rPr>
            </w:pPr>
            <w:r w:rsidRPr="00D160ED">
              <w:rPr>
                <w:color w:val="000000"/>
              </w:rPr>
              <w:t>0.77</w:t>
            </w:r>
          </w:p>
        </w:tc>
        <w:tc>
          <w:tcPr>
            <w:tcW w:w="1134" w:type="dxa"/>
            <w:tcBorders>
              <w:top w:val="nil"/>
              <w:left w:val="nil"/>
              <w:bottom w:val="nil"/>
              <w:right w:val="nil"/>
            </w:tcBorders>
            <w:noWrap/>
            <w:vAlign w:val="bottom"/>
            <w:hideMark/>
          </w:tcPr>
          <w:p w14:paraId="4ACF92D8" w14:textId="77777777" w:rsidR="00D5056F" w:rsidRPr="00D160ED" w:rsidRDefault="00D5056F" w:rsidP="002F607C">
            <w:pPr>
              <w:rPr>
                <w:color w:val="000000"/>
              </w:rPr>
            </w:pPr>
            <w:r w:rsidRPr="00D160ED">
              <w:rPr>
                <w:color w:val="000000"/>
              </w:rPr>
              <w:t>0.18</w:t>
            </w:r>
          </w:p>
        </w:tc>
        <w:tc>
          <w:tcPr>
            <w:tcW w:w="1403" w:type="dxa"/>
            <w:gridSpan w:val="2"/>
            <w:tcBorders>
              <w:top w:val="nil"/>
              <w:left w:val="nil"/>
              <w:bottom w:val="nil"/>
              <w:right w:val="nil"/>
            </w:tcBorders>
            <w:noWrap/>
            <w:vAlign w:val="bottom"/>
            <w:hideMark/>
          </w:tcPr>
          <w:p w14:paraId="18414921" w14:textId="77777777" w:rsidR="00D5056F" w:rsidRPr="00D160ED" w:rsidRDefault="00D5056F" w:rsidP="002F607C">
            <w:pPr>
              <w:rPr>
                <w:color w:val="000000"/>
              </w:rPr>
            </w:pPr>
          </w:p>
        </w:tc>
        <w:tc>
          <w:tcPr>
            <w:tcW w:w="1291" w:type="dxa"/>
            <w:gridSpan w:val="2"/>
            <w:tcBorders>
              <w:top w:val="nil"/>
              <w:left w:val="nil"/>
              <w:bottom w:val="nil"/>
              <w:right w:val="nil"/>
            </w:tcBorders>
            <w:noWrap/>
            <w:vAlign w:val="bottom"/>
            <w:hideMark/>
          </w:tcPr>
          <w:p w14:paraId="1B9F369B" w14:textId="77777777" w:rsidR="00D5056F" w:rsidRPr="00D160ED" w:rsidRDefault="00D5056F" w:rsidP="002F607C"/>
        </w:tc>
      </w:tr>
      <w:tr w:rsidR="00D5056F" w:rsidRPr="00D160ED" w14:paraId="38EDD16C" w14:textId="77777777" w:rsidTr="002F607C">
        <w:trPr>
          <w:trHeight w:val="560"/>
        </w:trPr>
        <w:tc>
          <w:tcPr>
            <w:tcW w:w="3261" w:type="dxa"/>
            <w:tcBorders>
              <w:top w:val="nil"/>
              <w:left w:val="nil"/>
              <w:bottom w:val="nil"/>
              <w:right w:val="nil"/>
            </w:tcBorders>
            <w:noWrap/>
            <w:vAlign w:val="bottom"/>
          </w:tcPr>
          <w:p w14:paraId="527EC198" w14:textId="77777777" w:rsidR="00D5056F" w:rsidRPr="0022611F" w:rsidRDefault="00D5056F" w:rsidP="002F607C">
            <w:pPr>
              <w:rPr>
                <w:b/>
                <w:bCs/>
                <w:color w:val="000000"/>
              </w:rPr>
            </w:pPr>
            <w:r>
              <w:rPr>
                <w:b/>
                <w:bCs/>
                <w:color w:val="000000"/>
              </w:rPr>
              <w:t>[</w:t>
            </w:r>
            <w:r w:rsidRPr="0022611F">
              <w:rPr>
                <w:b/>
                <w:bCs/>
                <w:color w:val="000000"/>
              </w:rPr>
              <w:t>Number of stems per plant</w:t>
            </w:r>
          </w:p>
        </w:tc>
        <w:tc>
          <w:tcPr>
            <w:tcW w:w="1842" w:type="dxa"/>
            <w:tcBorders>
              <w:top w:val="nil"/>
              <w:left w:val="nil"/>
              <w:bottom w:val="nil"/>
              <w:right w:val="nil"/>
            </w:tcBorders>
            <w:noWrap/>
            <w:vAlign w:val="bottom"/>
          </w:tcPr>
          <w:p w14:paraId="63D5C8C5" w14:textId="77777777" w:rsidR="00D5056F" w:rsidRPr="00266D4D" w:rsidRDefault="00D5056F" w:rsidP="002F607C">
            <w:pPr>
              <w:rPr>
                <w:b/>
                <w:bCs/>
                <w:color w:val="000000"/>
                <w:vertAlign w:val="superscript"/>
              </w:rPr>
            </w:pPr>
            <w:r w:rsidRPr="00266D4D">
              <w:rPr>
                <w:b/>
                <w:bCs/>
                <w:color w:val="000000"/>
              </w:rPr>
              <w:t>3.00</w:t>
            </w:r>
            <w:r w:rsidRPr="00266D4D">
              <w:rPr>
                <w:b/>
                <w:bCs/>
                <w:color w:val="000000"/>
                <w:vertAlign w:val="superscript"/>
              </w:rPr>
              <w:t>a</w:t>
            </w:r>
          </w:p>
        </w:tc>
        <w:tc>
          <w:tcPr>
            <w:tcW w:w="1701" w:type="dxa"/>
            <w:tcBorders>
              <w:top w:val="nil"/>
              <w:left w:val="nil"/>
              <w:bottom w:val="nil"/>
              <w:right w:val="nil"/>
            </w:tcBorders>
            <w:noWrap/>
            <w:vAlign w:val="bottom"/>
          </w:tcPr>
          <w:p w14:paraId="1B8424A1" w14:textId="77777777" w:rsidR="00D5056F" w:rsidRPr="00266D4D" w:rsidRDefault="00D5056F" w:rsidP="002F607C">
            <w:pPr>
              <w:rPr>
                <w:b/>
                <w:bCs/>
                <w:color w:val="000000"/>
                <w:vertAlign w:val="superscript"/>
              </w:rPr>
            </w:pPr>
            <w:r w:rsidRPr="00266D4D">
              <w:rPr>
                <w:b/>
                <w:bCs/>
                <w:color w:val="000000"/>
              </w:rPr>
              <w:t>1.91</w:t>
            </w:r>
            <w:r w:rsidRPr="00266D4D">
              <w:rPr>
                <w:b/>
                <w:bCs/>
                <w:color w:val="000000"/>
                <w:vertAlign w:val="superscript"/>
              </w:rPr>
              <w:t>b</w:t>
            </w:r>
          </w:p>
        </w:tc>
        <w:tc>
          <w:tcPr>
            <w:tcW w:w="1134" w:type="dxa"/>
            <w:tcBorders>
              <w:top w:val="nil"/>
              <w:left w:val="nil"/>
              <w:bottom w:val="nil"/>
              <w:right w:val="nil"/>
            </w:tcBorders>
            <w:noWrap/>
            <w:vAlign w:val="bottom"/>
          </w:tcPr>
          <w:p w14:paraId="377E0004" w14:textId="77777777" w:rsidR="00D5056F" w:rsidRPr="00266D4D" w:rsidRDefault="00D5056F" w:rsidP="002F607C">
            <w:pPr>
              <w:rPr>
                <w:b/>
                <w:bCs/>
                <w:color w:val="000000"/>
              </w:rPr>
            </w:pPr>
            <w:r w:rsidRPr="00266D4D">
              <w:rPr>
                <w:b/>
                <w:bCs/>
                <w:color w:val="000000"/>
              </w:rPr>
              <w:t>1.24</w:t>
            </w:r>
            <w:r w:rsidRPr="00266D4D">
              <w:rPr>
                <w:b/>
                <w:bCs/>
                <w:color w:val="000000"/>
                <w:vertAlign w:val="superscript"/>
              </w:rPr>
              <w:t>c</w:t>
            </w:r>
          </w:p>
        </w:tc>
        <w:tc>
          <w:tcPr>
            <w:tcW w:w="1403" w:type="dxa"/>
            <w:gridSpan w:val="2"/>
            <w:tcBorders>
              <w:top w:val="nil"/>
              <w:left w:val="nil"/>
              <w:bottom w:val="nil"/>
              <w:right w:val="nil"/>
            </w:tcBorders>
            <w:noWrap/>
            <w:vAlign w:val="bottom"/>
          </w:tcPr>
          <w:p w14:paraId="77D376E3" w14:textId="77777777" w:rsidR="00D5056F" w:rsidRPr="00D160ED" w:rsidRDefault="00D5056F" w:rsidP="002F607C">
            <w:pPr>
              <w:rPr>
                <w:color w:val="000000"/>
              </w:rPr>
            </w:pPr>
            <w:r w:rsidRPr="00D160ED">
              <w:rPr>
                <w:color w:val="000000"/>
              </w:rPr>
              <w:t>ANOVA/</w:t>
            </w:r>
          </w:p>
          <w:p w14:paraId="0684CFB7" w14:textId="77777777" w:rsidR="00D5056F" w:rsidRPr="00D160ED" w:rsidRDefault="00D5056F" w:rsidP="002F607C">
            <w:pPr>
              <w:rPr>
                <w:color w:val="000000"/>
              </w:rPr>
            </w:pPr>
            <w:r w:rsidRPr="00D160ED">
              <w:rPr>
                <w:color w:val="000000"/>
              </w:rPr>
              <w:t>Tukey</w:t>
            </w:r>
            <w:r>
              <w:rPr>
                <w:color w:val="000000"/>
              </w:rPr>
              <w:t>’</w:t>
            </w:r>
            <w:r w:rsidRPr="00D160ED">
              <w:rPr>
                <w:color w:val="000000"/>
              </w:rPr>
              <w:t>s</w:t>
            </w:r>
          </w:p>
        </w:tc>
        <w:tc>
          <w:tcPr>
            <w:tcW w:w="1291" w:type="dxa"/>
            <w:gridSpan w:val="2"/>
            <w:tcBorders>
              <w:top w:val="nil"/>
              <w:left w:val="nil"/>
              <w:bottom w:val="nil"/>
              <w:right w:val="nil"/>
            </w:tcBorders>
            <w:noWrap/>
            <w:vAlign w:val="bottom"/>
          </w:tcPr>
          <w:p w14:paraId="30214CAA" w14:textId="77777777" w:rsidR="00D5056F" w:rsidRPr="00D160ED" w:rsidRDefault="00D5056F" w:rsidP="002F607C">
            <w:pPr>
              <w:rPr>
                <w:color w:val="000000"/>
              </w:rPr>
            </w:pPr>
            <w:r w:rsidRPr="00D160ED">
              <w:rPr>
                <w:color w:val="000000"/>
              </w:rPr>
              <w:t>&lt; 0.0001/</w:t>
            </w:r>
          </w:p>
          <w:p w14:paraId="0886DD8B" w14:textId="77777777" w:rsidR="00D5056F" w:rsidRPr="0039052B" w:rsidRDefault="00D5056F" w:rsidP="002F607C">
            <w:pPr>
              <w:rPr>
                <w:sz w:val="22"/>
                <w:szCs w:val="22"/>
              </w:rPr>
            </w:pPr>
            <w:r w:rsidRPr="0039052B">
              <w:rPr>
                <w:color w:val="000000"/>
                <w:sz w:val="22"/>
                <w:szCs w:val="22"/>
              </w:rPr>
              <w:t>&lt; 0.01/0.05</w:t>
            </w:r>
          </w:p>
        </w:tc>
      </w:tr>
      <w:tr w:rsidR="00D5056F" w:rsidRPr="00D160ED" w14:paraId="313D1545" w14:textId="77777777" w:rsidTr="002F607C">
        <w:trPr>
          <w:trHeight w:val="560"/>
        </w:trPr>
        <w:tc>
          <w:tcPr>
            <w:tcW w:w="3261" w:type="dxa"/>
            <w:tcBorders>
              <w:top w:val="nil"/>
              <w:left w:val="nil"/>
              <w:bottom w:val="nil"/>
              <w:right w:val="nil"/>
            </w:tcBorders>
            <w:noWrap/>
            <w:vAlign w:val="bottom"/>
          </w:tcPr>
          <w:p w14:paraId="1687F15B" w14:textId="77777777" w:rsidR="00D5056F" w:rsidRPr="00D160ED" w:rsidRDefault="00D5056F" w:rsidP="002F607C">
            <w:pPr>
              <w:rPr>
                <w:color w:val="000000"/>
              </w:rPr>
            </w:pPr>
            <w:r w:rsidRPr="00D160ED">
              <w:rPr>
                <w:color w:val="000000"/>
              </w:rPr>
              <w:t>± SD</w:t>
            </w:r>
          </w:p>
        </w:tc>
        <w:tc>
          <w:tcPr>
            <w:tcW w:w="1842" w:type="dxa"/>
            <w:tcBorders>
              <w:top w:val="nil"/>
              <w:left w:val="nil"/>
              <w:bottom w:val="nil"/>
              <w:right w:val="nil"/>
            </w:tcBorders>
            <w:noWrap/>
            <w:vAlign w:val="bottom"/>
          </w:tcPr>
          <w:p w14:paraId="7842F0B8" w14:textId="77777777" w:rsidR="00D5056F" w:rsidRPr="00D160ED" w:rsidRDefault="00D5056F" w:rsidP="002F607C">
            <w:pPr>
              <w:rPr>
                <w:color w:val="000000"/>
              </w:rPr>
            </w:pPr>
            <w:r>
              <w:rPr>
                <w:color w:val="000000"/>
              </w:rPr>
              <w:t>2.22</w:t>
            </w:r>
          </w:p>
        </w:tc>
        <w:tc>
          <w:tcPr>
            <w:tcW w:w="1701" w:type="dxa"/>
            <w:tcBorders>
              <w:top w:val="nil"/>
              <w:left w:val="nil"/>
              <w:bottom w:val="nil"/>
              <w:right w:val="nil"/>
            </w:tcBorders>
            <w:noWrap/>
            <w:vAlign w:val="bottom"/>
          </w:tcPr>
          <w:p w14:paraId="3B19B9AE" w14:textId="77777777" w:rsidR="00D5056F" w:rsidRPr="00D160ED" w:rsidRDefault="00D5056F" w:rsidP="002F607C">
            <w:pPr>
              <w:rPr>
                <w:color w:val="000000"/>
              </w:rPr>
            </w:pPr>
            <w:r>
              <w:rPr>
                <w:color w:val="000000"/>
              </w:rPr>
              <w:t>1.41</w:t>
            </w:r>
          </w:p>
        </w:tc>
        <w:tc>
          <w:tcPr>
            <w:tcW w:w="1134" w:type="dxa"/>
            <w:tcBorders>
              <w:top w:val="nil"/>
              <w:left w:val="nil"/>
              <w:bottom w:val="nil"/>
              <w:right w:val="nil"/>
            </w:tcBorders>
            <w:noWrap/>
            <w:vAlign w:val="bottom"/>
          </w:tcPr>
          <w:p w14:paraId="64F52558" w14:textId="77777777" w:rsidR="00D5056F" w:rsidRPr="00D160ED" w:rsidRDefault="00D5056F" w:rsidP="002F607C">
            <w:pPr>
              <w:rPr>
                <w:color w:val="000000"/>
              </w:rPr>
            </w:pPr>
            <w:r>
              <w:rPr>
                <w:color w:val="000000"/>
              </w:rPr>
              <w:t>0.62</w:t>
            </w:r>
          </w:p>
        </w:tc>
        <w:tc>
          <w:tcPr>
            <w:tcW w:w="2694" w:type="dxa"/>
            <w:gridSpan w:val="4"/>
            <w:tcBorders>
              <w:top w:val="nil"/>
              <w:left w:val="nil"/>
              <w:bottom w:val="nil"/>
              <w:right w:val="nil"/>
            </w:tcBorders>
            <w:noWrap/>
            <w:vAlign w:val="bottom"/>
          </w:tcPr>
          <w:p w14:paraId="2BA698B5" w14:textId="77777777" w:rsidR="00D5056F" w:rsidRPr="00D160ED" w:rsidRDefault="00D5056F" w:rsidP="002F607C">
            <w:pPr>
              <w:jc w:val="center"/>
            </w:pPr>
            <w:r>
              <w:rPr>
                <w:color w:val="000000"/>
              </w:rPr>
              <w:t>Not meet normality assumptions]</w:t>
            </w:r>
          </w:p>
        </w:tc>
      </w:tr>
      <w:tr w:rsidR="00D5056F" w:rsidRPr="00D160ED" w14:paraId="151DD1F2" w14:textId="77777777" w:rsidTr="002F607C">
        <w:trPr>
          <w:trHeight w:val="560"/>
        </w:trPr>
        <w:tc>
          <w:tcPr>
            <w:tcW w:w="3261" w:type="dxa"/>
            <w:tcBorders>
              <w:top w:val="nil"/>
              <w:left w:val="nil"/>
              <w:bottom w:val="nil"/>
              <w:right w:val="nil"/>
            </w:tcBorders>
            <w:noWrap/>
            <w:vAlign w:val="bottom"/>
          </w:tcPr>
          <w:p w14:paraId="0F65D6C7" w14:textId="77777777" w:rsidR="00D5056F" w:rsidRPr="0093346B" w:rsidRDefault="00D5056F" w:rsidP="002F607C">
            <w:pPr>
              <w:rPr>
                <w:b/>
                <w:bCs/>
                <w:color w:val="000000"/>
              </w:rPr>
            </w:pPr>
            <w:r w:rsidRPr="0093346B">
              <w:rPr>
                <w:b/>
                <w:bCs/>
                <w:color w:val="000000"/>
              </w:rPr>
              <w:t>% plants with multiple stems</w:t>
            </w:r>
          </w:p>
        </w:tc>
        <w:tc>
          <w:tcPr>
            <w:tcW w:w="1842" w:type="dxa"/>
            <w:tcBorders>
              <w:top w:val="nil"/>
              <w:left w:val="nil"/>
              <w:bottom w:val="nil"/>
              <w:right w:val="nil"/>
            </w:tcBorders>
            <w:noWrap/>
            <w:vAlign w:val="bottom"/>
          </w:tcPr>
          <w:p w14:paraId="50ED5A8C" w14:textId="77777777" w:rsidR="00D5056F" w:rsidRPr="0093346B" w:rsidRDefault="00D5056F" w:rsidP="002F607C">
            <w:pPr>
              <w:rPr>
                <w:b/>
                <w:bCs/>
                <w:color w:val="000000"/>
                <w:vertAlign w:val="superscript"/>
              </w:rPr>
            </w:pPr>
            <w:r w:rsidRPr="0093346B">
              <w:rPr>
                <w:b/>
                <w:bCs/>
                <w:color w:val="000000"/>
              </w:rPr>
              <w:t>70.0</w:t>
            </w:r>
            <w:r w:rsidRPr="0093346B">
              <w:rPr>
                <w:b/>
                <w:bCs/>
                <w:color w:val="000000"/>
                <w:vertAlign w:val="superscript"/>
              </w:rPr>
              <w:t>a</w:t>
            </w:r>
          </w:p>
        </w:tc>
        <w:tc>
          <w:tcPr>
            <w:tcW w:w="1701" w:type="dxa"/>
            <w:tcBorders>
              <w:top w:val="nil"/>
              <w:left w:val="nil"/>
              <w:bottom w:val="nil"/>
              <w:right w:val="nil"/>
            </w:tcBorders>
            <w:noWrap/>
            <w:vAlign w:val="bottom"/>
          </w:tcPr>
          <w:p w14:paraId="3CB786EC" w14:textId="77777777" w:rsidR="00D5056F" w:rsidRPr="0093346B" w:rsidRDefault="00D5056F" w:rsidP="002F607C">
            <w:pPr>
              <w:rPr>
                <w:b/>
                <w:bCs/>
                <w:color w:val="000000"/>
                <w:vertAlign w:val="superscript"/>
              </w:rPr>
            </w:pPr>
            <w:r w:rsidRPr="0093346B">
              <w:rPr>
                <w:b/>
                <w:bCs/>
                <w:color w:val="000000"/>
              </w:rPr>
              <w:t>56.6</w:t>
            </w:r>
            <w:r w:rsidRPr="0093346B">
              <w:rPr>
                <w:b/>
                <w:bCs/>
                <w:color w:val="000000"/>
                <w:vertAlign w:val="superscript"/>
              </w:rPr>
              <w:t>b</w:t>
            </w:r>
          </w:p>
        </w:tc>
        <w:tc>
          <w:tcPr>
            <w:tcW w:w="1134" w:type="dxa"/>
            <w:tcBorders>
              <w:top w:val="nil"/>
              <w:left w:val="nil"/>
              <w:bottom w:val="nil"/>
              <w:right w:val="nil"/>
            </w:tcBorders>
            <w:noWrap/>
            <w:vAlign w:val="bottom"/>
          </w:tcPr>
          <w:p w14:paraId="67BFF24F" w14:textId="77777777" w:rsidR="00D5056F" w:rsidRPr="0093346B" w:rsidRDefault="00D5056F" w:rsidP="002F607C">
            <w:pPr>
              <w:rPr>
                <w:b/>
                <w:bCs/>
                <w:color w:val="000000"/>
                <w:vertAlign w:val="superscript"/>
              </w:rPr>
            </w:pPr>
            <w:r w:rsidRPr="0093346B">
              <w:rPr>
                <w:b/>
                <w:bCs/>
                <w:color w:val="000000"/>
              </w:rPr>
              <w:t>17.4</w:t>
            </w:r>
            <w:r w:rsidRPr="0093346B">
              <w:rPr>
                <w:b/>
                <w:bCs/>
                <w:color w:val="000000"/>
                <w:vertAlign w:val="superscript"/>
              </w:rPr>
              <w:t>c</w:t>
            </w:r>
          </w:p>
        </w:tc>
        <w:tc>
          <w:tcPr>
            <w:tcW w:w="1403" w:type="dxa"/>
            <w:gridSpan w:val="2"/>
            <w:tcBorders>
              <w:top w:val="nil"/>
              <w:left w:val="nil"/>
              <w:bottom w:val="nil"/>
              <w:right w:val="nil"/>
            </w:tcBorders>
            <w:noWrap/>
            <w:vAlign w:val="bottom"/>
          </w:tcPr>
          <w:p w14:paraId="49BFB417" w14:textId="77777777" w:rsidR="00D5056F" w:rsidRPr="00D160ED" w:rsidRDefault="00D5056F" w:rsidP="002F607C">
            <w:pPr>
              <w:rPr>
                <w:color w:val="000000"/>
              </w:rPr>
            </w:pPr>
            <w:r>
              <w:rPr>
                <w:color w:val="000000"/>
              </w:rPr>
              <w:t>Fisher’s</w:t>
            </w:r>
          </w:p>
        </w:tc>
        <w:tc>
          <w:tcPr>
            <w:tcW w:w="1291" w:type="dxa"/>
            <w:gridSpan w:val="2"/>
            <w:tcBorders>
              <w:top w:val="nil"/>
              <w:left w:val="nil"/>
              <w:bottom w:val="nil"/>
              <w:right w:val="nil"/>
            </w:tcBorders>
            <w:noWrap/>
            <w:vAlign w:val="bottom"/>
          </w:tcPr>
          <w:p w14:paraId="5A6CA5B4" w14:textId="77777777" w:rsidR="00D5056F" w:rsidRPr="00D160ED" w:rsidRDefault="00D5056F" w:rsidP="002F607C">
            <w:r w:rsidRPr="00D160ED">
              <w:rPr>
                <w:color w:val="000000"/>
              </w:rPr>
              <w:t>&lt; 0.0001</w:t>
            </w:r>
          </w:p>
        </w:tc>
      </w:tr>
      <w:tr w:rsidR="00D5056F" w:rsidRPr="00D160ED" w14:paraId="7DA4182C" w14:textId="77777777" w:rsidTr="002F607C">
        <w:trPr>
          <w:trHeight w:val="560"/>
        </w:trPr>
        <w:tc>
          <w:tcPr>
            <w:tcW w:w="3261" w:type="dxa"/>
            <w:tcBorders>
              <w:top w:val="nil"/>
              <w:left w:val="nil"/>
              <w:bottom w:val="nil"/>
              <w:right w:val="nil"/>
            </w:tcBorders>
            <w:noWrap/>
            <w:vAlign w:val="bottom"/>
          </w:tcPr>
          <w:p w14:paraId="340BE571" w14:textId="77777777" w:rsidR="00D5056F" w:rsidRPr="00D160ED" w:rsidRDefault="00D5056F" w:rsidP="002F607C">
            <w:pPr>
              <w:rPr>
                <w:color w:val="000000"/>
              </w:rPr>
            </w:pPr>
            <w:r>
              <w:rPr>
                <w:color w:val="000000"/>
              </w:rPr>
              <w:t>Number with a single stem</w:t>
            </w:r>
          </w:p>
        </w:tc>
        <w:tc>
          <w:tcPr>
            <w:tcW w:w="1842" w:type="dxa"/>
            <w:tcBorders>
              <w:top w:val="nil"/>
              <w:left w:val="nil"/>
              <w:bottom w:val="nil"/>
              <w:right w:val="nil"/>
            </w:tcBorders>
            <w:noWrap/>
            <w:vAlign w:val="bottom"/>
          </w:tcPr>
          <w:p w14:paraId="476DE030" w14:textId="77777777" w:rsidR="00D5056F" w:rsidRDefault="00D5056F" w:rsidP="002F607C">
            <w:pPr>
              <w:rPr>
                <w:color w:val="000000"/>
              </w:rPr>
            </w:pPr>
            <w:r>
              <w:rPr>
                <w:color w:val="000000"/>
              </w:rPr>
              <w:t>6</w:t>
            </w:r>
          </w:p>
        </w:tc>
        <w:tc>
          <w:tcPr>
            <w:tcW w:w="1701" w:type="dxa"/>
            <w:tcBorders>
              <w:top w:val="nil"/>
              <w:left w:val="nil"/>
              <w:bottom w:val="nil"/>
              <w:right w:val="nil"/>
            </w:tcBorders>
            <w:noWrap/>
            <w:vAlign w:val="bottom"/>
          </w:tcPr>
          <w:p w14:paraId="5D3E7DDB" w14:textId="77777777" w:rsidR="00D5056F" w:rsidRDefault="00D5056F" w:rsidP="002F607C">
            <w:pPr>
              <w:rPr>
                <w:color w:val="000000"/>
              </w:rPr>
            </w:pPr>
            <w:r>
              <w:rPr>
                <w:color w:val="000000"/>
              </w:rPr>
              <w:t>69</w:t>
            </w:r>
          </w:p>
        </w:tc>
        <w:tc>
          <w:tcPr>
            <w:tcW w:w="1134" w:type="dxa"/>
            <w:tcBorders>
              <w:top w:val="nil"/>
              <w:left w:val="nil"/>
              <w:bottom w:val="nil"/>
              <w:right w:val="nil"/>
            </w:tcBorders>
            <w:noWrap/>
            <w:vAlign w:val="bottom"/>
          </w:tcPr>
          <w:p w14:paraId="416F3464" w14:textId="77777777" w:rsidR="00D5056F" w:rsidRDefault="00D5056F" w:rsidP="002F607C">
            <w:pPr>
              <w:rPr>
                <w:color w:val="000000"/>
              </w:rPr>
            </w:pPr>
            <w:r>
              <w:rPr>
                <w:color w:val="000000"/>
              </w:rPr>
              <w:t>119</w:t>
            </w:r>
          </w:p>
        </w:tc>
        <w:tc>
          <w:tcPr>
            <w:tcW w:w="1403" w:type="dxa"/>
            <w:gridSpan w:val="2"/>
            <w:tcBorders>
              <w:top w:val="nil"/>
              <w:left w:val="nil"/>
              <w:bottom w:val="nil"/>
              <w:right w:val="nil"/>
            </w:tcBorders>
            <w:noWrap/>
            <w:vAlign w:val="bottom"/>
          </w:tcPr>
          <w:p w14:paraId="6239C781" w14:textId="77777777" w:rsidR="00D5056F" w:rsidRPr="00D160ED" w:rsidRDefault="00D5056F" w:rsidP="002F607C">
            <w:pPr>
              <w:rPr>
                <w:color w:val="000000"/>
              </w:rPr>
            </w:pPr>
          </w:p>
        </w:tc>
        <w:tc>
          <w:tcPr>
            <w:tcW w:w="1291" w:type="dxa"/>
            <w:gridSpan w:val="2"/>
            <w:tcBorders>
              <w:top w:val="nil"/>
              <w:left w:val="nil"/>
              <w:bottom w:val="nil"/>
              <w:right w:val="nil"/>
            </w:tcBorders>
            <w:noWrap/>
            <w:vAlign w:val="bottom"/>
          </w:tcPr>
          <w:p w14:paraId="5DA77E45" w14:textId="77777777" w:rsidR="00D5056F" w:rsidRPr="00D160ED" w:rsidRDefault="00D5056F" w:rsidP="002F607C"/>
        </w:tc>
      </w:tr>
      <w:tr w:rsidR="00D5056F" w:rsidRPr="00D160ED" w14:paraId="21B67842" w14:textId="77777777" w:rsidTr="002F607C">
        <w:trPr>
          <w:trHeight w:val="560"/>
        </w:trPr>
        <w:tc>
          <w:tcPr>
            <w:tcW w:w="3261" w:type="dxa"/>
            <w:tcBorders>
              <w:top w:val="nil"/>
              <w:left w:val="nil"/>
              <w:bottom w:val="nil"/>
              <w:right w:val="nil"/>
            </w:tcBorders>
            <w:noWrap/>
            <w:vAlign w:val="bottom"/>
          </w:tcPr>
          <w:p w14:paraId="1B403A89" w14:textId="77777777" w:rsidR="00D5056F" w:rsidRPr="0004436B" w:rsidRDefault="00D5056F" w:rsidP="002F607C">
            <w:pPr>
              <w:rPr>
                <w:b/>
                <w:bCs/>
                <w:color w:val="000000"/>
              </w:rPr>
            </w:pPr>
            <w:r w:rsidRPr="0004436B">
              <w:rPr>
                <w:b/>
                <w:bCs/>
                <w:color w:val="000000"/>
              </w:rPr>
              <w:t>Plant stature in m</w:t>
            </w:r>
          </w:p>
        </w:tc>
        <w:tc>
          <w:tcPr>
            <w:tcW w:w="1842" w:type="dxa"/>
            <w:tcBorders>
              <w:top w:val="nil"/>
              <w:left w:val="nil"/>
              <w:bottom w:val="nil"/>
              <w:right w:val="nil"/>
            </w:tcBorders>
            <w:noWrap/>
            <w:vAlign w:val="bottom"/>
          </w:tcPr>
          <w:p w14:paraId="0A1258A3" w14:textId="77777777" w:rsidR="00D5056F" w:rsidRPr="00266D4D" w:rsidRDefault="00D5056F" w:rsidP="002F607C">
            <w:pPr>
              <w:rPr>
                <w:b/>
                <w:bCs/>
                <w:color w:val="000000"/>
                <w:vertAlign w:val="superscript"/>
              </w:rPr>
            </w:pPr>
            <w:r w:rsidRPr="00266D4D">
              <w:rPr>
                <w:b/>
                <w:bCs/>
                <w:color w:val="000000"/>
              </w:rPr>
              <w:t>1.63</w:t>
            </w:r>
            <w:r w:rsidRPr="00266D4D">
              <w:rPr>
                <w:b/>
                <w:bCs/>
                <w:color w:val="000000"/>
                <w:vertAlign w:val="superscript"/>
              </w:rPr>
              <w:t>a</w:t>
            </w:r>
          </w:p>
        </w:tc>
        <w:tc>
          <w:tcPr>
            <w:tcW w:w="1701" w:type="dxa"/>
            <w:tcBorders>
              <w:top w:val="nil"/>
              <w:left w:val="nil"/>
              <w:bottom w:val="nil"/>
              <w:right w:val="nil"/>
            </w:tcBorders>
            <w:noWrap/>
            <w:vAlign w:val="bottom"/>
          </w:tcPr>
          <w:p w14:paraId="7CDF27E6" w14:textId="77777777" w:rsidR="00D5056F" w:rsidRPr="00266D4D" w:rsidRDefault="00D5056F" w:rsidP="002F607C">
            <w:pPr>
              <w:rPr>
                <w:b/>
                <w:bCs/>
                <w:color w:val="000000"/>
                <w:vertAlign w:val="superscript"/>
              </w:rPr>
            </w:pPr>
            <w:r w:rsidRPr="00266D4D">
              <w:rPr>
                <w:b/>
                <w:bCs/>
                <w:color w:val="000000"/>
              </w:rPr>
              <w:t>1.47</w:t>
            </w:r>
            <w:r w:rsidRPr="00266D4D">
              <w:rPr>
                <w:b/>
                <w:bCs/>
                <w:color w:val="000000"/>
                <w:vertAlign w:val="superscript"/>
              </w:rPr>
              <w:t>a</w:t>
            </w:r>
          </w:p>
        </w:tc>
        <w:tc>
          <w:tcPr>
            <w:tcW w:w="1134" w:type="dxa"/>
            <w:tcBorders>
              <w:top w:val="nil"/>
              <w:left w:val="nil"/>
              <w:bottom w:val="nil"/>
              <w:right w:val="nil"/>
            </w:tcBorders>
            <w:noWrap/>
            <w:vAlign w:val="bottom"/>
          </w:tcPr>
          <w:p w14:paraId="180A95B9" w14:textId="77777777" w:rsidR="00D5056F" w:rsidRPr="00266D4D" w:rsidRDefault="00D5056F" w:rsidP="002F607C">
            <w:pPr>
              <w:rPr>
                <w:b/>
                <w:bCs/>
                <w:color w:val="000000"/>
                <w:vertAlign w:val="superscript"/>
              </w:rPr>
            </w:pPr>
            <w:r w:rsidRPr="00266D4D">
              <w:rPr>
                <w:b/>
                <w:bCs/>
                <w:color w:val="000000"/>
              </w:rPr>
              <w:t>0.93</w:t>
            </w:r>
            <w:r w:rsidRPr="00266D4D">
              <w:rPr>
                <w:b/>
                <w:bCs/>
                <w:color w:val="000000"/>
                <w:vertAlign w:val="superscript"/>
              </w:rPr>
              <w:t>b</w:t>
            </w:r>
          </w:p>
        </w:tc>
        <w:tc>
          <w:tcPr>
            <w:tcW w:w="1403" w:type="dxa"/>
            <w:gridSpan w:val="2"/>
            <w:tcBorders>
              <w:top w:val="nil"/>
              <w:left w:val="nil"/>
              <w:bottom w:val="nil"/>
              <w:right w:val="nil"/>
            </w:tcBorders>
            <w:noWrap/>
            <w:vAlign w:val="bottom"/>
          </w:tcPr>
          <w:p w14:paraId="691E94B9" w14:textId="77777777" w:rsidR="00D5056F" w:rsidRPr="00D160ED" w:rsidRDefault="00D5056F" w:rsidP="002F607C">
            <w:pPr>
              <w:rPr>
                <w:color w:val="000000"/>
              </w:rPr>
            </w:pPr>
            <w:r w:rsidRPr="00D160ED">
              <w:rPr>
                <w:color w:val="000000"/>
              </w:rPr>
              <w:t>ANOVA/</w:t>
            </w:r>
          </w:p>
          <w:p w14:paraId="553C7817" w14:textId="77777777" w:rsidR="00D5056F" w:rsidRPr="00D160ED" w:rsidRDefault="00D5056F" w:rsidP="002F607C">
            <w:pPr>
              <w:rPr>
                <w:color w:val="000000"/>
              </w:rPr>
            </w:pPr>
            <w:r w:rsidRPr="00D160ED">
              <w:rPr>
                <w:color w:val="000000"/>
              </w:rPr>
              <w:t>Tukey</w:t>
            </w:r>
            <w:r>
              <w:rPr>
                <w:color w:val="000000"/>
              </w:rPr>
              <w:t>’</w:t>
            </w:r>
            <w:r w:rsidRPr="00D160ED">
              <w:rPr>
                <w:color w:val="000000"/>
              </w:rPr>
              <w:t>s</w:t>
            </w:r>
          </w:p>
        </w:tc>
        <w:tc>
          <w:tcPr>
            <w:tcW w:w="1291" w:type="dxa"/>
            <w:gridSpan w:val="2"/>
            <w:tcBorders>
              <w:top w:val="nil"/>
              <w:left w:val="nil"/>
              <w:bottom w:val="nil"/>
              <w:right w:val="nil"/>
            </w:tcBorders>
            <w:noWrap/>
            <w:vAlign w:val="bottom"/>
          </w:tcPr>
          <w:p w14:paraId="0BD7E001" w14:textId="77777777" w:rsidR="00D5056F" w:rsidRPr="00D160ED" w:rsidRDefault="00D5056F" w:rsidP="002F607C">
            <w:pPr>
              <w:rPr>
                <w:color w:val="000000"/>
              </w:rPr>
            </w:pPr>
            <w:r w:rsidRPr="00D160ED">
              <w:rPr>
                <w:color w:val="000000"/>
              </w:rPr>
              <w:t>&lt; 0.0001/</w:t>
            </w:r>
          </w:p>
          <w:p w14:paraId="73B92B13" w14:textId="77777777" w:rsidR="00D5056F" w:rsidRPr="00D160ED" w:rsidRDefault="00D5056F" w:rsidP="002F607C">
            <w:r w:rsidRPr="00D160ED">
              <w:rPr>
                <w:color w:val="000000"/>
              </w:rPr>
              <w:t>&lt; 0.01</w:t>
            </w:r>
          </w:p>
        </w:tc>
      </w:tr>
      <w:tr w:rsidR="00D5056F" w:rsidRPr="00D160ED" w14:paraId="5EAC769F" w14:textId="77777777" w:rsidTr="002F607C">
        <w:trPr>
          <w:trHeight w:val="560"/>
        </w:trPr>
        <w:tc>
          <w:tcPr>
            <w:tcW w:w="3261" w:type="dxa"/>
            <w:tcBorders>
              <w:top w:val="nil"/>
              <w:left w:val="nil"/>
              <w:bottom w:val="single" w:sz="4" w:space="0" w:color="auto"/>
              <w:right w:val="nil"/>
            </w:tcBorders>
            <w:noWrap/>
            <w:vAlign w:val="bottom"/>
          </w:tcPr>
          <w:p w14:paraId="7030354B" w14:textId="77777777" w:rsidR="00D5056F" w:rsidRPr="00D160ED" w:rsidRDefault="00D5056F" w:rsidP="002F607C">
            <w:pPr>
              <w:rPr>
                <w:color w:val="000000"/>
              </w:rPr>
            </w:pPr>
            <w:r w:rsidRPr="00D160ED">
              <w:rPr>
                <w:color w:val="000000"/>
              </w:rPr>
              <w:t>± SD</w:t>
            </w:r>
          </w:p>
        </w:tc>
        <w:tc>
          <w:tcPr>
            <w:tcW w:w="1842" w:type="dxa"/>
            <w:tcBorders>
              <w:top w:val="nil"/>
              <w:left w:val="nil"/>
              <w:bottom w:val="single" w:sz="4" w:space="0" w:color="auto"/>
              <w:right w:val="nil"/>
            </w:tcBorders>
            <w:noWrap/>
            <w:vAlign w:val="bottom"/>
          </w:tcPr>
          <w:p w14:paraId="04797CBB" w14:textId="77777777" w:rsidR="00D5056F" w:rsidRDefault="00D5056F" w:rsidP="002F607C">
            <w:pPr>
              <w:rPr>
                <w:color w:val="000000"/>
              </w:rPr>
            </w:pPr>
            <w:r>
              <w:rPr>
                <w:color w:val="000000"/>
              </w:rPr>
              <w:t>0.52</w:t>
            </w:r>
          </w:p>
        </w:tc>
        <w:tc>
          <w:tcPr>
            <w:tcW w:w="1701" w:type="dxa"/>
            <w:tcBorders>
              <w:top w:val="nil"/>
              <w:left w:val="nil"/>
              <w:bottom w:val="single" w:sz="4" w:space="0" w:color="auto"/>
              <w:right w:val="nil"/>
            </w:tcBorders>
            <w:noWrap/>
            <w:vAlign w:val="bottom"/>
          </w:tcPr>
          <w:p w14:paraId="43B2B66C" w14:textId="77777777" w:rsidR="00D5056F" w:rsidRDefault="00D5056F" w:rsidP="002F607C">
            <w:pPr>
              <w:rPr>
                <w:color w:val="000000"/>
              </w:rPr>
            </w:pPr>
            <w:r>
              <w:rPr>
                <w:color w:val="000000"/>
              </w:rPr>
              <w:t>1.09</w:t>
            </w:r>
          </w:p>
        </w:tc>
        <w:tc>
          <w:tcPr>
            <w:tcW w:w="1134" w:type="dxa"/>
            <w:tcBorders>
              <w:top w:val="nil"/>
              <w:left w:val="nil"/>
              <w:bottom w:val="single" w:sz="4" w:space="0" w:color="auto"/>
              <w:right w:val="nil"/>
            </w:tcBorders>
            <w:noWrap/>
            <w:vAlign w:val="bottom"/>
          </w:tcPr>
          <w:p w14:paraId="3A0D38AF" w14:textId="77777777" w:rsidR="00D5056F" w:rsidRDefault="00D5056F" w:rsidP="002F607C">
            <w:pPr>
              <w:rPr>
                <w:color w:val="000000"/>
              </w:rPr>
            </w:pPr>
            <w:r>
              <w:rPr>
                <w:color w:val="000000"/>
              </w:rPr>
              <w:t>0.50</w:t>
            </w:r>
          </w:p>
        </w:tc>
        <w:tc>
          <w:tcPr>
            <w:tcW w:w="1561" w:type="dxa"/>
            <w:gridSpan w:val="3"/>
            <w:tcBorders>
              <w:top w:val="nil"/>
              <w:left w:val="nil"/>
              <w:bottom w:val="single" w:sz="4" w:space="0" w:color="auto"/>
              <w:right w:val="nil"/>
            </w:tcBorders>
            <w:noWrap/>
            <w:vAlign w:val="bottom"/>
          </w:tcPr>
          <w:p w14:paraId="2844572F" w14:textId="77777777" w:rsidR="00D5056F" w:rsidRPr="00D160ED" w:rsidRDefault="00D5056F" w:rsidP="002F607C">
            <w:pPr>
              <w:rPr>
                <w:color w:val="000000"/>
              </w:rPr>
            </w:pPr>
          </w:p>
        </w:tc>
        <w:tc>
          <w:tcPr>
            <w:tcW w:w="1133" w:type="dxa"/>
            <w:tcBorders>
              <w:top w:val="nil"/>
              <w:left w:val="nil"/>
              <w:bottom w:val="single" w:sz="4" w:space="0" w:color="auto"/>
              <w:right w:val="nil"/>
            </w:tcBorders>
            <w:noWrap/>
            <w:vAlign w:val="bottom"/>
          </w:tcPr>
          <w:p w14:paraId="60D17619" w14:textId="77777777" w:rsidR="00D5056F" w:rsidRPr="00D160ED" w:rsidRDefault="00D5056F" w:rsidP="002F607C"/>
        </w:tc>
      </w:tr>
    </w:tbl>
    <w:p w14:paraId="194F8DED" w14:textId="77777777" w:rsidR="00D5056F" w:rsidRDefault="00D5056F" w:rsidP="00D5056F">
      <w:r>
        <w:t xml:space="preserve"> </w:t>
      </w:r>
    </w:p>
    <w:p w14:paraId="1C04809C"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6F"/>
    <w:rsid w:val="002978F5"/>
    <w:rsid w:val="003852CF"/>
    <w:rsid w:val="004E780C"/>
    <w:rsid w:val="00523372"/>
    <w:rsid w:val="00D5056F"/>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7E0F"/>
  <w15:chartTrackingRefBased/>
  <w15:docId w15:val="{E9924D9E-4E36-432B-BA65-47D07788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6F"/>
    <w:pPr>
      <w:spacing w:after="0" w:line="240" w:lineRule="auto"/>
    </w:pPr>
    <w:rPr>
      <w:rFonts w:ascii="Times New Roman" w:eastAsia="Times New Roman" w:hAnsi="Times New Roman" w:cs="Times New Roman"/>
      <w:kern w:val="0"/>
      <w:lang w:val="en-AU" w:eastAsia="en-GB"/>
      <w14:ligatures w14:val="none"/>
    </w:rPr>
  </w:style>
  <w:style w:type="paragraph" w:styleId="Heading1">
    <w:name w:val="heading 1"/>
    <w:basedOn w:val="Normal"/>
    <w:next w:val="Normal"/>
    <w:link w:val="Heading1Char"/>
    <w:uiPriority w:val="9"/>
    <w:qFormat/>
    <w:rsid w:val="00D505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505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505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5056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5056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5056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5056F"/>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5056F"/>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5056F"/>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56F"/>
    <w:rPr>
      <w:rFonts w:eastAsiaTheme="majorEastAsia" w:cstheme="majorBidi"/>
      <w:color w:val="272727" w:themeColor="text1" w:themeTint="D8"/>
    </w:rPr>
  </w:style>
  <w:style w:type="paragraph" w:styleId="Title">
    <w:name w:val="Title"/>
    <w:basedOn w:val="Normal"/>
    <w:next w:val="Normal"/>
    <w:link w:val="TitleChar"/>
    <w:uiPriority w:val="10"/>
    <w:qFormat/>
    <w:rsid w:val="00D5056F"/>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50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5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50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56F"/>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5056F"/>
    <w:rPr>
      <w:i/>
      <w:iCs/>
      <w:color w:val="404040" w:themeColor="text1" w:themeTint="BF"/>
    </w:rPr>
  </w:style>
  <w:style w:type="paragraph" w:styleId="ListParagraph">
    <w:name w:val="List Paragraph"/>
    <w:basedOn w:val="Normal"/>
    <w:uiPriority w:val="34"/>
    <w:qFormat/>
    <w:rsid w:val="00D5056F"/>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D5056F"/>
    <w:rPr>
      <w:i/>
      <w:iCs/>
      <w:color w:val="0F4761" w:themeColor="accent1" w:themeShade="BF"/>
    </w:rPr>
  </w:style>
  <w:style w:type="paragraph" w:styleId="IntenseQuote">
    <w:name w:val="Intense Quote"/>
    <w:basedOn w:val="Normal"/>
    <w:next w:val="Normal"/>
    <w:link w:val="IntenseQuoteChar"/>
    <w:uiPriority w:val="30"/>
    <w:qFormat/>
    <w:rsid w:val="00D505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5056F"/>
    <w:rPr>
      <w:i/>
      <w:iCs/>
      <w:color w:val="0F4761" w:themeColor="accent1" w:themeShade="BF"/>
    </w:rPr>
  </w:style>
  <w:style w:type="character" w:styleId="IntenseReference">
    <w:name w:val="Intense Reference"/>
    <w:basedOn w:val="DefaultParagraphFont"/>
    <w:uiPriority w:val="32"/>
    <w:qFormat/>
    <w:rsid w:val="00D50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2026-05-06T06:05:00Z</dcterms:created>
  <dcterms:modified xsi:type="dcterms:W3CDTF">2026-05-06T06:05:00Z</dcterms:modified>
</cp:coreProperties>
</file>