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29F1" w14:textId="424C5543" w:rsidR="00FC696C" w:rsidRDefault="00FC696C" w:rsidP="00FC696C">
      <w:pPr>
        <w:spacing w:line="480" w:lineRule="auto"/>
        <w:jc w:val="center"/>
        <w:rPr>
          <w:rFonts w:ascii="Times New Roman" w:hAnsi="Times New Roman" w:cs="Times New Roman"/>
          <w:b/>
          <w:bCs/>
          <w:sz w:val="24"/>
          <w:szCs w:val="24"/>
        </w:rPr>
      </w:pPr>
      <w:r>
        <w:rPr>
          <w:rFonts w:ascii="Times New Roman" w:hAnsi="Times New Roman" w:cs="Times New Roman" w:hint="eastAsia"/>
          <w:b/>
          <w:bCs/>
          <w:sz w:val="24"/>
          <w:szCs w:val="24"/>
        </w:rPr>
        <w:t>SUPPLEMENTAL</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MATERIALS</w:t>
      </w:r>
    </w:p>
    <w:p w14:paraId="22C0E35E" w14:textId="523CCA44" w:rsidR="00182416" w:rsidRPr="00182416" w:rsidRDefault="00182416" w:rsidP="00182416">
      <w:pPr>
        <w:spacing w:line="480" w:lineRule="auto"/>
        <w:jc w:val="center"/>
        <w:rPr>
          <w:rFonts w:ascii="Times New Roman" w:hAnsi="Times New Roman" w:cs="Times New Roman"/>
          <w:b/>
          <w:bCs/>
          <w:sz w:val="24"/>
          <w:szCs w:val="24"/>
        </w:rPr>
      </w:pPr>
      <w:r w:rsidRPr="00182416">
        <w:rPr>
          <w:rFonts w:ascii="Times New Roman" w:hAnsi="Times New Roman" w:cs="Times New Roman"/>
          <w:b/>
          <w:bCs/>
          <w:sz w:val="24"/>
          <w:szCs w:val="24"/>
        </w:rPr>
        <w:t xml:space="preserve">Anti-UBE2T antibody: a novel biomarker of progressive-fibrosing interstitial </w:t>
      </w:r>
      <w:r w:rsidR="00BF0955">
        <w:rPr>
          <w:rFonts w:ascii="Times New Roman" w:hAnsi="Times New Roman" w:cs="Times New Roman"/>
          <w:b/>
          <w:bCs/>
          <w:sz w:val="24"/>
          <w:szCs w:val="24"/>
        </w:rPr>
        <w:t>lung disease</w:t>
      </w:r>
      <w:r w:rsidRPr="00182416" w:rsidDel="00B205DB">
        <w:rPr>
          <w:rFonts w:ascii="Times New Roman" w:hAnsi="Times New Roman" w:cs="Times New Roman"/>
          <w:b/>
          <w:bCs/>
          <w:sz w:val="24"/>
          <w:szCs w:val="24"/>
        </w:rPr>
        <w:t xml:space="preserve"> </w:t>
      </w:r>
    </w:p>
    <w:p w14:paraId="056FB4B3" w14:textId="609125ED" w:rsidR="00FC696C" w:rsidRDefault="00FC696C" w:rsidP="00FC696C">
      <w:pPr>
        <w:spacing w:line="480" w:lineRule="auto"/>
        <w:jc w:val="center"/>
        <w:rPr>
          <w:rFonts w:ascii="Times New Roman" w:hAnsi="Times New Roman" w:cs="Times New Roman"/>
          <w:b/>
          <w:bCs/>
          <w:sz w:val="24"/>
          <w:szCs w:val="24"/>
        </w:rPr>
      </w:pPr>
    </w:p>
    <w:p w14:paraId="3B68DD06" w14:textId="77777777" w:rsidR="00182416" w:rsidRPr="00182416" w:rsidRDefault="00182416" w:rsidP="00FC696C">
      <w:pPr>
        <w:spacing w:line="480" w:lineRule="auto"/>
        <w:jc w:val="center"/>
        <w:rPr>
          <w:rFonts w:ascii="Times New Roman" w:hAnsi="Times New Roman" w:cs="Times New Roman"/>
          <w:b/>
          <w:bCs/>
          <w:sz w:val="24"/>
          <w:szCs w:val="24"/>
        </w:rPr>
      </w:pPr>
    </w:p>
    <w:p w14:paraId="33BDC7D4" w14:textId="1ABC38BE" w:rsidR="00FC696C" w:rsidRDefault="001C616C" w:rsidP="00FC696C">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Suppplemental</w:t>
      </w:r>
      <w:proofErr w:type="spellEnd"/>
      <w:r>
        <w:rPr>
          <w:rFonts w:ascii="Times New Roman" w:hAnsi="Times New Roman" w:cs="Times New Roman"/>
          <w:sz w:val="24"/>
          <w:szCs w:val="24"/>
        </w:rPr>
        <w:t xml:space="preserve"> t</w:t>
      </w:r>
      <w:r w:rsidR="00FC696C" w:rsidRPr="00182416">
        <w:rPr>
          <w:rFonts w:ascii="Times New Roman" w:hAnsi="Times New Roman" w:cs="Times New Roman"/>
          <w:sz w:val="24"/>
          <w:szCs w:val="24"/>
        </w:rPr>
        <w:t xml:space="preserve">able 1. The top 50 candidate autoantigens in the microarray analysis. </w:t>
      </w:r>
    </w:p>
    <w:p w14:paraId="41D99236" w14:textId="3F466B4B" w:rsidR="00583569" w:rsidRPr="00182416" w:rsidRDefault="00583569" w:rsidP="00FC696C">
      <w:pPr>
        <w:spacing w:line="480" w:lineRule="auto"/>
        <w:rPr>
          <w:rFonts w:ascii="Times New Roman" w:hAnsi="Times New Roman" w:cs="Times New Roman"/>
          <w:sz w:val="24"/>
          <w:szCs w:val="24"/>
        </w:rPr>
      </w:pPr>
    </w:p>
    <w:p w14:paraId="4D46F1D2" w14:textId="35B7E4D3" w:rsidR="00FC696C" w:rsidRDefault="00FC696C">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1BE0FDC" w14:textId="77777777" w:rsidR="00D63F24" w:rsidRDefault="00D63F24" w:rsidP="00D63F24">
      <w:pPr>
        <w:spacing w:line="480" w:lineRule="auto"/>
        <w:rPr>
          <w:rFonts w:ascii="Times New Roman" w:hAnsi="Times New Roman" w:cs="Times New Roman"/>
          <w:sz w:val="24"/>
          <w:szCs w:val="24"/>
        </w:rPr>
      </w:pPr>
    </w:p>
    <w:p w14:paraId="1B3893BB" w14:textId="2A0EB657" w:rsidR="00D63F24" w:rsidRDefault="00BF0955" w:rsidP="00D63F24">
      <w:pPr>
        <w:widowControl/>
        <w:jc w:val="left"/>
        <w:rPr>
          <w:rFonts w:ascii="Times New Roman" w:hAnsi="Times New Roman" w:cs="Times New Roman"/>
          <w:b/>
          <w:bCs/>
          <w:sz w:val="24"/>
          <w:szCs w:val="24"/>
        </w:rPr>
      </w:pPr>
      <w:r>
        <w:rPr>
          <w:rFonts w:ascii="Times New Roman" w:hAnsi="Times New Roman" w:cs="Times New Roman"/>
          <w:b/>
          <w:bCs/>
          <w:sz w:val="24"/>
          <w:szCs w:val="24"/>
        </w:rPr>
        <w:t xml:space="preserve">Supplemental </w:t>
      </w:r>
      <w:r w:rsidR="00D63F24" w:rsidRPr="00D63F24">
        <w:rPr>
          <w:rFonts w:ascii="Times New Roman" w:hAnsi="Times New Roman" w:cs="Times New Roman"/>
          <w:b/>
          <w:bCs/>
          <w:sz w:val="24"/>
          <w:szCs w:val="24"/>
        </w:rPr>
        <w:t>Table 1. The top 50 candidate autoantigens in the microarray analysis.</w:t>
      </w:r>
    </w:p>
    <w:p w14:paraId="761BE483" w14:textId="77777777" w:rsidR="00D63F24" w:rsidRDefault="00D63F24" w:rsidP="00D63F24">
      <w:pPr>
        <w:widowControl/>
        <w:jc w:val="left"/>
        <w:rPr>
          <w:rFonts w:ascii="Times New Roman" w:hAnsi="Times New Roman" w:cs="Times New Roman"/>
          <w:b/>
          <w:bCs/>
          <w:sz w:val="24"/>
          <w:szCs w:val="24"/>
        </w:rPr>
      </w:pPr>
    </w:p>
    <w:tbl>
      <w:tblPr>
        <w:tblStyle w:val="ab"/>
        <w:tblW w:w="8500" w:type="dxa"/>
        <w:tblLayout w:type="fixed"/>
        <w:tblLook w:val="0600" w:firstRow="0" w:lastRow="0" w:firstColumn="0" w:lastColumn="0" w:noHBand="1" w:noVBand="1"/>
      </w:tblPr>
      <w:tblGrid>
        <w:gridCol w:w="2969"/>
        <w:gridCol w:w="849"/>
        <w:gridCol w:w="850"/>
        <w:gridCol w:w="851"/>
        <w:gridCol w:w="996"/>
        <w:gridCol w:w="992"/>
        <w:gridCol w:w="993"/>
      </w:tblGrid>
      <w:tr w:rsidR="00D63F24" w:rsidRPr="00605493" w14:paraId="6142F81A" w14:textId="77777777" w:rsidTr="00583569">
        <w:trPr>
          <w:trHeight w:val="194"/>
        </w:trPr>
        <w:tc>
          <w:tcPr>
            <w:tcW w:w="2969" w:type="dxa"/>
            <w:hideMark/>
          </w:tcPr>
          <w:p w14:paraId="648834CA"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Autoantigens</w:t>
            </w:r>
          </w:p>
        </w:tc>
        <w:tc>
          <w:tcPr>
            <w:tcW w:w="849" w:type="dxa"/>
            <w:hideMark/>
          </w:tcPr>
          <w:p w14:paraId="585E0AA3"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Control (Prevalence)</w:t>
            </w:r>
          </w:p>
        </w:tc>
        <w:tc>
          <w:tcPr>
            <w:tcW w:w="850" w:type="dxa"/>
            <w:hideMark/>
          </w:tcPr>
          <w:p w14:paraId="2ACB0694"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Patient (Prevalence)</w:t>
            </w:r>
          </w:p>
        </w:tc>
        <w:tc>
          <w:tcPr>
            <w:tcW w:w="851" w:type="dxa"/>
            <w:hideMark/>
          </w:tcPr>
          <w:p w14:paraId="49C81CCE"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i/>
                <w:iCs/>
                <w:color w:val="000000"/>
                <w:kern w:val="24"/>
                <w:sz w:val="12"/>
                <w:szCs w:val="12"/>
                <w:lang w:val="en-AU"/>
              </w:rPr>
              <w:t>p</w:t>
            </w:r>
            <w:r w:rsidRPr="00605493">
              <w:rPr>
                <w:rFonts w:ascii="Times New Roman" w:eastAsia="Yu Gothic" w:hAnsi="Times New Roman" w:cs="Times New Roman"/>
                <w:b/>
                <w:bCs/>
                <w:color w:val="000000"/>
                <w:kern w:val="24"/>
                <w:sz w:val="12"/>
                <w:szCs w:val="12"/>
                <w:lang w:val="en-AU"/>
              </w:rPr>
              <w:t>-value</w:t>
            </w:r>
          </w:p>
        </w:tc>
        <w:tc>
          <w:tcPr>
            <w:tcW w:w="996" w:type="dxa"/>
            <w:hideMark/>
          </w:tcPr>
          <w:p w14:paraId="1D05D7CA"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 xml:space="preserve">Control </w:t>
            </w:r>
            <w:r w:rsidRPr="00605493">
              <w:rPr>
                <w:rFonts w:ascii="Times New Roman" w:eastAsia="Yu Gothic" w:hAnsi="Times New Roman" w:cs="Times New Roman"/>
                <w:b/>
                <w:bCs/>
                <w:color w:val="000000"/>
                <w:kern w:val="24"/>
                <w:sz w:val="12"/>
                <w:szCs w:val="12"/>
                <w:lang w:val="en-AU"/>
              </w:rPr>
              <w:br/>
              <w:t>(Signal, average)</w:t>
            </w:r>
          </w:p>
        </w:tc>
        <w:tc>
          <w:tcPr>
            <w:tcW w:w="992" w:type="dxa"/>
            <w:hideMark/>
          </w:tcPr>
          <w:p w14:paraId="043428C4"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 xml:space="preserve">Patient </w:t>
            </w:r>
            <w:r w:rsidRPr="00605493">
              <w:rPr>
                <w:rFonts w:ascii="Times New Roman" w:eastAsia="Yu Gothic" w:hAnsi="Times New Roman" w:cs="Times New Roman"/>
                <w:b/>
                <w:bCs/>
                <w:color w:val="000000"/>
                <w:kern w:val="24"/>
                <w:sz w:val="12"/>
                <w:szCs w:val="12"/>
                <w:lang w:val="en-AU"/>
              </w:rPr>
              <w:br/>
              <w:t>(Signal, average)</w:t>
            </w:r>
          </w:p>
        </w:tc>
        <w:tc>
          <w:tcPr>
            <w:tcW w:w="991" w:type="dxa"/>
            <w:hideMark/>
          </w:tcPr>
          <w:p w14:paraId="600CAC83" w14:textId="77777777" w:rsidR="00D63F24" w:rsidRPr="00605493" w:rsidRDefault="00D63F24" w:rsidP="009B448B">
            <w:pPr>
              <w:widowControl/>
              <w:jc w:val="center"/>
              <w:textAlignment w:val="center"/>
              <w:rPr>
                <w:rFonts w:ascii="Arial" w:eastAsia="MS PGothic" w:hAnsi="Arial" w:cs="Arial"/>
                <w:kern w:val="0"/>
                <w:sz w:val="36"/>
                <w:szCs w:val="36"/>
              </w:rPr>
            </w:pPr>
            <w:r w:rsidRPr="00605493">
              <w:rPr>
                <w:rFonts w:ascii="Times New Roman" w:eastAsia="Yu Gothic" w:hAnsi="Times New Roman" w:cs="Times New Roman"/>
                <w:b/>
                <w:bCs/>
                <w:color w:val="000000"/>
                <w:kern w:val="24"/>
                <w:sz w:val="12"/>
                <w:szCs w:val="12"/>
                <w:lang w:val="en-AU"/>
              </w:rPr>
              <w:t xml:space="preserve">Signal Ratio </w:t>
            </w:r>
            <w:r w:rsidRPr="00605493">
              <w:rPr>
                <w:rFonts w:ascii="Times New Roman" w:eastAsia="Yu Gothic" w:hAnsi="Times New Roman" w:cs="Times New Roman"/>
                <w:b/>
                <w:bCs/>
                <w:color w:val="000000"/>
                <w:kern w:val="24"/>
                <w:sz w:val="12"/>
                <w:szCs w:val="12"/>
                <w:lang w:val="en-AU"/>
              </w:rPr>
              <w:br/>
              <w:t>Control /Patient</w:t>
            </w:r>
          </w:p>
        </w:tc>
      </w:tr>
      <w:tr w:rsidR="00D63F24" w:rsidRPr="00605493" w14:paraId="4C6F44C9" w14:textId="77777777" w:rsidTr="00583569">
        <w:trPr>
          <w:trHeight w:val="173"/>
        </w:trPr>
        <w:tc>
          <w:tcPr>
            <w:tcW w:w="2969" w:type="dxa"/>
            <w:hideMark/>
          </w:tcPr>
          <w:p w14:paraId="6134E77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fr-FR"/>
              </w:rPr>
              <w:t>ubiquitin-conjugating enzyme E2T (putative) (UBE2T)</w:t>
            </w:r>
          </w:p>
        </w:tc>
        <w:tc>
          <w:tcPr>
            <w:tcW w:w="849" w:type="dxa"/>
            <w:hideMark/>
          </w:tcPr>
          <w:p w14:paraId="45A0C14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4322D29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29F523D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3C6C280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124</w:t>
            </w:r>
          </w:p>
        </w:tc>
        <w:tc>
          <w:tcPr>
            <w:tcW w:w="992" w:type="dxa"/>
            <w:hideMark/>
          </w:tcPr>
          <w:p w14:paraId="1C47536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7316</w:t>
            </w:r>
          </w:p>
        </w:tc>
        <w:tc>
          <w:tcPr>
            <w:tcW w:w="991" w:type="dxa"/>
            <w:hideMark/>
          </w:tcPr>
          <w:p w14:paraId="77567FB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59.1</w:t>
            </w:r>
          </w:p>
        </w:tc>
      </w:tr>
      <w:tr w:rsidR="00D63F24" w:rsidRPr="00605493" w14:paraId="72C12693" w14:textId="77777777" w:rsidTr="00583569">
        <w:trPr>
          <w:trHeight w:val="168"/>
        </w:trPr>
        <w:tc>
          <w:tcPr>
            <w:tcW w:w="2969" w:type="dxa"/>
            <w:hideMark/>
          </w:tcPr>
          <w:p w14:paraId="63AEA5AA"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hexokinase 1 (HK1)</w:t>
            </w:r>
          </w:p>
        </w:tc>
        <w:tc>
          <w:tcPr>
            <w:tcW w:w="849" w:type="dxa"/>
            <w:hideMark/>
          </w:tcPr>
          <w:p w14:paraId="3E16520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7954FC1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c>
          <w:tcPr>
            <w:tcW w:w="851" w:type="dxa"/>
            <w:hideMark/>
          </w:tcPr>
          <w:p w14:paraId="4C58686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3.00E-03</w:t>
            </w:r>
          </w:p>
        </w:tc>
        <w:tc>
          <w:tcPr>
            <w:tcW w:w="996" w:type="dxa"/>
            <w:hideMark/>
          </w:tcPr>
          <w:p w14:paraId="76AB2EE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280</w:t>
            </w:r>
          </w:p>
        </w:tc>
        <w:tc>
          <w:tcPr>
            <w:tcW w:w="992" w:type="dxa"/>
            <w:hideMark/>
          </w:tcPr>
          <w:p w14:paraId="203275A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13624</w:t>
            </w:r>
          </w:p>
        </w:tc>
        <w:tc>
          <w:tcPr>
            <w:tcW w:w="991" w:type="dxa"/>
            <w:hideMark/>
          </w:tcPr>
          <w:p w14:paraId="4AD89B0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48.7</w:t>
            </w:r>
          </w:p>
        </w:tc>
      </w:tr>
      <w:tr w:rsidR="00D63F24" w:rsidRPr="00605493" w14:paraId="3CE7FB38" w14:textId="77777777" w:rsidTr="00583569">
        <w:trPr>
          <w:trHeight w:val="168"/>
        </w:trPr>
        <w:tc>
          <w:tcPr>
            <w:tcW w:w="2969" w:type="dxa"/>
            <w:hideMark/>
          </w:tcPr>
          <w:p w14:paraId="76F1C1F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Glycolipid transfer protein</w:t>
            </w:r>
          </w:p>
        </w:tc>
        <w:tc>
          <w:tcPr>
            <w:tcW w:w="849" w:type="dxa"/>
            <w:hideMark/>
          </w:tcPr>
          <w:p w14:paraId="33AB4EF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4E00332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78B7B44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3A8B5EA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307</w:t>
            </w:r>
          </w:p>
        </w:tc>
        <w:tc>
          <w:tcPr>
            <w:tcW w:w="992" w:type="dxa"/>
            <w:hideMark/>
          </w:tcPr>
          <w:p w14:paraId="0FBB37A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6566</w:t>
            </w:r>
          </w:p>
        </w:tc>
        <w:tc>
          <w:tcPr>
            <w:tcW w:w="991" w:type="dxa"/>
            <w:hideMark/>
          </w:tcPr>
          <w:p w14:paraId="1C53261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21.4</w:t>
            </w:r>
          </w:p>
        </w:tc>
      </w:tr>
      <w:tr w:rsidR="00D63F24" w:rsidRPr="00605493" w14:paraId="238C1EED" w14:textId="77777777" w:rsidTr="00583569">
        <w:trPr>
          <w:trHeight w:val="168"/>
        </w:trPr>
        <w:tc>
          <w:tcPr>
            <w:tcW w:w="2969" w:type="dxa"/>
            <w:hideMark/>
          </w:tcPr>
          <w:p w14:paraId="2A9D712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Gamma-interferon-inducible protein Ifi-16</w:t>
            </w:r>
          </w:p>
        </w:tc>
        <w:tc>
          <w:tcPr>
            <w:tcW w:w="849" w:type="dxa"/>
            <w:hideMark/>
          </w:tcPr>
          <w:p w14:paraId="750ACEE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3AAFE5F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0916B06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467AB15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277</w:t>
            </w:r>
          </w:p>
        </w:tc>
        <w:tc>
          <w:tcPr>
            <w:tcW w:w="992" w:type="dxa"/>
            <w:hideMark/>
          </w:tcPr>
          <w:p w14:paraId="6BF33B5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5221</w:t>
            </w:r>
          </w:p>
        </w:tc>
        <w:tc>
          <w:tcPr>
            <w:tcW w:w="991" w:type="dxa"/>
            <w:hideMark/>
          </w:tcPr>
          <w:p w14:paraId="6D384A6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18.8</w:t>
            </w:r>
          </w:p>
        </w:tc>
      </w:tr>
      <w:tr w:rsidR="00D63F24" w:rsidRPr="00605493" w14:paraId="04297C66" w14:textId="77777777" w:rsidTr="00583569">
        <w:trPr>
          <w:trHeight w:val="168"/>
        </w:trPr>
        <w:tc>
          <w:tcPr>
            <w:tcW w:w="2969" w:type="dxa"/>
            <w:hideMark/>
          </w:tcPr>
          <w:p w14:paraId="518B302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cell division cycle 123 homolog (S. cerevisiae) (CDC123)</w:t>
            </w:r>
          </w:p>
        </w:tc>
        <w:tc>
          <w:tcPr>
            <w:tcW w:w="849" w:type="dxa"/>
            <w:hideMark/>
          </w:tcPr>
          <w:p w14:paraId="63C3420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4C7E12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c>
          <w:tcPr>
            <w:tcW w:w="851" w:type="dxa"/>
            <w:hideMark/>
          </w:tcPr>
          <w:p w14:paraId="131659C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2.30E-02</w:t>
            </w:r>
          </w:p>
        </w:tc>
        <w:tc>
          <w:tcPr>
            <w:tcW w:w="996" w:type="dxa"/>
            <w:hideMark/>
          </w:tcPr>
          <w:p w14:paraId="5B7E3C3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95</w:t>
            </w:r>
          </w:p>
        </w:tc>
        <w:tc>
          <w:tcPr>
            <w:tcW w:w="992" w:type="dxa"/>
            <w:hideMark/>
          </w:tcPr>
          <w:p w14:paraId="14D91AE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1226</w:t>
            </w:r>
          </w:p>
        </w:tc>
        <w:tc>
          <w:tcPr>
            <w:tcW w:w="991" w:type="dxa"/>
            <w:hideMark/>
          </w:tcPr>
          <w:p w14:paraId="67E981E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12.9</w:t>
            </w:r>
          </w:p>
        </w:tc>
      </w:tr>
      <w:tr w:rsidR="00D63F24" w:rsidRPr="00605493" w14:paraId="3C67B9CE" w14:textId="77777777" w:rsidTr="00583569">
        <w:trPr>
          <w:trHeight w:val="168"/>
        </w:trPr>
        <w:tc>
          <w:tcPr>
            <w:tcW w:w="2969" w:type="dxa"/>
            <w:hideMark/>
          </w:tcPr>
          <w:p w14:paraId="469603BC"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USO1 homolog, vesicle docking protein (yeast) (VDP)</w:t>
            </w:r>
          </w:p>
        </w:tc>
        <w:tc>
          <w:tcPr>
            <w:tcW w:w="849" w:type="dxa"/>
            <w:hideMark/>
          </w:tcPr>
          <w:p w14:paraId="041A235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79CB2EA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02C9994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0B0A261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448</w:t>
            </w:r>
          </w:p>
        </w:tc>
        <w:tc>
          <w:tcPr>
            <w:tcW w:w="992" w:type="dxa"/>
            <w:hideMark/>
          </w:tcPr>
          <w:p w14:paraId="1F6500E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5675</w:t>
            </w:r>
          </w:p>
        </w:tc>
        <w:tc>
          <w:tcPr>
            <w:tcW w:w="991" w:type="dxa"/>
            <w:hideMark/>
          </w:tcPr>
          <w:p w14:paraId="00E06AA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12.7</w:t>
            </w:r>
          </w:p>
        </w:tc>
      </w:tr>
      <w:tr w:rsidR="00D63F24" w:rsidRPr="00605493" w14:paraId="06917C2E" w14:textId="77777777" w:rsidTr="00583569">
        <w:trPr>
          <w:trHeight w:val="280"/>
        </w:trPr>
        <w:tc>
          <w:tcPr>
            <w:tcW w:w="2969" w:type="dxa"/>
            <w:hideMark/>
          </w:tcPr>
          <w:p w14:paraId="724FFA1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proteasome (prosome, macropain) activator subunit 1 (PA28 alpha) (PSME1), transcript variant 2</w:t>
            </w:r>
          </w:p>
        </w:tc>
        <w:tc>
          <w:tcPr>
            <w:tcW w:w="849" w:type="dxa"/>
            <w:hideMark/>
          </w:tcPr>
          <w:p w14:paraId="01399D9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A6093D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06143FA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1D9BC0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925</w:t>
            </w:r>
          </w:p>
        </w:tc>
        <w:tc>
          <w:tcPr>
            <w:tcW w:w="992" w:type="dxa"/>
            <w:hideMark/>
          </w:tcPr>
          <w:p w14:paraId="290EFAA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10334</w:t>
            </w:r>
          </w:p>
        </w:tc>
        <w:tc>
          <w:tcPr>
            <w:tcW w:w="991" w:type="dxa"/>
            <w:hideMark/>
          </w:tcPr>
          <w:p w14:paraId="3EB37B6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11.2</w:t>
            </w:r>
          </w:p>
        </w:tc>
      </w:tr>
      <w:tr w:rsidR="00D63F24" w:rsidRPr="00605493" w14:paraId="6D5314BA" w14:textId="77777777" w:rsidTr="00583569">
        <w:trPr>
          <w:trHeight w:val="280"/>
        </w:trPr>
        <w:tc>
          <w:tcPr>
            <w:tcW w:w="2969" w:type="dxa"/>
            <w:hideMark/>
          </w:tcPr>
          <w:p w14:paraId="1655A3D1"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guanine nucleotide binding protein (G protein), alpha inhibiting activity polypeptide 3 (GNAI3)</w:t>
            </w:r>
          </w:p>
        </w:tc>
        <w:tc>
          <w:tcPr>
            <w:tcW w:w="849" w:type="dxa"/>
            <w:hideMark/>
          </w:tcPr>
          <w:p w14:paraId="6E7A37C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1B9D51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31315F8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4E2A750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539</w:t>
            </w:r>
          </w:p>
        </w:tc>
        <w:tc>
          <w:tcPr>
            <w:tcW w:w="992" w:type="dxa"/>
            <w:hideMark/>
          </w:tcPr>
          <w:p w14:paraId="4DD8E6E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5348</w:t>
            </w:r>
          </w:p>
        </w:tc>
        <w:tc>
          <w:tcPr>
            <w:tcW w:w="991" w:type="dxa"/>
            <w:hideMark/>
          </w:tcPr>
          <w:p w14:paraId="151F502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9.9</w:t>
            </w:r>
          </w:p>
        </w:tc>
      </w:tr>
      <w:tr w:rsidR="00D63F24" w:rsidRPr="00605493" w14:paraId="3A45D8AA" w14:textId="77777777" w:rsidTr="00583569">
        <w:trPr>
          <w:trHeight w:val="280"/>
        </w:trPr>
        <w:tc>
          <w:tcPr>
            <w:tcW w:w="2969" w:type="dxa"/>
            <w:hideMark/>
          </w:tcPr>
          <w:p w14:paraId="274F09A0"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Wolf-Hirschhorn syndrome candidate 1 (WHSC1), transcript variant 9</w:t>
            </w:r>
          </w:p>
        </w:tc>
        <w:tc>
          <w:tcPr>
            <w:tcW w:w="849" w:type="dxa"/>
            <w:hideMark/>
          </w:tcPr>
          <w:p w14:paraId="1E3101E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5922353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w:t>
            </w:r>
          </w:p>
        </w:tc>
        <w:tc>
          <w:tcPr>
            <w:tcW w:w="851" w:type="dxa"/>
            <w:hideMark/>
          </w:tcPr>
          <w:p w14:paraId="10611B7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5.00E-03</w:t>
            </w:r>
          </w:p>
        </w:tc>
        <w:tc>
          <w:tcPr>
            <w:tcW w:w="996" w:type="dxa"/>
            <w:hideMark/>
          </w:tcPr>
          <w:p w14:paraId="786831F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415</w:t>
            </w:r>
          </w:p>
        </w:tc>
        <w:tc>
          <w:tcPr>
            <w:tcW w:w="992" w:type="dxa"/>
            <w:hideMark/>
          </w:tcPr>
          <w:p w14:paraId="5051F3B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3936</w:t>
            </w:r>
          </w:p>
        </w:tc>
        <w:tc>
          <w:tcPr>
            <w:tcW w:w="991" w:type="dxa"/>
            <w:hideMark/>
          </w:tcPr>
          <w:p w14:paraId="72FEF69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9.5</w:t>
            </w:r>
          </w:p>
        </w:tc>
      </w:tr>
      <w:tr w:rsidR="00D63F24" w:rsidRPr="00605493" w14:paraId="2579530A" w14:textId="77777777" w:rsidTr="00583569">
        <w:trPr>
          <w:trHeight w:val="168"/>
        </w:trPr>
        <w:tc>
          <w:tcPr>
            <w:tcW w:w="2969" w:type="dxa"/>
            <w:hideMark/>
          </w:tcPr>
          <w:p w14:paraId="2495D065"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thymopoietin (TMPO)</w:t>
            </w:r>
          </w:p>
        </w:tc>
        <w:tc>
          <w:tcPr>
            <w:tcW w:w="849" w:type="dxa"/>
            <w:hideMark/>
          </w:tcPr>
          <w:p w14:paraId="226875F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C82D60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6258CA9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035FED3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1043</w:t>
            </w:r>
          </w:p>
        </w:tc>
        <w:tc>
          <w:tcPr>
            <w:tcW w:w="992" w:type="dxa"/>
            <w:hideMark/>
          </w:tcPr>
          <w:p w14:paraId="121C87A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9798</w:t>
            </w:r>
          </w:p>
        </w:tc>
        <w:tc>
          <w:tcPr>
            <w:tcW w:w="991" w:type="dxa"/>
            <w:hideMark/>
          </w:tcPr>
          <w:p w14:paraId="6B8D441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9.4</w:t>
            </w:r>
          </w:p>
        </w:tc>
      </w:tr>
      <w:tr w:rsidR="00D63F24" w:rsidRPr="00605493" w14:paraId="27537475" w14:textId="77777777" w:rsidTr="00583569">
        <w:trPr>
          <w:trHeight w:val="280"/>
        </w:trPr>
        <w:tc>
          <w:tcPr>
            <w:tcW w:w="2969" w:type="dxa"/>
            <w:hideMark/>
          </w:tcPr>
          <w:p w14:paraId="3A735AB5"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PREDICTED: Homo sapiens hypothetical protein LOC147646 (LOC147646), mRNA.</w:t>
            </w:r>
          </w:p>
        </w:tc>
        <w:tc>
          <w:tcPr>
            <w:tcW w:w="849" w:type="dxa"/>
            <w:hideMark/>
          </w:tcPr>
          <w:p w14:paraId="766BB4C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D0447F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484A5FD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684BBE6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627</w:t>
            </w:r>
          </w:p>
        </w:tc>
        <w:tc>
          <w:tcPr>
            <w:tcW w:w="992" w:type="dxa"/>
            <w:hideMark/>
          </w:tcPr>
          <w:p w14:paraId="3CD3721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5882</w:t>
            </w:r>
          </w:p>
        </w:tc>
        <w:tc>
          <w:tcPr>
            <w:tcW w:w="991" w:type="dxa"/>
            <w:hideMark/>
          </w:tcPr>
          <w:p w14:paraId="16CBE66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9.4</w:t>
            </w:r>
          </w:p>
        </w:tc>
      </w:tr>
      <w:tr w:rsidR="00D63F24" w:rsidRPr="00605493" w14:paraId="644A34C2" w14:textId="77777777" w:rsidTr="00583569">
        <w:trPr>
          <w:trHeight w:val="168"/>
        </w:trPr>
        <w:tc>
          <w:tcPr>
            <w:tcW w:w="2969" w:type="dxa"/>
            <w:hideMark/>
          </w:tcPr>
          <w:p w14:paraId="47A7815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fr-FR"/>
              </w:rPr>
              <w:t>prune homolog 2 (Drosophila) (PRUNE2)</w:t>
            </w:r>
          </w:p>
        </w:tc>
        <w:tc>
          <w:tcPr>
            <w:tcW w:w="849" w:type="dxa"/>
            <w:hideMark/>
          </w:tcPr>
          <w:p w14:paraId="0019184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DC6494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1AF69DB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020E147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1024</w:t>
            </w:r>
          </w:p>
        </w:tc>
        <w:tc>
          <w:tcPr>
            <w:tcW w:w="992" w:type="dxa"/>
            <w:hideMark/>
          </w:tcPr>
          <w:p w14:paraId="71339A3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9326</w:t>
            </w:r>
          </w:p>
        </w:tc>
        <w:tc>
          <w:tcPr>
            <w:tcW w:w="991" w:type="dxa"/>
            <w:hideMark/>
          </w:tcPr>
          <w:p w14:paraId="63AFA49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w:t>
            </w:r>
          </w:p>
        </w:tc>
      </w:tr>
      <w:tr w:rsidR="00D63F24" w:rsidRPr="00605493" w14:paraId="7F411389" w14:textId="77777777" w:rsidTr="00583569">
        <w:trPr>
          <w:trHeight w:val="168"/>
        </w:trPr>
        <w:tc>
          <w:tcPr>
            <w:tcW w:w="2969" w:type="dxa"/>
            <w:hideMark/>
          </w:tcPr>
          <w:p w14:paraId="0DD6D2A4"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Eukaryotic translation initiation factor 2C 1</w:t>
            </w:r>
          </w:p>
        </w:tc>
        <w:tc>
          <w:tcPr>
            <w:tcW w:w="849" w:type="dxa"/>
            <w:hideMark/>
          </w:tcPr>
          <w:p w14:paraId="055BA11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73FBC1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531F4B7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729F0C4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824</w:t>
            </w:r>
          </w:p>
        </w:tc>
        <w:tc>
          <w:tcPr>
            <w:tcW w:w="992" w:type="dxa"/>
            <w:hideMark/>
          </w:tcPr>
          <w:p w14:paraId="5AA6661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7157</w:t>
            </w:r>
          </w:p>
        </w:tc>
        <w:tc>
          <w:tcPr>
            <w:tcW w:w="991" w:type="dxa"/>
            <w:hideMark/>
          </w:tcPr>
          <w:p w14:paraId="3CA7750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8.7</w:t>
            </w:r>
          </w:p>
        </w:tc>
      </w:tr>
      <w:tr w:rsidR="00D63F24" w:rsidRPr="00605493" w14:paraId="39E40459" w14:textId="77777777" w:rsidTr="00583569">
        <w:trPr>
          <w:trHeight w:val="168"/>
        </w:trPr>
        <w:tc>
          <w:tcPr>
            <w:tcW w:w="2969" w:type="dxa"/>
            <w:hideMark/>
          </w:tcPr>
          <w:p w14:paraId="7E975CFC"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LSM14A, SCD6 homolog A (S. cerevisiae) (LSM14A)</w:t>
            </w:r>
          </w:p>
        </w:tc>
        <w:tc>
          <w:tcPr>
            <w:tcW w:w="849" w:type="dxa"/>
            <w:hideMark/>
          </w:tcPr>
          <w:p w14:paraId="0FD7373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4E6F1D9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17CE079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604E88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816</w:t>
            </w:r>
          </w:p>
        </w:tc>
        <w:tc>
          <w:tcPr>
            <w:tcW w:w="992" w:type="dxa"/>
            <w:hideMark/>
          </w:tcPr>
          <w:p w14:paraId="1558FB8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7063</w:t>
            </w:r>
          </w:p>
        </w:tc>
        <w:tc>
          <w:tcPr>
            <w:tcW w:w="991" w:type="dxa"/>
            <w:hideMark/>
          </w:tcPr>
          <w:p w14:paraId="11B723C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8.7</w:t>
            </w:r>
          </w:p>
        </w:tc>
      </w:tr>
      <w:tr w:rsidR="00D63F24" w:rsidRPr="00605493" w14:paraId="3C18468E" w14:textId="77777777" w:rsidTr="00583569">
        <w:trPr>
          <w:trHeight w:val="168"/>
        </w:trPr>
        <w:tc>
          <w:tcPr>
            <w:tcW w:w="2969" w:type="dxa"/>
            <w:hideMark/>
          </w:tcPr>
          <w:p w14:paraId="7B87A49E"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KN motif and ankyrin repeat domain-containing protein 4</w:t>
            </w:r>
          </w:p>
        </w:tc>
        <w:tc>
          <w:tcPr>
            <w:tcW w:w="849" w:type="dxa"/>
            <w:hideMark/>
          </w:tcPr>
          <w:p w14:paraId="1DC33CE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6036AC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2C23B1A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706416D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938</w:t>
            </w:r>
          </w:p>
        </w:tc>
        <w:tc>
          <w:tcPr>
            <w:tcW w:w="992" w:type="dxa"/>
            <w:hideMark/>
          </w:tcPr>
          <w:p w14:paraId="4ACCD32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7685</w:t>
            </w:r>
          </w:p>
        </w:tc>
        <w:tc>
          <w:tcPr>
            <w:tcW w:w="991" w:type="dxa"/>
            <w:hideMark/>
          </w:tcPr>
          <w:p w14:paraId="2ECE517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r>
      <w:tr w:rsidR="00D63F24" w:rsidRPr="00605493" w14:paraId="76E6931C" w14:textId="77777777" w:rsidTr="00583569">
        <w:trPr>
          <w:trHeight w:val="168"/>
        </w:trPr>
        <w:tc>
          <w:tcPr>
            <w:tcW w:w="2969" w:type="dxa"/>
            <w:hideMark/>
          </w:tcPr>
          <w:p w14:paraId="0A5786E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Interleukin-1 receptor-associated kinase 1</w:t>
            </w:r>
          </w:p>
        </w:tc>
        <w:tc>
          <w:tcPr>
            <w:tcW w:w="849" w:type="dxa"/>
            <w:hideMark/>
          </w:tcPr>
          <w:p w14:paraId="5ADE690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16F7AE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4CCB799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3505599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920</w:t>
            </w:r>
          </w:p>
        </w:tc>
        <w:tc>
          <w:tcPr>
            <w:tcW w:w="992" w:type="dxa"/>
            <w:hideMark/>
          </w:tcPr>
          <w:p w14:paraId="294BFD9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7404</w:t>
            </w:r>
          </w:p>
        </w:tc>
        <w:tc>
          <w:tcPr>
            <w:tcW w:w="991" w:type="dxa"/>
            <w:hideMark/>
          </w:tcPr>
          <w:p w14:paraId="634C084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8.1</w:t>
            </w:r>
          </w:p>
        </w:tc>
      </w:tr>
      <w:tr w:rsidR="00D63F24" w:rsidRPr="00605493" w14:paraId="4D5CFEBE" w14:textId="77777777" w:rsidTr="00583569">
        <w:trPr>
          <w:trHeight w:val="168"/>
        </w:trPr>
        <w:tc>
          <w:tcPr>
            <w:tcW w:w="2969" w:type="dxa"/>
            <w:hideMark/>
          </w:tcPr>
          <w:p w14:paraId="06A69B07"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protein regulator of cytokinesis 1 (PRC1), transcript variant 1</w:t>
            </w:r>
          </w:p>
        </w:tc>
        <w:tc>
          <w:tcPr>
            <w:tcW w:w="849" w:type="dxa"/>
            <w:hideMark/>
          </w:tcPr>
          <w:p w14:paraId="409606C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568ED2B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w:t>
            </w:r>
          </w:p>
        </w:tc>
        <w:tc>
          <w:tcPr>
            <w:tcW w:w="851" w:type="dxa"/>
            <w:hideMark/>
          </w:tcPr>
          <w:p w14:paraId="403688D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5.00E-03</w:t>
            </w:r>
          </w:p>
        </w:tc>
        <w:tc>
          <w:tcPr>
            <w:tcW w:w="996" w:type="dxa"/>
            <w:hideMark/>
          </w:tcPr>
          <w:p w14:paraId="072BF86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1341</w:t>
            </w:r>
          </w:p>
        </w:tc>
        <w:tc>
          <w:tcPr>
            <w:tcW w:w="992" w:type="dxa"/>
            <w:hideMark/>
          </w:tcPr>
          <w:p w14:paraId="3CE50A3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10729</w:t>
            </w:r>
          </w:p>
        </w:tc>
        <w:tc>
          <w:tcPr>
            <w:tcW w:w="991" w:type="dxa"/>
            <w:hideMark/>
          </w:tcPr>
          <w:p w14:paraId="39C4C8E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8.0</w:t>
            </w:r>
          </w:p>
        </w:tc>
      </w:tr>
      <w:tr w:rsidR="00D63F24" w:rsidRPr="00605493" w14:paraId="01BA8E05" w14:textId="77777777" w:rsidTr="00583569">
        <w:trPr>
          <w:trHeight w:val="168"/>
        </w:trPr>
        <w:tc>
          <w:tcPr>
            <w:tcW w:w="2969" w:type="dxa"/>
            <w:hideMark/>
          </w:tcPr>
          <w:p w14:paraId="03A5A647"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Dynein intermediate chain 1, axonemal</w:t>
            </w:r>
          </w:p>
        </w:tc>
        <w:tc>
          <w:tcPr>
            <w:tcW w:w="849" w:type="dxa"/>
            <w:hideMark/>
          </w:tcPr>
          <w:p w14:paraId="04E8B0D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DD3C5D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7058F43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1F9D9D4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195</w:t>
            </w:r>
          </w:p>
        </w:tc>
        <w:tc>
          <w:tcPr>
            <w:tcW w:w="992" w:type="dxa"/>
            <w:hideMark/>
          </w:tcPr>
          <w:p w14:paraId="7CA66DC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1541</w:t>
            </w:r>
          </w:p>
        </w:tc>
        <w:tc>
          <w:tcPr>
            <w:tcW w:w="991" w:type="dxa"/>
            <w:hideMark/>
          </w:tcPr>
          <w:p w14:paraId="17CF2B3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7.9</w:t>
            </w:r>
          </w:p>
        </w:tc>
      </w:tr>
      <w:tr w:rsidR="00D63F24" w:rsidRPr="00605493" w14:paraId="61DB5DB5" w14:textId="77777777" w:rsidTr="00583569">
        <w:trPr>
          <w:trHeight w:val="280"/>
        </w:trPr>
        <w:tc>
          <w:tcPr>
            <w:tcW w:w="2969" w:type="dxa"/>
            <w:hideMark/>
          </w:tcPr>
          <w:p w14:paraId="6CE6F489"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 xml:space="preserve">DCN1, defective in </w:t>
            </w:r>
            <w:proofErr w:type="spellStart"/>
            <w:r w:rsidRPr="00605493">
              <w:rPr>
                <w:rFonts w:ascii="Times New Roman" w:eastAsia="Yu Gothic" w:hAnsi="Times New Roman" w:cs="Times New Roman"/>
                <w:color w:val="000000"/>
                <w:kern w:val="24"/>
                <w:sz w:val="12"/>
                <w:szCs w:val="12"/>
                <w:lang w:val="en-AU"/>
              </w:rPr>
              <w:t>cullin</w:t>
            </w:r>
            <w:proofErr w:type="spellEnd"/>
            <w:r w:rsidRPr="00605493">
              <w:rPr>
                <w:rFonts w:ascii="Times New Roman" w:eastAsia="Yu Gothic" w:hAnsi="Times New Roman" w:cs="Times New Roman"/>
                <w:color w:val="000000"/>
                <w:kern w:val="24"/>
                <w:sz w:val="12"/>
                <w:szCs w:val="12"/>
                <w:lang w:val="en-AU"/>
              </w:rPr>
              <w:t xml:space="preserve"> neddylation 1, domain containing 3 (S. cerevisiae) (DCUN1D3)</w:t>
            </w:r>
          </w:p>
        </w:tc>
        <w:tc>
          <w:tcPr>
            <w:tcW w:w="849" w:type="dxa"/>
            <w:hideMark/>
          </w:tcPr>
          <w:p w14:paraId="734017B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7CDBBB0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14A3B24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66FAE51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240</w:t>
            </w:r>
          </w:p>
        </w:tc>
        <w:tc>
          <w:tcPr>
            <w:tcW w:w="992" w:type="dxa"/>
            <w:hideMark/>
          </w:tcPr>
          <w:p w14:paraId="4233B65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1885</w:t>
            </w:r>
          </w:p>
        </w:tc>
        <w:tc>
          <w:tcPr>
            <w:tcW w:w="991" w:type="dxa"/>
            <w:hideMark/>
          </w:tcPr>
          <w:p w14:paraId="54E7F62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7.8</w:t>
            </w:r>
          </w:p>
        </w:tc>
      </w:tr>
      <w:tr w:rsidR="00D63F24" w:rsidRPr="00605493" w14:paraId="4D5821C5" w14:textId="77777777" w:rsidTr="00583569">
        <w:trPr>
          <w:trHeight w:val="168"/>
        </w:trPr>
        <w:tc>
          <w:tcPr>
            <w:tcW w:w="2969" w:type="dxa"/>
            <w:hideMark/>
          </w:tcPr>
          <w:p w14:paraId="37A6C84A"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lastRenderedPageBreak/>
              <w:t>DNA repair protein XRCC4</w:t>
            </w:r>
          </w:p>
        </w:tc>
        <w:tc>
          <w:tcPr>
            <w:tcW w:w="849" w:type="dxa"/>
            <w:hideMark/>
          </w:tcPr>
          <w:p w14:paraId="145E891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09BCFDE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326597F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7E8444D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762</w:t>
            </w:r>
          </w:p>
        </w:tc>
        <w:tc>
          <w:tcPr>
            <w:tcW w:w="992" w:type="dxa"/>
            <w:hideMark/>
          </w:tcPr>
          <w:p w14:paraId="3351989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5927</w:t>
            </w:r>
          </w:p>
        </w:tc>
        <w:tc>
          <w:tcPr>
            <w:tcW w:w="991" w:type="dxa"/>
            <w:hideMark/>
          </w:tcPr>
          <w:p w14:paraId="5C5894F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7.8</w:t>
            </w:r>
          </w:p>
        </w:tc>
      </w:tr>
      <w:tr w:rsidR="00D63F24" w:rsidRPr="00605493" w14:paraId="1F66DB39" w14:textId="77777777" w:rsidTr="00583569">
        <w:trPr>
          <w:trHeight w:val="168"/>
        </w:trPr>
        <w:tc>
          <w:tcPr>
            <w:tcW w:w="2969" w:type="dxa"/>
            <w:hideMark/>
          </w:tcPr>
          <w:p w14:paraId="4914726F"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Arfaptin-1</w:t>
            </w:r>
          </w:p>
        </w:tc>
        <w:tc>
          <w:tcPr>
            <w:tcW w:w="849" w:type="dxa"/>
            <w:hideMark/>
          </w:tcPr>
          <w:p w14:paraId="3076ED6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D7F7E6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7F20653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18D8EE1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1046</w:t>
            </w:r>
          </w:p>
        </w:tc>
        <w:tc>
          <w:tcPr>
            <w:tcW w:w="992" w:type="dxa"/>
            <w:hideMark/>
          </w:tcPr>
          <w:p w14:paraId="5532B7D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8116</w:t>
            </w:r>
          </w:p>
        </w:tc>
        <w:tc>
          <w:tcPr>
            <w:tcW w:w="991" w:type="dxa"/>
            <w:hideMark/>
          </w:tcPr>
          <w:p w14:paraId="15C41BB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7.8</w:t>
            </w:r>
          </w:p>
        </w:tc>
      </w:tr>
      <w:tr w:rsidR="00D63F24" w:rsidRPr="00605493" w14:paraId="66CC6C7F" w14:textId="77777777" w:rsidTr="00583569">
        <w:trPr>
          <w:trHeight w:val="168"/>
        </w:trPr>
        <w:tc>
          <w:tcPr>
            <w:tcW w:w="2969" w:type="dxa"/>
            <w:hideMark/>
          </w:tcPr>
          <w:p w14:paraId="47F4DA9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Spindlin-2B</w:t>
            </w:r>
          </w:p>
        </w:tc>
        <w:tc>
          <w:tcPr>
            <w:tcW w:w="849" w:type="dxa"/>
            <w:hideMark/>
          </w:tcPr>
          <w:p w14:paraId="1772DE9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CD2643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1E5B09D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1.05E-02</w:t>
            </w:r>
          </w:p>
        </w:tc>
        <w:tc>
          <w:tcPr>
            <w:tcW w:w="996" w:type="dxa"/>
            <w:hideMark/>
          </w:tcPr>
          <w:p w14:paraId="2594521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1444</w:t>
            </w:r>
          </w:p>
        </w:tc>
        <w:tc>
          <w:tcPr>
            <w:tcW w:w="992" w:type="dxa"/>
            <w:hideMark/>
          </w:tcPr>
          <w:p w14:paraId="461F35C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10115</w:t>
            </w:r>
          </w:p>
        </w:tc>
        <w:tc>
          <w:tcPr>
            <w:tcW w:w="991" w:type="dxa"/>
            <w:hideMark/>
          </w:tcPr>
          <w:p w14:paraId="365E9D7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7.0</w:t>
            </w:r>
          </w:p>
        </w:tc>
      </w:tr>
      <w:tr w:rsidR="00D63F24" w:rsidRPr="00605493" w14:paraId="4D8C40EA" w14:textId="77777777" w:rsidTr="00583569">
        <w:trPr>
          <w:trHeight w:val="168"/>
        </w:trPr>
        <w:tc>
          <w:tcPr>
            <w:tcW w:w="2969" w:type="dxa"/>
            <w:hideMark/>
          </w:tcPr>
          <w:p w14:paraId="4B6B24CB"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transcription factor binding to IGHM enhancer 3 (TFE3)</w:t>
            </w:r>
          </w:p>
        </w:tc>
        <w:tc>
          <w:tcPr>
            <w:tcW w:w="849" w:type="dxa"/>
            <w:hideMark/>
          </w:tcPr>
          <w:p w14:paraId="686F65B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49E4C3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17DEA3F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343EC6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1471</w:t>
            </w:r>
          </w:p>
        </w:tc>
        <w:tc>
          <w:tcPr>
            <w:tcW w:w="992" w:type="dxa"/>
            <w:hideMark/>
          </w:tcPr>
          <w:p w14:paraId="6FD015E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10076</w:t>
            </w:r>
          </w:p>
        </w:tc>
        <w:tc>
          <w:tcPr>
            <w:tcW w:w="991" w:type="dxa"/>
            <w:hideMark/>
          </w:tcPr>
          <w:p w14:paraId="1CE663B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6.9</w:t>
            </w:r>
          </w:p>
        </w:tc>
      </w:tr>
      <w:tr w:rsidR="00D63F24" w:rsidRPr="00605493" w14:paraId="57E79B4A" w14:textId="77777777" w:rsidTr="00583569">
        <w:trPr>
          <w:trHeight w:val="168"/>
        </w:trPr>
        <w:tc>
          <w:tcPr>
            <w:tcW w:w="2969" w:type="dxa"/>
            <w:hideMark/>
          </w:tcPr>
          <w:p w14:paraId="18A33E42"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Protein phosphatase 1D</w:t>
            </w:r>
          </w:p>
        </w:tc>
        <w:tc>
          <w:tcPr>
            <w:tcW w:w="849" w:type="dxa"/>
            <w:hideMark/>
          </w:tcPr>
          <w:p w14:paraId="4998170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6AB787E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1DE6BE5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38217D6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891</w:t>
            </w:r>
          </w:p>
        </w:tc>
        <w:tc>
          <w:tcPr>
            <w:tcW w:w="992" w:type="dxa"/>
            <w:hideMark/>
          </w:tcPr>
          <w:p w14:paraId="77D5ACA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5992</w:t>
            </w:r>
          </w:p>
        </w:tc>
        <w:tc>
          <w:tcPr>
            <w:tcW w:w="991" w:type="dxa"/>
            <w:hideMark/>
          </w:tcPr>
          <w:p w14:paraId="5B4DEF7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6.7</w:t>
            </w:r>
          </w:p>
        </w:tc>
      </w:tr>
      <w:tr w:rsidR="00D63F24" w:rsidRPr="00605493" w14:paraId="75FF4356" w14:textId="77777777" w:rsidTr="00583569">
        <w:trPr>
          <w:trHeight w:val="168"/>
        </w:trPr>
        <w:tc>
          <w:tcPr>
            <w:tcW w:w="2969" w:type="dxa"/>
            <w:hideMark/>
          </w:tcPr>
          <w:p w14:paraId="6B3D4C8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RAB1B, member RAS oncogene family (RAB1B)</w:t>
            </w:r>
          </w:p>
        </w:tc>
        <w:tc>
          <w:tcPr>
            <w:tcW w:w="849" w:type="dxa"/>
            <w:hideMark/>
          </w:tcPr>
          <w:p w14:paraId="29ADF7C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206E58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2D9F74C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94F09B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410</w:t>
            </w:r>
          </w:p>
        </w:tc>
        <w:tc>
          <w:tcPr>
            <w:tcW w:w="992" w:type="dxa"/>
            <w:hideMark/>
          </w:tcPr>
          <w:p w14:paraId="4834D07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2725</w:t>
            </w:r>
          </w:p>
        </w:tc>
        <w:tc>
          <w:tcPr>
            <w:tcW w:w="991" w:type="dxa"/>
            <w:hideMark/>
          </w:tcPr>
          <w:p w14:paraId="2D2EC31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6.6</w:t>
            </w:r>
          </w:p>
        </w:tc>
      </w:tr>
      <w:tr w:rsidR="00D63F24" w:rsidRPr="00605493" w14:paraId="0258CE2B" w14:textId="77777777" w:rsidTr="00583569">
        <w:trPr>
          <w:trHeight w:val="168"/>
        </w:trPr>
        <w:tc>
          <w:tcPr>
            <w:tcW w:w="2969" w:type="dxa"/>
            <w:hideMark/>
          </w:tcPr>
          <w:p w14:paraId="5CC72F5B"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F-box/WD repeat-containing protein 11</w:t>
            </w:r>
          </w:p>
        </w:tc>
        <w:tc>
          <w:tcPr>
            <w:tcW w:w="849" w:type="dxa"/>
            <w:hideMark/>
          </w:tcPr>
          <w:p w14:paraId="60708C4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43%</w:t>
            </w:r>
          </w:p>
        </w:tc>
        <w:tc>
          <w:tcPr>
            <w:tcW w:w="850" w:type="dxa"/>
            <w:hideMark/>
          </w:tcPr>
          <w:p w14:paraId="58C3426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w:t>
            </w:r>
          </w:p>
        </w:tc>
        <w:tc>
          <w:tcPr>
            <w:tcW w:w="851" w:type="dxa"/>
            <w:hideMark/>
          </w:tcPr>
          <w:p w14:paraId="55D87BB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2.75E-02</w:t>
            </w:r>
          </w:p>
        </w:tc>
        <w:tc>
          <w:tcPr>
            <w:tcW w:w="996" w:type="dxa"/>
            <w:hideMark/>
          </w:tcPr>
          <w:p w14:paraId="6D0EB15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1392</w:t>
            </w:r>
          </w:p>
        </w:tc>
        <w:tc>
          <w:tcPr>
            <w:tcW w:w="992" w:type="dxa"/>
            <w:hideMark/>
          </w:tcPr>
          <w:p w14:paraId="67B6F1C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9151</w:t>
            </w:r>
          </w:p>
        </w:tc>
        <w:tc>
          <w:tcPr>
            <w:tcW w:w="991" w:type="dxa"/>
            <w:hideMark/>
          </w:tcPr>
          <w:p w14:paraId="7065897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6.6</w:t>
            </w:r>
          </w:p>
        </w:tc>
      </w:tr>
      <w:tr w:rsidR="00D63F24" w:rsidRPr="00605493" w14:paraId="3623C60A" w14:textId="77777777" w:rsidTr="00583569">
        <w:trPr>
          <w:trHeight w:val="168"/>
        </w:trPr>
        <w:tc>
          <w:tcPr>
            <w:tcW w:w="2969" w:type="dxa"/>
            <w:hideMark/>
          </w:tcPr>
          <w:p w14:paraId="23E9F302"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Glucose-fructose oxidoreductase domain-containing protein 1</w:t>
            </w:r>
          </w:p>
        </w:tc>
        <w:tc>
          <w:tcPr>
            <w:tcW w:w="849" w:type="dxa"/>
            <w:hideMark/>
          </w:tcPr>
          <w:p w14:paraId="611C4DB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5DE935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16C64D7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0977DB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212</w:t>
            </w:r>
          </w:p>
        </w:tc>
        <w:tc>
          <w:tcPr>
            <w:tcW w:w="992" w:type="dxa"/>
            <w:hideMark/>
          </w:tcPr>
          <w:p w14:paraId="5EBDBB8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1370</w:t>
            </w:r>
          </w:p>
        </w:tc>
        <w:tc>
          <w:tcPr>
            <w:tcW w:w="991" w:type="dxa"/>
            <w:hideMark/>
          </w:tcPr>
          <w:p w14:paraId="2FCF134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6.5</w:t>
            </w:r>
          </w:p>
        </w:tc>
      </w:tr>
      <w:tr w:rsidR="00D63F24" w:rsidRPr="00605493" w14:paraId="2946AF7C" w14:textId="77777777" w:rsidTr="00583569">
        <w:trPr>
          <w:trHeight w:val="280"/>
        </w:trPr>
        <w:tc>
          <w:tcPr>
            <w:tcW w:w="2969" w:type="dxa"/>
            <w:hideMark/>
          </w:tcPr>
          <w:p w14:paraId="15714467"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X-ray repair complementing defective repair in Chinese hamster cells 4 (XRCC4)</w:t>
            </w:r>
          </w:p>
        </w:tc>
        <w:tc>
          <w:tcPr>
            <w:tcW w:w="849" w:type="dxa"/>
            <w:hideMark/>
          </w:tcPr>
          <w:p w14:paraId="3559E3E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48A0A5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4EBC50A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296ED95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656</w:t>
            </w:r>
          </w:p>
        </w:tc>
        <w:tc>
          <w:tcPr>
            <w:tcW w:w="992" w:type="dxa"/>
            <w:hideMark/>
          </w:tcPr>
          <w:p w14:paraId="1C9544D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4140</w:t>
            </w:r>
          </w:p>
        </w:tc>
        <w:tc>
          <w:tcPr>
            <w:tcW w:w="991" w:type="dxa"/>
            <w:hideMark/>
          </w:tcPr>
          <w:p w14:paraId="257F8CB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6.3</w:t>
            </w:r>
          </w:p>
        </w:tc>
      </w:tr>
      <w:tr w:rsidR="00D63F24" w:rsidRPr="00605493" w14:paraId="14D588E3" w14:textId="77777777" w:rsidTr="00583569">
        <w:trPr>
          <w:trHeight w:val="168"/>
        </w:trPr>
        <w:tc>
          <w:tcPr>
            <w:tcW w:w="2969" w:type="dxa"/>
            <w:hideMark/>
          </w:tcPr>
          <w:p w14:paraId="17C701D0"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glutamate decarboxylase 1 (brain, 67kDa) (GAD1)</w:t>
            </w:r>
          </w:p>
        </w:tc>
        <w:tc>
          <w:tcPr>
            <w:tcW w:w="849" w:type="dxa"/>
            <w:hideMark/>
          </w:tcPr>
          <w:p w14:paraId="489D534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690353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75564CD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0ACE56A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394</w:t>
            </w:r>
          </w:p>
        </w:tc>
        <w:tc>
          <w:tcPr>
            <w:tcW w:w="992" w:type="dxa"/>
            <w:hideMark/>
          </w:tcPr>
          <w:p w14:paraId="28DF256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2469</w:t>
            </w:r>
          </w:p>
        </w:tc>
        <w:tc>
          <w:tcPr>
            <w:tcW w:w="991" w:type="dxa"/>
            <w:hideMark/>
          </w:tcPr>
          <w:p w14:paraId="13AAA70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6.3</w:t>
            </w:r>
          </w:p>
        </w:tc>
      </w:tr>
      <w:tr w:rsidR="00D63F24" w:rsidRPr="00605493" w14:paraId="0BC030E0" w14:textId="77777777" w:rsidTr="00583569">
        <w:trPr>
          <w:trHeight w:val="168"/>
        </w:trPr>
        <w:tc>
          <w:tcPr>
            <w:tcW w:w="2969" w:type="dxa"/>
            <w:hideMark/>
          </w:tcPr>
          <w:p w14:paraId="5EF136CB"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interferon regulatory factor 2 (IRF2)</w:t>
            </w:r>
          </w:p>
        </w:tc>
        <w:tc>
          <w:tcPr>
            <w:tcW w:w="849" w:type="dxa"/>
            <w:hideMark/>
          </w:tcPr>
          <w:p w14:paraId="66CFEAC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16EB6B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1F65B12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1B49F0F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1700</w:t>
            </w:r>
          </w:p>
        </w:tc>
        <w:tc>
          <w:tcPr>
            <w:tcW w:w="992" w:type="dxa"/>
            <w:hideMark/>
          </w:tcPr>
          <w:p w14:paraId="7EAF399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10638</w:t>
            </w:r>
          </w:p>
        </w:tc>
        <w:tc>
          <w:tcPr>
            <w:tcW w:w="991" w:type="dxa"/>
            <w:hideMark/>
          </w:tcPr>
          <w:p w14:paraId="2340E5E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6.3</w:t>
            </w:r>
          </w:p>
        </w:tc>
      </w:tr>
      <w:tr w:rsidR="00D63F24" w:rsidRPr="00605493" w14:paraId="21FB2DB1" w14:textId="77777777" w:rsidTr="00583569">
        <w:trPr>
          <w:trHeight w:val="168"/>
        </w:trPr>
        <w:tc>
          <w:tcPr>
            <w:tcW w:w="2969" w:type="dxa"/>
            <w:hideMark/>
          </w:tcPr>
          <w:p w14:paraId="671FBB11"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eukaryotic translation initiation factor 2C, 1 (EIF2C1)</w:t>
            </w:r>
          </w:p>
        </w:tc>
        <w:tc>
          <w:tcPr>
            <w:tcW w:w="849" w:type="dxa"/>
            <w:hideMark/>
          </w:tcPr>
          <w:p w14:paraId="4758762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7B8D2F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788214A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31607E4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1310</w:t>
            </w:r>
          </w:p>
        </w:tc>
        <w:tc>
          <w:tcPr>
            <w:tcW w:w="992" w:type="dxa"/>
            <w:hideMark/>
          </w:tcPr>
          <w:p w14:paraId="5DDA2C3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8023</w:t>
            </w:r>
          </w:p>
        </w:tc>
        <w:tc>
          <w:tcPr>
            <w:tcW w:w="991" w:type="dxa"/>
            <w:hideMark/>
          </w:tcPr>
          <w:p w14:paraId="15DEDE1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6.1</w:t>
            </w:r>
          </w:p>
        </w:tc>
      </w:tr>
      <w:tr w:rsidR="00D63F24" w:rsidRPr="00605493" w14:paraId="448B63BC" w14:textId="77777777" w:rsidTr="00583569">
        <w:trPr>
          <w:trHeight w:val="168"/>
        </w:trPr>
        <w:tc>
          <w:tcPr>
            <w:tcW w:w="2969" w:type="dxa"/>
            <w:hideMark/>
          </w:tcPr>
          <w:p w14:paraId="3C149327"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guanine nucleotide binding protein-like 3 (nucleolar)-like (GNL3L)</w:t>
            </w:r>
          </w:p>
        </w:tc>
        <w:tc>
          <w:tcPr>
            <w:tcW w:w="849" w:type="dxa"/>
            <w:hideMark/>
          </w:tcPr>
          <w:p w14:paraId="7C5E0D5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3F31C79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91%</w:t>
            </w:r>
          </w:p>
        </w:tc>
        <w:tc>
          <w:tcPr>
            <w:tcW w:w="851" w:type="dxa"/>
            <w:hideMark/>
          </w:tcPr>
          <w:p w14:paraId="73C222A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5.00E-03</w:t>
            </w:r>
          </w:p>
        </w:tc>
        <w:tc>
          <w:tcPr>
            <w:tcW w:w="996" w:type="dxa"/>
            <w:hideMark/>
          </w:tcPr>
          <w:p w14:paraId="79B828B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588</w:t>
            </w:r>
          </w:p>
        </w:tc>
        <w:tc>
          <w:tcPr>
            <w:tcW w:w="992" w:type="dxa"/>
            <w:hideMark/>
          </w:tcPr>
          <w:p w14:paraId="29001DB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3537</w:t>
            </w:r>
          </w:p>
        </w:tc>
        <w:tc>
          <w:tcPr>
            <w:tcW w:w="991" w:type="dxa"/>
            <w:hideMark/>
          </w:tcPr>
          <w:p w14:paraId="04802EA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6.0</w:t>
            </w:r>
          </w:p>
        </w:tc>
      </w:tr>
      <w:tr w:rsidR="00D63F24" w:rsidRPr="00605493" w14:paraId="3351C470" w14:textId="77777777" w:rsidTr="00583569">
        <w:trPr>
          <w:trHeight w:val="280"/>
        </w:trPr>
        <w:tc>
          <w:tcPr>
            <w:tcW w:w="2969" w:type="dxa"/>
            <w:hideMark/>
          </w:tcPr>
          <w:p w14:paraId="327E08AD"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zinc finger, RAN-binding domain containing 2 (ZRANB2), transcript variant 1</w:t>
            </w:r>
          </w:p>
        </w:tc>
        <w:tc>
          <w:tcPr>
            <w:tcW w:w="849" w:type="dxa"/>
            <w:hideMark/>
          </w:tcPr>
          <w:p w14:paraId="281FA57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11BD78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0427C48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04AA9C1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721</w:t>
            </w:r>
          </w:p>
        </w:tc>
        <w:tc>
          <w:tcPr>
            <w:tcW w:w="992" w:type="dxa"/>
            <w:hideMark/>
          </w:tcPr>
          <w:p w14:paraId="2033420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3915</w:t>
            </w:r>
          </w:p>
        </w:tc>
        <w:tc>
          <w:tcPr>
            <w:tcW w:w="991" w:type="dxa"/>
            <w:hideMark/>
          </w:tcPr>
          <w:p w14:paraId="6977C87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5.4</w:t>
            </w:r>
          </w:p>
        </w:tc>
      </w:tr>
      <w:tr w:rsidR="00D63F24" w:rsidRPr="00605493" w14:paraId="63640464" w14:textId="77777777" w:rsidTr="00583569">
        <w:trPr>
          <w:trHeight w:val="168"/>
        </w:trPr>
        <w:tc>
          <w:tcPr>
            <w:tcW w:w="2969" w:type="dxa"/>
            <w:hideMark/>
          </w:tcPr>
          <w:p w14:paraId="62E9BC4D"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Bone morphogenetic protein receptor type-2</w:t>
            </w:r>
          </w:p>
        </w:tc>
        <w:tc>
          <w:tcPr>
            <w:tcW w:w="849" w:type="dxa"/>
            <w:hideMark/>
          </w:tcPr>
          <w:p w14:paraId="3BE9B7F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1043E22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c>
          <w:tcPr>
            <w:tcW w:w="851" w:type="dxa"/>
            <w:hideMark/>
          </w:tcPr>
          <w:p w14:paraId="17473D4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2.30E-02</w:t>
            </w:r>
          </w:p>
        </w:tc>
        <w:tc>
          <w:tcPr>
            <w:tcW w:w="996" w:type="dxa"/>
            <w:hideMark/>
          </w:tcPr>
          <w:p w14:paraId="230650C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218</w:t>
            </w:r>
          </w:p>
        </w:tc>
        <w:tc>
          <w:tcPr>
            <w:tcW w:w="992" w:type="dxa"/>
            <w:hideMark/>
          </w:tcPr>
          <w:p w14:paraId="44553AB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1166</w:t>
            </w:r>
          </w:p>
        </w:tc>
        <w:tc>
          <w:tcPr>
            <w:tcW w:w="991" w:type="dxa"/>
            <w:hideMark/>
          </w:tcPr>
          <w:p w14:paraId="14BAF55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5.3</w:t>
            </w:r>
          </w:p>
        </w:tc>
      </w:tr>
      <w:tr w:rsidR="00D63F24" w:rsidRPr="00605493" w14:paraId="5ACD208B" w14:textId="77777777" w:rsidTr="00583569">
        <w:trPr>
          <w:trHeight w:val="168"/>
        </w:trPr>
        <w:tc>
          <w:tcPr>
            <w:tcW w:w="2969" w:type="dxa"/>
            <w:hideMark/>
          </w:tcPr>
          <w:p w14:paraId="0F096A17"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LUC7-like 2 (S. cerevisiae) (LUC7L2)</w:t>
            </w:r>
          </w:p>
        </w:tc>
        <w:tc>
          <w:tcPr>
            <w:tcW w:w="849" w:type="dxa"/>
            <w:hideMark/>
          </w:tcPr>
          <w:p w14:paraId="7737AE3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E22BD0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05BBBCE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0E4A6BD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388</w:t>
            </w:r>
          </w:p>
        </w:tc>
        <w:tc>
          <w:tcPr>
            <w:tcW w:w="992" w:type="dxa"/>
            <w:hideMark/>
          </w:tcPr>
          <w:p w14:paraId="5818F2D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2055</w:t>
            </w:r>
          </w:p>
        </w:tc>
        <w:tc>
          <w:tcPr>
            <w:tcW w:w="991" w:type="dxa"/>
            <w:hideMark/>
          </w:tcPr>
          <w:p w14:paraId="5029487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5.3</w:t>
            </w:r>
          </w:p>
        </w:tc>
      </w:tr>
      <w:tr w:rsidR="00D63F24" w:rsidRPr="00605493" w14:paraId="56406B1B" w14:textId="77777777" w:rsidTr="00583569">
        <w:trPr>
          <w:trHeight w:val="168"/>
        </w:trPr>
        <w:tc>
          <w:tcPr>
            <w:tcW w:w="2969" w:type="dxa"/>
            <w:hideMark/>
          </w:tcPr>
          <w:p w14:paraId="0A665A41"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activating transcription factor 2 (ATF2)</w:t>
            </w:r>
          </w:p>
        </w:tc>
        <w:tc>
          <w:tcPr>
            <w:tcW w:w="849" w:type="dxa"/>
            <w:hideMark/>
          </w:tcPr>
          <w:p w14:paraId="13A1165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25E3510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73%</w:t>
            </w:r>
          </w:p>
        </w:tc>
        <w:tc>
          <w:tcPr>
            <w:tcW w:w="851" w:type="dxa"/>
            <w:hideMark/>
          </w:tcPr>
          <w:p w14:paraId="1CA7C38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6B04A09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1311</w:t>
            </w:r>
          </w:p>
        </w:tc>
        <w:tc>
          <w:tcPr>
            <w:tcW w:w="992" w:type="dxa"/>
            <w:hideMark/>
          </w:tcPr>
          <w:p w14:paraId="2B9130B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6794</w:t>
            </w:r>
          </w:p>
        </w:tc>
        <w:tc>
          <w:tcPr>
            <w:tcW w:w="991" w:type="dxa"/>
            <w:hideMark/>
          </w:tcPr>
          <w:p w14:paraId="7C07E74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5.2</w:t>
            </w:r>
          </w:p>
        </w:tc>
      </w:tr>
      <w:tr w:rsidR="00D63F24" w:rsidRPr="00605493" w14:paraId="79ABCD1C" w14:textId="77777777" w:rsidTr="00583569">
        <w:trPr>
          <w:trHeight w:val="168"/>
        </w:trPr>
        <w:tc>
          <w:tcPr>
            <w:tcW w:w="2969" w:type="dxa"/>
            <w:hideMark/>
          </w:tcPr>
          <w:p w14:paraId="0059BC4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WW domain containing adaptor with coiled-coil (WAC)</w:t>
            </w:r>
          </w:p>
        </w:tc>
        <w:tc>
          <w:tcPr>
            <w:tcW w:w="849" w:type="dxa"/>
            <w:hideMark/>
          </w:tcPr>
          <w:p w14:paraId="0D97F47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98A2D7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64FEBA8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1B459A1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1174</w:t>
            </w:r>
          </w:p>
        </w:tc>
        <w:tc>
          <w:tcPr>
            <w:tcW w:w="992" w:type="dxa"/>
            <w:hideMark/>
          </w:tcPr>
          <w:p w14:paraId="583575B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6047</w:t>
            </w:r>
          </w:p>
        </w:tc>
        <w:tc>
          <w:tcPr>
            <w:tcW w:w="991" w:type="dxa"/>
            <w:hideMark/>
          </w:tcPr>
          <w:p w14:paraId="15F1D60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5.2</w:t>
            </w:r>
          </w:p>
        </w:tc>
      </w:tr>
      <w:tr w:rsidR="00D63F24" w:rsidRPr="00605493" w14:paraId="32E8A50D" w14:textId="77777777" w:rsidTr="00583569">
        <w:trPr>
          <w:trHeight w:val="168"/>
        </w:trPr>
        <w:tc>
          <w:tcPr>
            <w:tcW w:w="2969" w:type="dxa"/>
            <w:hideMark/>
          </w:tcPr>
          <w:p w14:paraId="4EE8A8D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ring finger protein 138 (RNF138), transcript variant 1</w:t>
            </w:r>
          </w:p>
        </w:tc>
        <w:tc>
          <w:tcPr>
            <w:tcW w:w="849" w:type="dxa"/>
            <w:hideMark/>
          </w:tcPr>
          <w:p w14:paraId="4EA1980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29%</w:t>
            </w:r>
          </w:p>
        </w:tc>
        <w:tc>
          <w:tcPr>
            <w:tcW w:w="850" w:type="dxa"/>
            <w:hideMark/>
          </w:tcPr>
          <w:p w14:paraId="2851CAD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c>
          <w:tcPr>
            <w:tcW w:w="851" w:type="dxa"/>
            <w:hideMark/>
          </w:tcPr>
          <w:p w14:paraId="64DF577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2.30E-02</w:t>
            </w:r>
          </w:p>
        </w:tc>
        <w:tc>
          <w:tcPr>
            <w:tcW w:w="996" w:type="dxa"/>
            <w:hideMark/>
          </w:tcPr>
          <w:p w14:paraId="672B8DB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539</w:t>
            </w:r>
          </w:p>
        </w:tc>
        <w:tc>
          <w:tcPr>
            <w:tcW w:w="992" w:type="dxa"/>
            <w:hideMark/>
          </w:tcPr>
          <w:p w14:paraId="0CE9116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2751</w:t>
            </w:r>
          </w:p>
        </w:tc>
        <w:tc>
          <w:tcPr>
            <w:tcW w:w="991" w:type="dxa"/>
            <w:hideMark/>
          </w:tcPr>
          <w:p w14:paraId="644E824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5.1</w:t>
            </w:r>
          </w:p>
        </w:tc>
      </w:tr>
      <w:tr w:rsidR="00D63F24" w:rsidRPr="00605493" w14:paraId="28AA5373" w14:textId="77777777" w:rsidTr="00583569">
        <w:trPr>
          <w:trHeight w:val="168"/>
        </w:trPr>
        <w:tc>
          <w:tcPr>
            <w:tcW w:w="2969" w:type="dxa"/>
            <w:hideMark/>
          </w:tcPr>
          <w:p w14:paraId="2210B399"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Activin receptor type-2B</w:t>
            </w:r>
          </w:p>
        </w:tc>
        <w:tc>
          <w:tcPr>
            <w:tcW w:w="849" w:type="dxa"/>
            <w:hideMark/>
          </w:tcPr>
          <w:p w14:paraId="75C6C02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4C7AF7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5BA3C47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34B41D2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2111</w:t>
            </w:r>
          </w:p>
        </w:tc>
        <w:tc>
          <w:tcPr>
            <w:tcW w:w="992" w:type="dxa"/>
            <w:hideMark/>
          </w:tcPr>
          <w:p w14:paraId="7CD070C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10496</w:t>
            </w:r>
          </w:p>
        </w:tc>
        <w:tc>
          <w:tcPr>
            <w:tcW w:w="991" w:type="dxa"/>
            <w:hideMark/>
          </w:tcPr>
          <w:p w14:paraId="6382B6C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5.0</w:t>
            </w:r>
          </w:p>
        </w:tc>
      </w:tr>
      <w:tr w:rsidR="00D63F24" w:rsidRPr="00605493" w14:paraId="39A662E3" w14:textId="77777777" w:rsidTr="00583569">
        <w:trPr>
          <w:trHeight w:val="280"/>
        </w:trPr>
        <w:tc>
          <w:tcPr>
            <w:tcW w:w="2969" w:type="dxa"/>
            <w:hideMark/>
          </w:tcPr>
          <w:p w14:paraId="295018E1"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eukaryotic translation initiation factor 2B, subunit 2 beta, 39kDa (EIF2B2)</w:t>
            </w:r>
          </w:p>
        </w:tc>
        <w:tc>
          <w:tcPr>
            <w:tcW w:w="849" w:type="dxa"/>
            <w:hideMark/>
          </w:tcPr>
          <w:p w14:paraId="00D728C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9437D1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0D2269F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7C481E2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425</w:t>
            </w:r>
          </w:p>
        </w:tc>
        <w:tc>
          <w:tcPr>
            <w:tcW w:w="992" w:type="dxa"/>
            <w:hideMark/>
          </w:tcPr>
          <w:p w14:paraId="75B93D1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2109</w:t>
            </w:r>
          </w:p>
        </w:tc>
        <w:tc>
          <w:tcPr>
            <w:tcW w:w="991" w:type="dxa"/>
            <w:hideMark/>
          </w:tcPr>
          <w:p w14:paraId="5E6A936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5.0</w:t>
            </w:r>
          </w:p>
        </w:tc>
      </w:tr>
      <w:tr w:rsidR="00D63F24" w:rsidRPr="00605493" w14:paraId="1397060D" w14:textId="77777777" w:rsidTr="00583569">
        <w:trPr>
          <w:trHeight w:val="168"/>
        </w:trPr>
        <w:tc>
          <w:tcPr>
            <w:tcW w:w="2969" w:type="dxa"/>
            <w:hideMark/>
          </w:tcPr>
          <w:p w14:paraId="3F2C7156"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ankyrin repeat domain 50 (ANKRD50)</w:t>
            </w:r>
          </w:p>
        </w:tc>
        <w:tc>
          <w:tcPr>
            <w:tcW w:w="849" w:type="dxa"/>
            <w:hideMark/>
          </w:tcPr>
          <w:p w14:paraId="2704C60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7D2E204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6D99624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305BAB2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461</w:t>
            </w:r>
          </w:p>
        </w:tc>
        <w:tc>
          <w:tcPr>
            <w:tcW w:w="992" w:type="dxa"/>
            <w:hideMark/>
          </w:tcPr>
          <w:p w14:paraId="47C12ED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2286</w:t>
            </w:r>
          </w:p>
        </w:tc>
        <w:tc>
          <w:tcPr>
            <w:tcW w:w="991" w:type="dxa"/>
            <w:hideMark/>
          </w:tcPr>
          <w:p w14:paraId="592FA34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5.0</w:t>
            </w:r>
          </w:p>
        </w:tc>
      </w:tr>
      <w:tr w:rsidR="00D63F24" w:rsidRPr="00605493" w14:paraId="7AEC381A" w14:textId="77777777" w:rsidTr="00583569">
        <w:trPr>
          <w:trHeight w:val="168"/>
        </w:trPr>
        <w:tc>
          <w:tcPr>
            <w:tcW w:w="2969" w:type="dxa"/>
            <w:hideMark/>
          </w:tcPr>
          <w:p w14:paraId="23CFE9DB"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RIO kinase 3 (yeast) (RIOK3)</w:t>
            </w:r>
          </w:p>
        </w:tc>
        <w:tc>
          <w:tcPr>
            <w:tcW w:w="849" w:type="dxa"/>
            <w:hideMark/>
          </w:tcPr>
          <w:p w14:paraId="7A4B34D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32365A5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6A33C35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ED9F2B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2641</w:t>
            </w:r>
          </w:p>
        </w:tc>
        <w:tc>
          <w:tcPr>
            <w:tcW w:w="992" w:type="dxa"/>
            <w:hideMark/>
          </w:tcPr>
          <w:p w14:paraId="6A4137F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13027</w:t>
            </w:r>
          </w:p>
        </w:tc>
        <w:tc>
          <w:tcPr>
            <w:tcW w:w="991" w:type="dxa"/>
            <w:hideMark/>
          </w:tcPr>
          <w:p w14:paraId="630CBE4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4.9</w:t>
            </w:r>
          </w:p>
        </w:tc>
      </w:tr>
      <w:tr w:rsidR="00D63F24" w:rsidRPr="00605493" w14:paraId="358CE968" w14:textId="77777777" w:rsidTr="00583569">
        <w:trPr>
          <w:trHeight w:val="280"/>
        </w:trPr>
        <w:tc>
          <w:tcPr>
            <w:tcW w:w="2969" w:type="dxa"/>
            <w:hideMark/>
          </w:tcPr>
          <w:p w14:paraId="533131E2"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PREDICTED: Homo sapiens similar to putative membrane-bound dipeptidase 2 (LOC339065)</w:t>
            </w:r>
          </w:p>
        </w:tc>
        <w:tc>
          <w:tcPr>
            <w:tcW w:w="849" w:type="dxa"/>
            <w:hideMark/>
          </w:tcPr>
          <w:p w14:paraId="21538F6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DB2511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5CDEC3C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6909F8B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1031</w:t>
            </w:r>
          </w:p>
        </w:tc>
        <w:tc>
          <w:tcPr>
            <w:tcW w:w="992" w:type="dxa"/>
            <w:hideMark/>
          </w:tcPr>
          <w:p w14:paraId="3E96961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5071</w:t>
            </w:r>
          </w:p>
        </w:tc>
        <w:tc>
          <w:tcPr>
            <w:tcW w:w="991" w:type="dxa"/>
            <w:hideMark/>
          </w:tcPr>
          <w:p w14:paraId="32099B0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4.9</w:t>
            </w:r>
          </w:p>
        </w:tc>
      </w:tr>
      <w:tr w:rsidR="00D63F24" w:rsidRPr="00605493" w14:paraId="64AF5CCD" w14:textId="77777777" w:rsidTr="00583569">
        <w:trPr>
          <w:trHeight w:val="168"/>
        </w:trPr>
        <w:tc>
          <w:tcPr>
            <w:tcW w:w="2969" w:type="dxa"/>
            <w:hideMark/>
          </w:tcPr>
          <w:p w14:paraId="79E3056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it-IT"/>
              </w:rPr>
              <w:t>DiGeorge syndrome critical region gene 6 (DGCR6)</w:t>
            </w:r>
          </w:p>
        </w:tc>
        <w:tc>
          <w:tcPr>
            <w:tcW w:w="849" w:type="dxa"/>
            <w:hideMark/>
          </w:tcPr>
          <w:p w14:paraId="155363B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3B2428F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7545216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781FBF7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316</w:t>
            </w:r>
          </w:p>
        </w:tc>
        <w:tc>
          <w:tcPr>
            <w:tcW w:w="992" w:type="dxa"/>
            <w:hideMark/>
          </w:tcPr>
          <w:p w14:paraId="7502127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1541</w:t>
            </w:r>
          </w:p>
        </w:tc>
        <w:tc>
          <w:tcPr>
            <w:tcW w:w="991" w:type="dxa"/>
            <w:hideMark/>
          </w:tcPr>
          <w:p w14:paraId="6B8B93B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4.9</w:t>
            </w:r>
          </w:p>
        </w:tc>
      </w:tr>
      <w:tr w:rsidR="00D63F24" w:rsidRPr="00605493" w14:paraId="7E92EC6E" w14:textId="77777777" w:rsidTr="00583569">
        <w:trPr>
          <w:trHeight w:val="168"/>
        </w:trPr>
        <w:tc>
          <w:tcPr>
            <w:tcW w:w="2969" w:type="dxa"/>
            <w:hideMark/>
          </w:tcPr>
          <w:p w14:paraId="368805A8"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cell division cycle associated 3 (CDCA3)</w:t>
            </w:r>
          </w:p>
        </w:tc>
        <w:tc>
          <w:tcPr>
            <w:tcW w:w="849" w:type="dxa"/>
            <w:hideMark/>
          </w:tcPr>
          <w:p w14:paraId="1B4DC81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1200D2F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64%</w:t>
            </w:r>
          </w:p>
        </w:tc>
        <w:tc>
          <w:tcPr>
            <w:tcW w:w="851" w:type="dxa"/>
            <w:hideMark/>
          </w:tcPr>
          <w:p w14:paraId="44AA6709"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2.80E-02</w:t>
            </w:r>
          </w:p>
        </w:tc>
        <w:tc>
          <w:tcPr>
            <w:tcW w:w="996" w:type="dxa"/>
            <w:hideMark/>
          </w:tcPr>
          <w:p w14:paraId="583F902C"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1624</w:t>
            </w:r>
          </w:p>
        </w:tc>
        <w:tc>
          <w:tcPr>
            <w:tcW w:w="992" w:type="dxa"/>
            <w:hideMark/>
          </w:tcPr>
          <w:p w14:paraId="198AC1E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7800</w:t>
            </w:r>
          </w:p>
        </w:tc>
        <w:tc>
          <w:tcPr>
            <w:tcW w:w="991" w:type="dxa"/>
            <w:hideMark/>
          </w:tcPr>
          <w:p w14:paraId="7B3D6D3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4.8</w:t>
            </w:r>
          </w:p>
        </w:tc>
      </w:tr>
      <w:tr w:rsidR="00D63F24" w:rsidRPr="00605493" w14:paraId="2F378663" w14:textId="77777777" w:rsidTr="00583569">
        <w:trPr>
          <w:trHeight w:val="168"/>
        </w:trPr>
        <w:tc>
          <w:tcPr>
            <w:tcW w:w="2969" w:type="dxa"/>
            <w:hideMark/>
          </w:tcPr>
          <w:p w14:paraId="65852D12"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chromosome 20 open reading frame 112 (C20orf112)</w:t>
            </w:r>
          </w:p>
        </w:tc>
        <w:tc>
          <w:tcPr>
            <w:tcW w:w="849" w:type="dxa"/>
            <w:hideMark/>
          </w:tcPr>
          <w:p w14:paraId="411F082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5E884FE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2E6E304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543FDC9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1971</w:t>
            </w:r>
          </w:p>
        </w:tc>
        <w:tc>
          <w:tcPr>
            <w:tcW w:w="992" w:type="dxa"/>
            <w:hideMark/>
          </w:tcPr>
          <w:p w14:paraId="30FDF51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9457</w:t>
            </w:r>
          </w:p>
        </w:tc>
        <w:tc>
          <w:tcPr>
            <w:tcW w:w="991" w:type="dxa"/>
            <w:hideMark/>
          </w:tcPr>
          <w:p w14:paraId="19B0D06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4.8</w:t>
            </w:r>
          </w:p>
        </w:tc>
      </w:tr>
      <w:tr w:rsidR="00D63F24" w:rsidRPr="00605493" w14:paraId="4A26197B" w14:textId="77777777" w:rsidTr="00583569">
        <w:trPr>
          <w:trHeight w:val="168"/>
        </w:trPr>
        <w:tc>
          <w:tcPr>
            <w:tcW w:w="2969" w:type="dxa"/>
            <w:hideMark/>
          </w:tcPr>
          <w:p w14:paraId="002B59B0"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estrogen receptor binding site associated, antigen, 9 (EBAG9)</w:t>
            </w:r>
          </w:p>
        </w:tc>
        <w:tc>
          <w:tcPr>
            <w:tcW w:w="849" w:type="dxa"/>
            <w:hideMark/>
          </w:tcPr>
          <w:p w14:paraId="1A1C60A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4DB389A1"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7BB3D3D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3CD2AFC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1077</w:t>
            </w:r>
          </w:p>
        </w:tc>
        <w:tc>
          <w:tcPr>
            <w:tcW w:w="992" w:type="dxa"/>
            <w:hideMark/>
          </w:tcPr>
          <w:p w14:paraId="79AF3D6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5063</w:t>
            </w:r>
          </w:p>
        </w:tc>
        <w:tc>
          <w:tcPr>
            <w:tcW w:w="991" w:type="dxa"/>
            <w:hideMark/>
          </w:tcPr>
          <w:p w14:paraId="52D4D617"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4.7</w:t>
            </w:r>
          </w:p>
        </w:tc>
      </w:tr>
      <w:tr w:rsidR="00D63F24" w:rsidRPr="00605493" w14:paraId="2BFA7CA1" w14:textId="77777777" w:rsidTr="00583569">
        <w:trPr>
          <w:trHeight w:val="280"/>
        </w:trPr>
        <w:tc>
          <w:tcPr>
            <w:tcW w:w="2969" w:type="dxa"/>
            <w:hideMark/>
          </w:tcPr>
          <w:p w14:paraId="32AC5774"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lastRenderedPageBreak/>
              <w:t>mitochondrial ribosomal protein L28 (MRPL28), nuclear gene encoding mitochondrial protein</w:t>
            </w:r>
          </w:p>
        </w:tc>
        <w:tc>
          <w:tcPr>
            <w:tcW w:w="849" w:type="dxa"/>
            <w:hideMark/>
          </w:tcPr>
          <w:p w14:paraId="18A3D9D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60E867F0"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4EE85EC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43896E35"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3408</w:t>
            </w:r>
          </w:p>
        </w:tc>
        <w:tc>
          <w:tcPr>
            <w:tcW w:w="992" w:type="dxa"/>
            <w:hideMark/>
          </w:tcPr>
          <w:p w14:paraId="0A55C6A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15993</w:t>
            </w:r>
          </w:p>
        </w:tc>
        <w:tc>
          <w:tcPr>
            <w:tcW w:w="991" w:type="dxa"/>
            <w:hideMark/>
          </w:tcPr>
          <w:p w14:paraId="17B23DD3"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4.7</w:t>
            </w:r>
          </w:p>
        </w:tc>
      </w:tr>
      <w:tr w:rsidR="00D63F24" w:rsidRPr="00605493" w14:paraId="23310023" w14:textId="77777777" w:rsidTr="00583569">
        <w:trPr>
          <w:trHeight w:val="168"/>
        </w:trPr>
        <w:tc>
          <w:tcPr>
            <w:tcW w:w="2969" w:type="dxa"/>
            <w:hideMark/>
          </w:tcPr>
          <w:p w14:paraId="438BF013"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FK506 binding protein 1A, 12kDa (FKBP1A), transcript variant 12B</w:t>
            </w:r>
          </w:p>
        </w:tc>
        <w:tc>
          <w:tcPr>
            <w:tcW w:w="849" w:type="dxa"/>
            <w:hideMark/>
          </w:tcPr>
          <w:p w14:paraId="6A85DC98"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2C6CAF4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82%</w:t>
            </w:r>
          </w:p>
        </w:tc>
        <w:tc>
          <w:tcPr>
            <w:tcW w:w="851" w:type="dxa"/>
            <w:hideMark/>
          </w:tcPr>
          <w:p w14:paraId="608DEF04"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3.00E-03</w:t>
            </w:r>
          </w:p>
        </w:tc>
        <w:tc>
          <w:tcPr>
            <w:tcW w:w="996" w:type="dxa"/>
            <w:hideMark/>
          </w:tcPr>
          <w:p w14:paraId="401768A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340</w:t>
            </w:r>
          </w:p>
        </w:tc>
        <w:tc>
          <w:tcPr>
            <w:tcW w:w="992" w:type="dxa"/>
            <w:hideMark/>
          </w:tcPr>
          <w:p w14:paraId="5D17E18E"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1586</w:t>
            </w:r>
          </w:p>
        </w:tc>
        <w:tc>
          <w:tcPr>
            <w:tcW w:w="991" w:type="dxa"/>
            <w:hideMark/>
          </w:tcPr>
          <w:p w14:paraId="7834F892"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4.7</w:t>
            </w:r>
          </w:p>
        </w:tc>
      </w:tr>
      <w:tr w:rsidR="00D63F24" w:rsidRPr="00605493" w14:paraId="1DC4EE1C" w14:textId="77777777" w:rsidTr="00583569">
        <w:trPr>
          <w:trHeight w:val="285"/>
        </w:trPr>
        <w:tc>
          <w:tcPr>
            <w:tcW w:w="2969" w:type="dxa"/>
            <w:hideMark/>
          </w:tcPr>
          <w:p w14:paraId="29DF0560" w14:textId="77777777" w:rsidR="00D63F24" w:rsidRPr="00605493" w:rsidRDefault="00D63F24" w:rsidP="009B448B">
            <w:pPr>
              <w:widowControl/>
              <w:jc w:val="left"/>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 xml:space="preserve">mitogen-activated protein kinase </w:t>
            </w:r>
            <w:proofErr w:type="spellStart"/>
            <w:r w:rsidRPr="00605493">
              <w:rPr>
                <w:rFonts w:ascii="Times New Roman" w:eastAsia="Yu Gothic" w:hAnsi="Times New Roman" w:cs="Times New Roman"/>
                <w:color w:val="000000"/>
                <w:kern w:val="24"/>
                <w:sz w:val="12"/>
                <w:szCs w:val="12"/>
                <w:lang w:val="en-AU"/>
              </w:rPr>
              <w:t>kinase</w:t>
            </w:r>
            <w:proofErr w:type="spellEnd"/>
            <w:r w:rsidRPr="00605493">
              <w:rPr>
                <w:rFonts w:ascii="Times New Roman" w:eastAsia="Yu Gothic" w:hAnsi="Times New Roman" w:cs="Times New Roman"/>
                <w:color w:val="000000"/>
                <w:kern w:val="24"/>
                <w:sz w:val="12"/>
                <w:szCs w:val="12"/>
                <w:lang w:val="en-AU"/>
              </w:rPr>
              <w:t xml:space="preserve"> 1 (MAP2K1); see </w:t>
            </w:r>
            <w:proofErr w:type="spellStart"/>
            <w:r w:rsidRPr="00605493">
              <w:rPr>
                <w:rFonts w:ascii="Times New Roman" w:eastAsia="Yu Gothic" w:hAnsi="Times New Roman" w:cs="Times New Roman"/>
                <w:color w:val="000000"/>
                <w:kern w:val="24"/>
                <w:sz w:val="12"/>
                <w:szCs w:val="12"/>
                <w:lang w:val="en-AU"/>
              </w:rPr>
              <w:t>catalog</w:t>
            </w:r>
            <w:proofErr w:type="spellEnd"/>
            <w:r w:rsidRPr="00605493">
              <w:rPr>
                <w:rFonts w:ascii="Times New Roman" w:eastAsia="Yu Gothic" w:hAnsi="Times New Roman" w:cs="Times New Roman"/>
                <w:color w:val="000000"/>
                <w:kern w:val="24"/>
                <w:sz w:val="12"/>
                <w:szCs w:val="12"/>
                <w:lang w:val="en-AU"/>
              </w:rPr>
              <w:t xml:space="preserve"> number for detailed information on wild-type or point mutant status</w:t>
            </w:r>
          </w:p>
        </w:tc>
        <w:tc>
          <w:tcPr>
            <w:tcW w:w="849" w:type="dxa"/>
            <w:hideMark/>
          </w:tcPr>
          <w:p w14:paraId="6BDDF25D"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14%</w:t>
            </w:r>
          </w:p>
        </w:tc>
        <w:tc>
          <w:tcPr>
            <w:tcW w:w="850" w:type="dxa"/>
            <w:hideMark/>
          </w:tcPr>
          <w:p w14:paraId="3CA7C65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w:t>
            </w:r>
          </w:p>
        </w:tc>
        <w:tc>
          <w:tcPr>
            <w:tcW w:w="851" w:type="dxa"/>
            <w:hideMark/>
          </w:tcPr>
          <w:p w14:paraId="0B71728B"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lang w:val="en-AU"/>
              </w:rPr>
              <w:t>6.29E-02</w:t>
            </w:r>
          </w:p>
        </w:tc>
        <w:tc>
          <w:tcPr>
            <w:tcW w:w="996" w:type="dxa"/>
            <w:hideMark/>
          </w:tcPr>
          <w:p w14:paraId="1A43FE0A"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557</w:t>
            </w:r>
          </w:p>
        </w:tc>
        <w:tc>
          <w:tcPr>
            <w:tcW w:w="992" w:type="dxa"/>
            <w:hideMark/>
          </w:tcPr>
          <w:p w14:paraId="3D757A4F"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2586</w:t>
            </w:r>
          </w:p>
        </w:tc>
        <w:tc>
          <w:tcPr>
            <w:tcW w:w="993" w:type="dxa"/>
            <w:hideMark/>
          </w:tcPr>
          <w:p w14:paraId="5EE1F6C6" w14:textId="77777777" w:rsidR="00D63F24" w:rsidRPr="00605493" w:rsidRDefault="00D63F24" w:rsidP="009B448B">
            <w:pPr>
              <w:widowControl/>
              <w:jc w:val="center"/>
              <w:textAlignment w:val="bottom"/>
              <w:rPr>
                <w:rFonts w:ascii="Arial" w:eastAsia="MS PGothic" w:hAnsi="Arial" w:cs="Arial"/>
                <w:kern w:val="0"/>
                <w:sz w:val="36"/>
                <w:szCs w:val="36"/>
              </w:rPr>
            </w:pPr>
            <w:r w:rsidRPr="00605493">
              <w:rPr>
                <w:rFonts w:ascii="Times New Roman" w:eastAsia="Yu Gothic" w:hAnsi="Times New Roman" w:cs="Times New Roman"/>
                <w:color w:val="000000"/>
                <w:kern w:val="24"/>
                <w:sz w:val="12"/>
                <w:szCs w:val="12"/>
              </w:rPr>
              <w:t>4.6</w:t>
            </w:r>
          </w:p>
        </w:tc>
      </w:tr>
    </w:tbl>
    <w:p w14:paraId="5D8DCE47" w14:textId="384070EA" w:rsidR="00D63F24" w:rsidRDefault="00D63F24" w:rsidP="00D63F24">
      <w:pPr>
        <w:widowControl/>
        <w:jc w:val="left"/>
        <w:rPr>
          <w:rFonts w:ascii="Times New Roman" w:hAnsi="Times New Roman" w:cs="Times New Roman"/>
          <w:b/>
          <w:bCs/>
          <w:sz w:val="24"/>
          <w:szCs w:val="24"/>
        </w:rPr>
      </w:pPr>
    </w:p>
    <w:p w14:paraId="75A8E430" w14:textId="4D14D640" w:rsidR="00D63F24" w:rsidRPr="00D63F24" w:rsidRDefault="00D63F24" w:rsidP="00D63F24">
      <w:pPr>
        <w:spacing w:line="480" w:lineRule="auto"/>
        <w:rPr>
          <w:rFonts w:ascii="Times New Roman" w:hAnsi="Times New Roman" w:cs="Times New Roman"/>
          <w:sz w:val="24"/>
          <w:szCs w:val="24"/>
        </w:rPr>
      </w:pPr>
      <w:r w:rsidRPr="00D63F24">
        <w:rPr>
          <w:rFonts w:ascii="Times New Roman" w:hAnsi="Times New Roman" w:cs="Times New Roman"/>
          <w:sz w:val="24"/>
          <w:szCs w:val="24"/>
        </w:rPr>
        <w:t>Out of 9,483 immobilized proteins, 127 autoantigens were recognized by the serum antibodies in interstitial lung disease patients. The autoantigens are ranked by the ratio of the average signal values, and the top 50 autoantigens are presented in this table.</w:t>
      </w:r>
    </w:p>
    <w:p w14:paraId="1EB21549" w14:textId="709BE134" w:rsidR="00583569" w:rsidRDefault="00583569">
      <w:pPr>
        <w:widowControl/>
        <w:jc w:val="left"/>
        <w:rPr>
          <w:rFonts w:ascii="Times New Roman" w:eastAsia="Yu Mincho" w:hAnsi="Times New Roman" w:cs="Times New Roman"/>
          <w:noProof/>
          <w:sz w:val="24"/>
          <w:szCs w:val="24"/>
        </w:rPr>
      </w:pPr>
    </w:p>
    <w:sectPr w:rsidR="005835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05F2F" w14:textId="77777777" w:rsidR="00E52233" w:rsidRDefault="00E52233" w:rsidP="00E52233">
      <w:r>
        <w:separator/>
      </w:r>
    </w:p>
  </w:endnote>
  <w:endnote w:type="continuationSeparator" w:id="0">
    <w:p w14:paraId="47BDA686" w14:textId="77777777" w:rsidR="00E52233" w:rsidRDefault="00E52233" w:rsidP="00E5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9F65" w14:textId="77777777" w:rsidR="00E52233" w:rsidRDefault="00E52233" w:rsidP="00E52233">
      <w:r>
        <w:separator/>
      </w:r>
    </w:p>
  </w:footnote>
  <w:footnote w:type="continuationSeparator" w:id="0">
    <w:p w14:paraId="5F9188B4" w14:textId="77777777" w:rsidR="00E52233" w:rsidRDefault="00E52233" w:rsidP="00E5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3MDO2MLcwNzSwNDJV0lEKTi0uzszPAymwqAUAaUik8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Yu Mincho&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dvzz2d1dt9d4epsrvx00vhvtv52fep5was&quot;&gt;My EndNote Library&lt;record-ids&gt;&lt;item&gt;94&lt;/item&gt;&lt;item&gt;496&lt;/item&gt;&lt;item&gt;512&lt;/item&gt;&lt;item&gt;517&lt;/item&gt;&lt;item&gt;552&lt;/item&gt;&lt;/record-ids&gt;&lt;/item&gt;&lt;/Libraries&gt;"/>
  </w:docVars>
  <w:rsids>
    <w:rsidRoot w:val="00FC696C"/>
    <w:rsid w:val="00182416"/>
    <w:rsid w:val="001C616C"/>
    <w:rsid w:val="002E5A28"/>
    <w:rsid w:val="002F3E73"/>
    <w:rsid w:val="00583569"/>
    <w:rsid w:val="00623C6A"/>
    <w:rsid w:val="00641DFE"/>
    <w:rsid w:val="007F1036"/>
    <w:rsid w:val="00915B7B"/>
    <w:rsid w:val="00A4381A"/>
    <w:rsid w:val="00BF0955"/>
    <w:rsid w:val="00C43108"/>
    <w:rsid w:val="00D40A7C"/>
    <w:rsid w:val="00D50EA4"/>
    <w:rsid w:val="00D63F24"/>
    <w:rsid w:val="00DB3407"/>
    <w:rsid w:val="00E52233"/>
    <w:rsid w:val="00E61D12"/>
    <w:rsid w:val="00FC6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3FAF96E"/>
  <w15:chartTrackingRefBased/>
  <w15:docId w15:val="{8F8F5F3A-8354-49F7-A6B2-D43F78D3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FC696C"/>
    <w:pPr>
      <w:jc w:val="left"/>
    </w:pPr>
  </w:style>
  <w:style w:type="character" w:customStyle="1" w:styleId="a4">
    <w:name w:val="コメント文字列 (文字)"/>
    <w:basedOn w:val="a0"/>
    <w:link w:val="a3"/>
    <w:uiPriority w:val="99"/>
    <w:semiHidden/>
    <w:rsid w:val="00FC696C"/>
  </w:style>
  <w:style w:type="character" w:styleId="a5">
    <w:name w:val="annotation reference"/>
    <w:basedOn w:val="a0"/>
    <w:uiPriority w:val="99"/>
    <w:semiHidden/>
    <w:unhideWhenUsed/>
    <w:rsid w:val="00FC696C"/>
    <w:rPr>
      <w:sz w:val="16"/>
      <w:szCs w:val="16"/>
    </w:rPr>
  </w:style>
  <w:style w:type="character" w:styleId="a6">
    <w:name w:val="Hyperlink"/>
    <w:basedOn w:val="a0"/>
    <w:uiPriority w:val="99"/>
    <w:unhideWhenUsed/>
    <w:rsid w:val="00FC696C"/>
    <w:rPr>
      <w:color w:val="0563C1" w:themeColor="hyperlink"/>
      <w:u w:val="single"/>
    </w:rPr>
  </w:style>
  <w:style w:type="paragraph" w:customStyle="1" w:styleId="EndNoteBibliographyTitle">
    <w:name w:val="EndNote Bibliography Title"/>
    <w:basedOn w:val="a"/>
    <w:link w:val="EndNoteBibliographyTitle0"/>
    <w:rsid w:val="00FC696C"/>
    <w:pPr>
      <w:jc w:val="center"/>
    </w:pPr>
    <w:rPr>
      <w:rFonts w:ascii="Yu Mincho" w:eastAsia="Yu Mincho" w:hAnsi="Yu Mincho"/>
      <w:noProof/>
      <w:sz w:val="20"/>
    </w:rPr>
  </w:style>
  <w:style w:type="character" w:customStyle="1" w:styleId="EndNoteBibliographyTitle0">
    <w:name w:val="EndNote Bibliography Title (文字)"/>
    <w:basedOn w:val="a0"/>
    <w:link w:val="EndNoteBibliographyTitle"/>
    <w:rsid w:val="00FC696C"/>
    <w:rPr>
      <w:rFonts w:ascii="Yu Mincho" w:eastAsia="Yu Mincho" w:hAnsi="Yu Mincho"/>
      <w:noProof/>
      <w:sz w:val="20"/>
    </w:rPr>
  </w:style>
  <w:style w:type="paragraph" w:customStyle="1" w:styleId="EndNoteBibliography">
    <w:name w:val="EndNote Bibliography"/>
    <w:basedOn w:val="a"/>
    <w:link w:val="EndNoteBibliography0"/>
    <w:rsid w:val="00FC696C"/>
    <w:rPr>
      <w:rFonts w:ascii="Yu Mincho" w:eastAsia="Yu Mincho" w:hAnsi="Yu Mincho"/>
      <w:noProof/>
      <w:sz w:val="20"/>
    </w:rPr>
  </w:style>
  <w:style w:type="character" w:customStyle="1" w:styleId="EndNoteBibliography0">
    <w:name w:val="EndNote Bibliography (文字)"/>
    <w:basedOn w:val="a0"/>
    <w:link w:val="EndNoteBibliography"/>
    <w:rsid w:val="00FC696C"/>
    <w:rPr>
      <w:rFonts w:ascii="Yu Mincho" w:eastAsia="Yu Mincho" w:hAnsi="Yu Mincho"/>
      <w:noProof/>
      <w:sz w:val="20"/>
    </w:rPr>
  </w:style>
  <w:style w:type="paragraph" w:styleId="a7">
    <w:name w:val="header"/>
    <w:basedOn w:val="a"/>
    <w:link w:val="a8"/>
    <w:uiPriority w:val="99"/>
    <w:unhideWhenUsed/>
    <w:rsid w:val="00E52233"/>
    <w:pPr>
      <w:tabs>
        <w:tab w:val="center" w:pos="4513"/>
        <w:tab w:val="right" w:pos="9026"/>
      </w:tabs>
      <w:snapToGrid w:val="0"/>
    </w:pPr>
  </w:style>
  <w:style w:type="character" w:customStyle="1" w:styleId="a8">
    <w:name w:val="ヘッダー (文字)"/>
    <w:basedOn w:val="a0"/>
    <w:link w:val="a7"/>
    <w:uiPriority w:val="99"/>
    <w:rsid w:val="00E52233"/>
  </w:style>
  <w:style w:type="paragraph" w:styleId="a9">
    <w:name w:val="footer"/>
    <w:basedOn w:val="a"/>
    <w:link w:val="aa"/>
    <w:uiPriority w:val="99"/>
    <w:unhideWhenUsed/>
    <w:rsid w:val="00E52233"/>
    <w:pPr>
      <w:tabs>
        <w:tab w:val="center" w:pos="4513"/>
        <w:tab w:val="right" w:pos="9026"/>
      </w:tabs>
      <w:snapToGrid w:val="0"/>
    </w:pPr>
  </w:style>
  <w:style w:type="character" w:customStyle="1" w:styleId="aa">
    <w:name w:val="フッター (文字)"/>
    <w:basedOn w:val="a0"/>
    <w:link w:val="a9"/>
    <w:uiPriority w:val="99"/>
    <w:rsid w:val="00E52233"/>
  </w:style>
  <w:style w:type="paragraph" w:styleId="Web">
    <w:name w:val="Normal (Web)"/>
    <w:basedOn w:val="a"/>
    <w:uiPriority w:val="99"/>
    <w:semiHidden/>
    <w:unhideWhenUsed/>
    <w:rsid w:val="00583569"/>
    <w:pPr>
      <w:widowControl/>
      <w:spacing w:before="100" w:beforeAutospacing="1" w:after="100" w:afterAutospacing="1"/>
      <w:jc w:val="left"/>
    </w:pPr>
    <w:rPr>
      <w:rFonts w:ascii="MS PGothic" w:eastAsia="MS PGothic" w:hAnsi="MS PGothic" w:cs="MS PGothic"/>
      <w:kern w:val="0"/>
      <w:sz w:val="24"/>
      <w:szCs w:val="24"/>
    </w:rPr>
  </w:style>
  <w:style w:type="table" w:styleId="ab">
    <w:name w:val="Table Grid"/>
    <w:basedOn w:val="a1"/>
    <w:uiPriority w:val="39"/>
    <w:rsid w:val="00583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1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731</Words>
  <Characters>4171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引地 麻梨</dc:creator>
  <cp:keywords/>
  <dc:description/>
  <cp:lastModifiedBy>引地 麻梨</cp:lastModifiedBy>
  <cp:revision>10</cp:revision>
  <cp:lastPrinted>2021-06-10T10:17:00Z</cp:lastPrinted>
  <dcterms:created xsi:type="dcterms:W3CDTF">2021-07-05T06:40:00Z</dcterms:created>
  <dcterms:modified xsi:type="dcterms:W3CDTF">2021-09-06T09:01:00Z</dcterms:modified>
</cp:coreProperties>
</file>