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F63" w:rsidRDefault="007A3F63" w:rsidP="007A3F63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</w:rPr>
        <w:t>APPENDIX</w:t>
      </w: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17C31">
        <w:rPr>
          <w:rFonts w:ascii="Times New Roman" w:hAnsi="Times New Roman" w:cs="Times New Roman"/>
          <w:i/>
          <w:iCs/>
          <w:sz w:val="24"/>
          <w:szCs w:val="24"/>
        </w:rPr>
        <w:t xml:space="preserve">List of </w:t>
      </w:r>
      <w:r>
        <w:rPr>
          <w:rFonts w:ascii="Times New Roman" w:hAnsi="Times New Roman" w:cs="Times New Roman"/>
          <w:i/>
          <w:iCs/>
          <w:sz w:val="24"/>
          <w:szCs w:val="24"/>
        </w:rPr>
        <w:t>Countries</w:t>
      </w:r>
    </w:p>
    <w:tbl>
      <w:tblPr>
        <w:tblStyle w:val="TableGrid"/>
        <w:tblW w:w="499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1546"/>
        <w:gridCol w:w="1466"/>
        <w:gridCol w:w="1703"/>
        <w:gridCol w:w="1546"/>
        <w:gridCol w:w="1541"/>
      </w:tblGrid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Algeria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Chad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Gabon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Madagascar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Sudan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Angola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Comoros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Gambia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Malawi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Rep. Congo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Tanzania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Benin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Cote d’Ivoire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Ghana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Mali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Rwanda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Togo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Botswana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Congo Dem. Rep.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Guinea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Mauritania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Sao Tome and Principe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Tunisia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Burkina Faso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Djibouti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Guinea-Bissau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Mauritius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Senegal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Uganda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Burundi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Morocco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Seychelles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Zambia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Cameroon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Equatorial Guinea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Lesotho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Mozambique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Sierra Leone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Zimbabwe</w:t>
            </w: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Cape Verde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Eswatini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Liberia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Namibia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South Africa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F63" w:rsidRPr="004723FF" w:rsidTr="00FB6978">
        <w:trPr>
          <w:jc w:val="center"/>
        </w:trPr>
        <w:tc>
          <w:tcPr>
            <w:tcW w:w="827" w:type="pct"/>
          </w:tcPr>
          <w:p w:rsidR="007A3F63" w:rsidRPr="004723FF" w:rsidRDefault="007A3F63" w:rsidP="00FB6978">
            <w:pPr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Central African Rep.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Ethiopia</w:t>
            </w:r>
          </w:p>
        </w:tc>
        <w:tc>
          <w:tcPr>
            <w:tcW w:w="78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Libya</w:t>
            </w:r>
          </w:p>
        </w:tc>
        <w:tc>
          <w:tcPr>
            <w:tcW w:w="911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Niger</w:t>
            </w:r>
          </w:p>
        </w:tc>
        <w:tc>
          <w:tcPr>
            <w:tcW w:w="827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723FF">
              <w:rPr>
                <w:rFonts w:ascii="Times New Roman" w:hAnsi="Times New Roman" w:cs="Times New Roman"/>
              </w:rPr>
              <w:t>South Sudan</w:t>
            </w:r>
          </w:p>
        </w:tc>
        <w:tc>
          <w:tcPr>
            <w:tcW w:w="824" w:type="pct"/>
          </w:tcPr>
          <w:p w:rsidR="007A3F63" w:rsidRPr="004723FF" w:rsidRDefault="007A3F63" w:rsidP="00FB697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A3F63" w:rsidRPr="004723FF" w:rsidRDefault="007A3F63" w:rsidP="007A3F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Variable Statistics (Central Regressions)</w:t>
      </w:r>
    </w:p>
    <w:tbl>
      <w:tblPr>
        <w:tblStyle w:val="TableGrid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9"/>
        <w:gridCol w:w="1559"/>
        <w:gridCol w:w="1559"/>
        <w:gridCol w:w="1556"/>
      </w:tblGrid>
      <w:tr w:rsidR="007A3F63" w:rsidRPr="009C3435" w:rsidTr="00FB6978"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Observations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Std. Dev.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83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7A3F63" w:rsidRPr="009C3435" w:rsidTr="00FB6978">
        <w:tc>
          <w:tcPr>
            <w:tcW w:w="833" w:type="pct"/>
            <w:tcBorders>
              <w:top w:val="single" w:sz="4" w:space="0" w:color="auto"/>
            </w:tcBorders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liex</m:t>
                </m:r>
              </m:oMath>
            </m:oMathPara>
          </w:p>
        </w:tc>
        <w:tc>
          <w:tcPr>
            <w:tcW w:w="833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1508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57.183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8.56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26.2</w:t>
            </w:r>
          </w:p>
        </w:tc>
        <w:tc>
          <w:tcPr>
            <w:tcW w:w="832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76.7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gini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1281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48.341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7.734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34.5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72.5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bookmarkStart w:id="0" w:name="_Hlk75817385"/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edin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1358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0.402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0.139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0.081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0.763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afr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3068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127.57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52.006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5.7148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232.483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heaexpen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1112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5.59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2.212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1.446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20.413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gdppc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2873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3.356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3.893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0.215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38.333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saf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1080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63.596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18.666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99.866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regsc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2698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-1.967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5.923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urb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3068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32.101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18.161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2.077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89.37</w:t>
            </w:r>
          </w:p>
        </w:tc>
      </w:tr>
      <w:bookmarkEnd w:id="0"/>
      <w:tr w:rsidR="007A3F63" w:rsidRPr="009C3435" w:rsidTr="00FB6978">
        <w:tc>
          <w:tcPr>
            <w:tcW w:w="833" w:type="pct"/>
            <w:tcBorders>
              <w:bottom w:val="single" w:sz="4" w:space="0" w:color="auto"/>
            </w:tcBorders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ag</m:t>
                </m:r>
              </m:oMath>
            </m:oMathPara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2898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3.359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6.884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59.515</w:t>
            </w:r>
          </w:p>
        </w:tc>
      </w:tr>
    </w:tbl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III</w:t>
      </w: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Variable Statistics (Historical Context Regressions)</w:t>
      </w:r>
    </w:p>
    <w:tbl>
      <w:tblPr>
        <w:tblStyle w:val="TableGrid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9"/>
        <w:gridCol w:w="1559"/>
        <w:gridCol w:w="1559"/>
        <w:gridCol w:w="1556"/>
      </w:tblGrid>
      <w:tr w:rsidR="007A3F63" w:rsidRPr="009C3435" w:rsidTr="00FB6978"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Observations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Mean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Std. Dev.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Min</w:t>
            </w:r>
          </w:p>
        </w:tc>
        <w:tc>
          <w:tcPr>
            <w:tcW w:w="83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F63" w:rsidRPr="004D483E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D483E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</w:tr>
      <w:tr w:rsidR="007A3F63" w:rsidRPr="009C3435" w:rsidTr="00FB6978">
        <w:tc>
          <w:tcPr>
            <w:tcW w:w="833" w:type="pct"/>
            <w:tcBorders>
              <w:top w:val="single" w:sz="4" w:space="0" w:color="auto"/>
            </w:tcBorders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liex</m:t>
                </m:r>
              </m:oMath>
            </m:oMathPara>
          </w:p>
        </w:tc>
        <w:tc>
          <w:tcPr>
            <w:tcW w:w="833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45.326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8.969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23.077</w:t>
            </w:r>
          </w:p>
        </w:tc>
        <w:tc>
          <w:tcPr>
            <w:tcW w:w="832" w:type="pct"/>
            <w:tcBorders>
              <w:top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70.28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gini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46.101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7.512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28.976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70.099</w:t>
            </w:r>
          </w:p>
        </w:tc>
      </w:tr>
      <w:tr w:rsidR="007A3F63" w:rsidRPr="009C3435" w:rsidTr="00FB6978">
        <w:tc>
          <w:tcPr>
            <w:tcW w:w="833" w:type="pct"/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gdppc</m:t>
                </m:r>
              </m:oMath>
            </m:oMathPara>
          </w:p>
        </w:tc>
        <w:tc>
          <w:tcPr>
            <w:tcW w:w="833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1195.564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961.95</w:t>
            </w:r>
          </w:p>
        </w:tc>
        <w:tc>
          <w:tcPr>
            <w:tcW w:w="834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289</w:t>
            </w:r>
          </w:p>
        </w:tc>
        <w:tc>
          <w:tcPr>
            <w:tcW w:w="832" w:type="pct"/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6777</w:t>
            </w:r>
          </w:p>
        </w:tc>
      </w:tr>
      <w:tr w:rsidR="007A3F63" w:rsidRPr="009C3435" w:rsidTr="00FB6978">
        <w:tc>
          <w:tcPr>
            <w:tcW w:w="833" w:type="pct"/>
            <w:tcBorders>
              <w:bottom w:val="single" w:sz="4" w:space="0" w:color="auto"/>
            </w:tcBorders>
          </w:tcPr>
          <w:p w:rsidR="007A3F63" w:rsidRPr="00013C16" w:rsidRDefault="007A3F63" w:rsidP="00FB6978">
            <w:pPr>
              <w:spacing w:line="312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regsc</m:t>
                </m:r>
              </m:oMath>
            </m:oMathPara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-4.074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5.285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:rsidR="007A3F63" w:rsidRPr="005F29ED" w:rsidRDefault="007A3F63" w:rsidP="00FB6978">
            <w:pPr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IV</w:t>
      </w: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Robustness Check Regressions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A3F63" w:rsidRPr="00784AD5" w:rsidTr="00FB6978">
        <w:tc>
          <w:tcPr>
            <w:tcW w:w="9016" w:type="dxa"/>
            <w:gridSpan w:val="5"/>
            <w:shd w:val="clear" w:color="auto" w:fill="FFFFFF" w:themeFill="background1"/>
          </w:tcPr>
          <w:p w:rsidR="007A3F63" w:rsidRPr="00784AD5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 xml:space="preserve">Dependent Variable: </w:t>
            </w:r>
            <m:oMath>
              <m:r>
                <w:rPr>
                  <w:rFonts w:ascii="Cambria Math" w:hAnsi="Cambria Math" w:cs="Times New Roman"/>
                </w:rPr>
                <m:t>liex</m:t>
              </m:r>
            </m:oMath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FE with time fixed effects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FE without time fixed effects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RE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Pooled OLS</w:t>
            </w:r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</w:tcBorders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gini</m:t>
                </m:r>
              </m:oMath>
            </m:oMathPara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-0.284**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[0.111]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-0.369***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[0.115]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-0.538***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[0.066]</w:t>
            </w:r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-0.473***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[0.066]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edin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18.422***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[4.243]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22.128***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[3.228]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22.939***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[2.864]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10.129*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[5.964]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C44683" w:rsidRDefault="007A3F63" w:rsidP="00FB6978">
            <w:pPr>
              <w:spacing w:line="26" w:lineRule="atLeast"/>
              <w:jc w:val="both"/>
              <w:rPr>
                <w:rFonts w:ascii="Calibri" w:eastAsia="Calibri" w:hAnsi="Calibri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</w:rPr>
                  <m:t>afr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-0.056***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[0.015]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-0.074***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[0.015]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[0.011]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-0.052***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[0.014]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C44683" w:rsidRDefault="007A3F63" w:rsidP="00FB6978">
            <w:pPr>
              <w:spacing w:line="26" w:lineRule="atLeast"/>
              <w:jc w:val="both"/>
              <w:rPr>
                <w:rFonts w:ascii="Calibri" w:eastAsia="Calibri" w:hAnsi="Calibri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</w:rPr>
                  <m:t>heaexpen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0.255***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[0.079]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0.296***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[0.081]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0.337***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[0.079]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-0.276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[0.332]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C44683" w:rsidRDefault="007A3F63" w:rsidP="00FB6978">
            <w:pPr>
              <w:spacing w:line="26" w:lineRule="atLeast"/>
              <w:jc w:val="both"/>
              <w:rPr>
                <w:rFonts w:ascii="Calibri" w:eastAsia="Calibri" w:hAnsi="Calibri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</w:rPr>
                  <m:t>lgdppc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3.393***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[0.548]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4.509***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[0.545]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3.889***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[0.496]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[1.325]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C44683" w:rsidRDefault="007A3F63" w:rsidP="00FB6978">
            <w:pPr>
              <w:spacing w:line="26" w:lineRule="atLeast"/>
              <w:jc w:val="both"/>
              <w:rPr>
                <w:rFonts w:ascii="Calibri" w:eastAsia="Calibri" w:hAnsi="Calibri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</w:rPr>
                  <m:t>saf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0.135***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[0.026]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0.137***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[0.027]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0.122***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[0.025]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0.083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[0.054]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C44683" w:rsidRDefault="007A3F63" w:rsidP="00FB6978">
            <w:pPr>
              <w:spacing w:line="26" w:lineRule="atLeast"/>
              <w:jc w:val="both"/>
              <w:rPr>
                <w:rFonts w:ascii="Calibri" w:eastAsia="Calibri" w:hAnsi="Calibri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regsc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0.198***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[0.044]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0.164***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[0.045]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0.191***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[0.043]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0.136</w:t>
            </w:r>
          </w:p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[0.134]</w:t>
            </w:r>
          </w:p>
        </w:tc>
      </w:tr>
      <w:tr w:rsidR="007A3F63" w:rsidRPr="00784AD5" w:rsidTr="00FB6978">
        <w:tc>
          <w:tcPr>
            <w:tcW w:w="1803" w:type="dxa"/>
            <w:tcBorders>
              <w:bottom w:val="single" w:sz="4" w:space="0" w:color="auto"/>
            </w:tcBorders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urb</m:t>
                </m:r>
              </m:oMath>
            </m:oMathPara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-0.105**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[0.052]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-0.052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[0.05]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-0.047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[0.033]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0.033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[0.045]</w:t>
            </w:r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Obs. (N)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853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853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853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853</w:t>
            </w:r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0.6862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0.6433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0.6393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0.6716</w:t>
            </w:r>
          </w:p>
        </w:tc>
      </w:tr>
    </w:tbl>
    <w:p w:rsidR="007A3F63" w:rsidRPr="0014675D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E0661">
        <w:rPr>
          <w:rFonts w:ascii="Times New Roman" w:hAnsi="Times New Roman" w:cs="Times New Roman"/>
          <w:b/>
          <w:bCs/>
          <w:sz w:val="20"/>
          <w:szCs w:val="20"/>
        </w:rPr>
        <w:t>Note:</w:t>
      </w:r>
      <w:r w:rsidRPr="0014675D">
        <w:rPr>
          <w:rFonts w:ascii="Times New Roman" w:hAnsi="Times New Roman" w:cs="Times New Roman"/>
          <w:sz w:val="20"/>
          <w:szCs w:val="20"/>
        </w:rPr>
        <w:t xml:space="preserve"> ***, ** and * represent significance at 1%, 5% and 10% level respectively. Standard errors are shown in []</w:t>
      </w: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Historical Context Regressions (1820-1990)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7A3F63" w:rsidRPr="00784AD5" w:rsidTr="00FB6978">
        <w:tc>
          <w:tcPr>
            <w:tcW w:w="9016" w:type="dxa"/>
            <w:gridSpan w:val="5"/>
            <w:shd w:val="clear" w:color="auto" w:fill="FFFFFF" w:themeFill="background1"/>
          </w:tcPr>
          <w:p w:rsidR="007A3F63" w:rsidRPr="00784AD5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 xml:space="preserve">Dependent Variable: </w:t>
            </w:r>
            <m:oMath>
              <m:r>
                <w:rPr>
                  <w:rFonts w:ascii="Cambria Math" w:hAnsi="Cambria Math" w:cs="Times New Roman"/>
                </w:rPr>
                <m:t>liex</m:t>
              </m:r>
            </m:oMath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FE with time fixed effects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FE without time fixed effects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RE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84AD5">
              <w:rPr>
                <w:rFonts w:ascii="Times New Roman" w:hAnsi="Times New Roman" w:cs="Times New Roman"/>
                <w:b/>
                <w:bCs/>
              </w:rPr>
              <w:t>Pooled OLS</w:t>
            </w:r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</w:tcBorders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gini</m:t>
                </m:r>
              </m:oMath>
            </m:oMathPara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-0.022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[0.052]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-0.19*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[0.106]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-0.347***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[0.105]</w:t>
            </w:r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-0.434***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[0.129]</w:t>
            </w:r>
          </w:p>
        </w:tc>
      </w:tr>
      <w:tr w:rsidR="007A3F63" w:rsidRPr="00784AD5" w:rsidTr="00FB6978">
        <w:tc>
          <w:tcPr>
            <w:tcW w:w="1803" w:type="dxa"/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gdppc</m:t>
                </m:r>
              </m:oMath>
            </m:oMathPara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[0.0009]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[0.002]</w:t>
            </w:r>
          </w:p>
        </w:tc>
        <w:tc>
          <w:tcPr>
            <w:tcW w:w="1803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0.006***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[0.001]</w:t>
            </w:r>
          </w:p>
        </w:tc>
        <w:tc>
          <w:tcPr>
            <w:tcW w:w="1804" w:type="dxa"/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0.005***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[0.001]</w:t>
            </w:r>
          </w:p>
        </w:tc>
      </w:tr>
      <w:tr w:rsidR="007A3F63" w:rsidRPr="00784AD5" w:rsidTr="00FB6978">
        <w:tc>
          <w:tcPr>
            <w:tcW w:w="1803" w:type="dxa"/>
            <w:tcBorders>
              <w:bottom w:val="single" w:sz="4" w:space="0" w:color="auto"/>
            </w:tcBorders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regsc</m:t>
                </m:r>
              </m:oMath>
            </m:oMathPara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0.146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[0.113]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[0.157]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0.174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[0.176]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:rsidR="007A3F63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0.189</w:t>
            </w:r>
          </w:p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[0.198]</w:t>
            </w:r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Obs. (N)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 w:rsidRPr="009E771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 w:rsidRPr="009E771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 w:rsidRPr="009E7710">
              <w:rPr>
                <w:rFonts w:ascii="Times New Roman" w:hAnsi="Times New Roman" w:cs="Times New Roman"/>
              </w:rPr>
              <w:t>90</w:t>
            </w:r>
          </w:p>
        </w:tc>
      </w:tr>
      <w:tr w:rsidR="007A3F63" w:rsidRPr="00784AD5" w:rsidTr="00FB6978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497558" w:rsidRDefault="007A3F63" w:rsidP="00FB6978">
            <w:pPr>
              <w:spacing w:line="26" w:lineRule="atLeast"/>
              <w:jc w:val="both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0.586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0.278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0.336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7A3F63" w:rsidRPr="00784AD5" w:rsidRDefault="007A3F63" w:rsidP="00FB6978">
            <w:pPr>
              <w:spacing w:line="26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0.351</w:t>
            </w:r>
          </w:p>
        </w:tc>
      </w:tr>
    </w:tbl>
    <w:p w:rsidR="007A3F63" w:rsidRPr="0014675D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E0661">
        <w:rPr>
          <w:rFonts w:ascii="Times New Roman" w:hAnsi="Times New Roman" w:cs="Times New Roman"/>
          <w:b/>
          <w:bCs/>
          <w:sz w:val="20"/>
          <w:szCs w:val="20"/>
        </w:rPr>
        <w:t>Note:</w:t>
      </w:r>
      <w:r w:rsidRPr="0014675D">
        <w:rPr>
          <w:rFonts w:ascii="Times New Roman" w:hAnsi="Times New Roman" w:cs="Times New Roman"/>
          <w:sz w:val="20"/>
          <w:szCs w:val="20"/>
        </w:rPr>
        <w:t xml:space="preserve"> ***, ** and * represent significance at 1%, 5% and 10% level respectively. Standard errors are shown in []</w:t>
      </w: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Pr="00717C3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Variable Descriptions (Central Regressions)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58"/>
        <w:gridCol w:w="6592"/>
        <w:gridCol w:w="1276"/>
      </w:tblGrid>
      <w:tr w:rsidR="007A3F63" w:rsidTr="00FB6978">
        <w:tc>
          <w:tcPr>
            <w:tcW w:w="1158" w:type="dxa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i/>
                <w:iCs/>
              </w:rPr>
            </w:pPr>
            <w:r w:rsidRPr="00A71889">
              <w:rPr>
                <w:rFonts w:ascii="Times New Roman" w:eastAsiaTheme="minorEastAsia" w:hAnsi="Times New Roman" w:cs="Times New Roman"/>
                <w:b/>
                <w:bCs/>
              </w:rPr>
              <w:t>Variable</w:t>
            </w:r>
            <w:r w:rsidRPr="00A71889">
              <w:rPr>
                <w:rFonts w:ascii="Times New Roman" w:eastAsiaTheme="minorEastAsia" w:hAnsi="Times New Roman" w:cs="Times New Roman"/>
                <w:b/>
                <w:bCs/>
                <w:i/>
                <w:iCs/>
              </w:rPr>
              <w:t>s</w:t>
            </w:r>
          </w:p>
        </w:tc>
        <w:tc>
          <w:tcPr>
            <w:tcW w:w="65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A71889">
              <w:rPr>
                <w:rFonts w:ascii="Times New Roman" w:eastAsiaTheme="minorEastAsia" w:hAnsi="Times New Roman" w:cs="Times New Roman"/>
                <w:b/>
                <w:bCs/>
              </w:rPr>
              <w:t>Descriptions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A71889">
              <w:rPr>
                <w:rFonts w:ascii="Times New Roman" w:eastAsiaTheme="minorEastAsia" w:hAnsi="Times New Roman" w:cs="Times New Roman"/>
                <w:b/>
                <w:bCs/>
              </w:rPr>
              <w:t>Source</w:t>
            </w:r>
          </w:p>
        </w:tc>
      </w:tr>
      <w:tr w:rsidR="007A3F63" w:rsidTr="00FB6978">
        <w:tc>
          <w:tcPr>
            <w:tcW w:w="1158" w:type="dxa"/>
            <w:tcBorders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</w:rPr>
                  <m:t>liex</m:t>
                </m:r>
              </m:oMath>
            </m:oMathPara>
          </w:p>
        </w:tc>
        <w:tc>
          <w:tcPr>
            <w:tcW w:w="6592" w:type="dxa"/>
            <w:tcBorders>
              <w:left w:val="nil"/>
              <w:bottom w:val="nil"/>
              <w:right w:val="nil"/>
            </w:tcBorders>
          </w:tcPr>
          <w:p w:rsidR="007A3F63" w:rsidRPr="00254A34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>Life expectancy at birth (years)</w:t>
            </w:r>
            <w:r>
              <w:rPr>
                <w:rFonts w:ascii="Times New Roman" w:eastAsiaTheme="minorEastAsia" w:hAnsi="Times New Roman" w:cs="Times New Roman"/>
              </w:rPr>
              <w:t xml:space="preserve">. </w:t>
            </w:r>
            <w:r w:rsidRPr="00310D8F">
              <w:rPr>
                <w:rFonts w:ascii="Times New Roman" w:hAnsi="Times New Roman" w:cs="Times New Roman"/>
              </w:rPr>
              <w:t>Number of years a new-born infant could expect to live if prevailing patterns of age-specific mortality rates at the time of birth stay the same throughout the infant’s life.</w:t>
            </w:r>
          </w:p>
        </w:tc>
        <w:tc>
          <w:tcPr>
            <w:tcW w:w="1276" w:type="dxa"/>
            <w:tcBorders>
              <w:left w:val="nil"/>
              <w:bottom w:val="nil"/>
            </w:tcBorders>
          </w:tcPr>
          <w:p w:rsidR="007A3F63" w:rsidRPr="00310D8F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UNDP HDR 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</w:rPr>
                  <m:t>gini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310D8F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 xml:space="preserve">Gini_mkt. </w:t>
            </w:r>
            <w:r>
              <w:rPr>
                <w:rFonts w:ascii="Times New Roman" w:eastAsiaTheme="minorEastAsia" w:hAnsi="Times New Roman" w:cs="Times New Roman"/>
              </w:rPr>
              <w:t>Estimate of Gini index of Inequality in equivalised (square root scale) household market (pre-tax, pre-transfer) income.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Pr="00071546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SWIID 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edin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6C6B26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>Education Index</w:t>
            </w:r>
            <w:r>
              <w:rPr>
                <w:rFonts w:ascii="Times New Roman" w:eastAsiaTheme="minorEastAsia" w:hAnsi="Times New Roman" w:cs="Times New Roman"/>
              </w:rPr>
              <w:t>. A</w:t>
            </w:r>
            <w:r w:rsidRPr="00F23B74">
              <w:rPr>
                <w:rFonts w:ascii="Times New Roman" w:hAnsi="Times New Roman" w:cs="Times New Roman"/>
                <w:sz w:val="24"/>
                <w:szCs w:val="24"/>
              </w:rPr>
              <w:t>n average of mean years of schooling (of adults) and expected years of schooling (of children), both expressed as an index obtained by scaling with the corresponding maxima.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UNDP HDR </w:t>
            </w:r>
          </w:p>
          <w:p w:rsidR="007A3F63" w:rsidRPr="00071546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</w:rPr>
                  <m:t>afr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D30B77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Adolescent fertility rate. </w:t>
            </w:r>
            <w:r>
              <w:rPr>
                <w:rFonts w:ascii="Times New Roman" w:hAnsi="Times New Roman" w:cs="Times New Roman"/>
              </w:rPr>
              <w:t>It is described as the b</w:t>
            </w:r>
            <w:r w:rsidRPr="00FA197D">
              <w:rPr>
                <w:rFonts w:ascii="Times New Roman" w:hAnsi="Times New Roman" w:cs="Times New Roman"/>
              </w:rPr>
              <w:t>irths per 1000 women ages 15-19.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197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</w:rPr>
            </w:pPr>
            <w:r w:rsidRPr="00DA1DFA">
              <w:rPr>
                <w:rFonts w:ascii="Times New Roman" w:eastAsiaTheme="minorEastAsia" w:hAnsi="Times New Roman" w:cs="Times New Roman"/>
              </w:rPr>
              <w:t>The World Bank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</w:rPr>
                  <m:t>heaexpen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D30B77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8124E7">
              <w:rPr>
                <w:rFonts w:ascii="Times New Roman" w:eastAsiaTheme="minorEastAsia" w:hAnsi="Times New Roman" w:cs="Times New Roman"/>
                <w:i/>
                <w:iCs/>
              </w:rPr>
              <w:t>Health expenditure, Total (% of GDP)</w:t>
            </w:r>
            <w:r>
              <w:rPr>
                <w:rFonts w:ascii="Times New Roman" w:eastAsiaTheme="minorEastAsia" w:hAnsi="Times New Roman" w:cs="Times New Roman"/>
              </w:rPr>
              <w:t xml:space="preserve">. </w:t>
            </w:r>
            <w:r>
              <w:rPr>
                <w:rFonts w:ascii="Arial" w:hAnsi="Arial" w:cs="Arial"/>
                <w:color w:val="333333"/>
                <w:sz w:val="19"/>
                <w:szCs w:val="19"/>
              </w:rPr>
              <w:t> S</w:t>
            </w:r>
            <w:r w:rsidRPr="008124E7">
              <w:rPr>
                <w:rFonts w:ascii="Times New Roman" w:hAnsi="Times New Roman" w:cs="Times New Roman"/>
                <w:color w:val="333333"/>
              </w:rPr>
              <w:t>um of public and private health expenditure.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Pr="00D30B77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hAnsi="Times New Roman" w:cs="Times New Roman"/>
              </w:rPr>
            </w:pPr>
            <w:r w:rsidRPr="00DA1DFA">
              <w:rPr>
                <w:rFonts w:ascii="Times New Roman" w:eastAsiaTheme="minorEastAsia" w:hAnsi="Times New Roman" w:cs="Times New Roman"/>
              </w:rPr>
              <w:t>The World Bank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gdppc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67535F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>Real GDP Per Capita (thousand)</w:t>
            </w:r>
            <w:r w:rsidRPr="0067535F">
              <w:rPr>
                <w:rFonts w:ascii="Times New Roman" w:eastAsiaTheme="minorEastAsia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Output</w:t>
            </w:r>
            <w:r w:rsidRPr="00036518">
              <w:rPr>
                <w:rFonts w:ascii="Times New Roman" w:hAnsi="Times New Roman" w:cs="Times New Roman"/>
                <w:sz w:val="24"/>
                <w:szCs w:val="24"/>
              </w:rPr>
              <w:t xml:space="preserve">-side real GDP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 capita in USD.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Pr="0067535F" w:rsidRDefault="007A3F63" w:rsidP="00FB6978">
            <w:pPr>
              <w:tabs>
                <w:tab w:val="left" w:pos="2643"/>
              </w:tabs>
              <w:spacing w:line="312" w:lineRule="auto"/>
              <w:jc w:val="center"/>
            </w:pPr>
            <w:r>
              <w:rPr>
                <w:rFonts w:ascii="Times New Roman" w:eastAsiaTheme="minorEastAsia" w:hAnsi="Times New Roman" w:cs="Times New Roman"/>
              </w:rPr>
              <w:t>Penn World Table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</w:rPr>
                  <m:t>saf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5E022C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 xml:space="preserve">People using at least basic drinking water services (% of population). </w:t>
            </w:r>
            <w:r w:rsidRPr="005E022C">
              <w:rPr>
                <w:rFonts w:ascii="Times New Roman" w:hAnsi="Times New Roman" w:cs="Times New Roman"/>
              </w:rPr>
              <w:t>The percentage of people using at least basic water services.</w:t>
            </w:r>
            <w:r>
              <w:rPr>
                <w:rFonts w:ascii="Open Sans" w:hAnsi="Open Sans" w:cs="Open Sans"/>
                <w:color w:val="666666"/>
                <w:shd w:val="clear" w:color="auto" w:fill="F6F6F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</w:rPr>
            </w:pPr>
            <w:r w:rsidRPr="00DA1DFA">
              <w:rPr>
                <w:rFonts w:ascii="Times New Roman" w:eastAsiaTheme="minorEastAsia" w:hAnsi="Times New Roman" w:cs="Times New Roman"/>
              </w:rPr>
              <w:t>The World Bank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regsc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C56718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 xml:space="preserve">Regime authority characteristics. </w:t>
            </w:r>
            <w:r>
              <w:rPr>
                <w:rFonts w:ascii="Times New Roman" w:eastAsiaTheme="minorEastAsia" w:hAnsi="Times New Roman" w:cs="Times New Roman"/>
              </w:rPr>
              <w:t>Democratic and autocratic patterns of authority and regime change.</w:t>
            </w:r>
            <w:r>
              <w:rPr>
                <w:rFonts w:ascii="Times New Roman" w:eastAsiaTheme="minorEastAsia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Polity 5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urb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bottom w:val="nil"/>
              <w:right w:val="nil"/>
            </w:tcBorders>
          </w:tcPr>
          <w:p w:rsidR="007A3F63" w:rsidRPr="00C56718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  <w:i/>
                <w:iCs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>Urban population (% of total population).</w:t>
            </w:r>
            <w:r>
              <w:rPr>
                <w:rFonts w:ascii="Open Sans" w:hAnsi="Open Sans" w:cs="Open Sans"/>
                <w:color w:val="333333"/>
                <w:sz w:val="18"/>
                <w:szCs w:val="18"/>
                <w:shd w:val="clear" w:color="auto" w:fill="FFFFFF"/>
              </w:rPr>
              <w:t> </w:t>
            </w:r>
            <w:r w:rsidRPr="0078177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People living in urban areas as defined by national statistical offices.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:rsidR="007A3F63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DA1DFA">
              <w:rPr>
                <w:rFonts w:ascii="Times New Roman" w:eastAsiaTheme="minorEastAsia" w:hAnsi="Times New Roman" w:cs="Times New Roman"/>
              </w:rPr>
              <w:t>The World Bank</w:t>
            </w:r>
          </w:p>
        </w:tc>
      </w:tr>
      <w:tr w:rsidR="007A3F63" w:rsidTr="00FB6978">
        <w:tc>
          <w:tcPr>
            <w:tcW w:w="1158" w:type="dxa"/>
            <w:tcBorders>
              <w:top w:val="nil"/>
              <w:right w:val="nil"/>
            </w:tcBorders>
          </w:tcPr>
          <w:p w:rsidR="007A3F63" w:rsidRPr="00A71889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Calibri" w:eastAsia="Calibri" w:hAnsi="Calibri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</w:rPr>
                  <m:t>ag</m:t>
                </m:r>
              </m:oMath>
            </m:oMathPara>
          </w:p>
        </w:tc>
        <w:tc>
          <w:tcPr>
            <w:tcW w:w="6592" w:type="dxa"/>
            <w:tcBorders>
              <w:top w:val="nil"/>
              <w:left w:val="nil"/>
              <w:right w:val="nil"/>
            </w:tcBorders>
          </w:tcPr>
          <w:p w:rsidR="007A3F63" w:rsidRPr="00F23B74" w:rsidRDefault="007A3F63" w:rsidP="00FB6978">
            <w:pPr>
              <w:tabs>
                <w:tab w:val="left" w:pos="2643"/>
              </w:tabs>
              <w:spacing w:line="312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</w:rPr>
              <w:t xml:space="preserve">Agricultural land per capita. </w:t>
            </w:r>
            <w:r w:rsidRPr="000A3B37">
              <w:rPr>
                <w:rFonts w:ascii="Times New Roman" w:eastAsiaTheme="minorEastAsia" w:hAnsi="Times New Roman" w:cs="Times New Roman"/>
              </w:rPr>
              <w:t>UN FAO</w:t>
            </w:r>
            <w:r w:rsidRPr="000A3B37">
              <w:rPr>
                <w:rFonts w:ascii="Times New Roman" w:eastAsiaTheme="minorEastAsia" w:hAnsi="Times New Roman" w:cs="Times New Roman"/>
                <w:i/>
                <w:iCs/>
              </w:rPr>
              <w:t xml:space="preserve"> has</w:t>
            </w:r>
            <w:r w:rsidRPr="000A3B37">
              <w:rPr>
                <w:rFonts w:ascii="Times New Roman" w:hAnsi="Times New Roman" w:cs="Times New Roman"/>
                <w:color w:val="333333"/>
              </w:rPr>
              <w:t xml:space="preserve"> calculated per capita figures for the three land use metrics: "Agricultural land", "Cropland" and "Permanent meadows and pastures". To do so we divided these metrics by the 'Total population – both sexes" metric in the FAO Statistical Database</w:t>
            </w:r>
            <w:r>
              <w:rPr>
                <w:rFonts w:ascii="Arial" w:hAnsi="Arial" w:cs="Arial"/>
                <w:color w:val="333333"/>
                <w:sz w:val="19"/>
                <w:szCs w:val="19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</w:tcBorders>
          </w:tcPr>
          <w:p w:rsidR="007A3F63" w:rsidRDefault="007A3F63" w:rsidP="00FB6978">
            <w:pPr>
              <w:tabs>
                <w:tab w:val="left" w:pos="2643"/>
              </w:tabs>
              <w:spacing w:line="312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UN FAO</w:t>
            </w:r>
          </w:p>
        </w:tc>
      </w:tr>
    </w:tbl>
    <w:p w:rsidR="007A3F63" w:rsidRDefault="007A3F63" w:rsidP="007A3F63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A2BEF" w:rsidRDefault="00AA2BEF">
      <w:bookmarkStart w:id="1" w:name="_GoBack"/>
      <w:bookmarkEnd w:id="1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Myriad Pro Cond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F63"/>
    <w:rsid w:val="007A3F63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6B3AD1-7DAF-471C-B53E-3E99138DA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F6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3F6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2021-10-12T09:08:00Z</dcterms:created>
  <dcterms:modified xsi:type="dcterms:W3CDTF">2021-10-12T09:08:00Z</dcterms:modified>
</cp:coreProperties>
</file>