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5118" w14:textId="5EE585B6" w:rsidR="0010727E" w:rsidRDefault="0010727E" w:rsidP="00B06BA2">
      <w:pPr>
        <w:jc w:val="center"/>
        <w:rPr>
          <w:b/>
          <w:sz w:val="32"/>
        </w:rPr>
      </w:pPr>
      <w:r>
        <w:rPr>
          <w:b/>
          <w:sz w:val="32"/>
        </w:rPr>
        <w:t>National Burden and Prognostic Impact of Multi</w:t>
      </w:r>
      <w:r w:rsidR="00237495">
        <w:rPr>
          <w:b/>
          <w:sz w:val="32"/>
        </w:rPr>
        <w:t>-</w:t>
      </w:r>
      <w:r>
        <w:rPr>
          <w:b/>
          <w:sz w:val="32"/>
        </w:rPr>
        <w:t xml:space="preserve">Organ Failure in Acute Decompensated Heart Failure: </w:t>
      </w:r>
      <w:r w:rsidRPr="0010727E">
        <w:rPr>
          <w:b/>
          <w:sz w:val="32"/>
        </w:rPr>
        <w:t>A National Inpatient Sample Analysis</w:t>
      </w:r>
    </w:p>
    <w:p w14:paraId="0C298FC1" w14:textId="77777777" w:rsidR="00B139EB" w:rsidRDefault="00B139EB" w:rsidP="00B06BA2">
      <w:pPr>
        <w:jc w:val="center"/>
        <w:rPr>
          <w:b/>
          <w:sz w:val="32"/>
        </w:rPr>
      </w:pPr>
    </w:p>
    <w:p w14:paraId="132A5B5E" w14:textId="77777777" w:rsidR="00B139EB" w:rsidRDefault="00B139EB" w:rsidP="00B06BA2">
      <w:pPr>
        <w:jc w:val="center"/>
        <w:rPr>
          <w:b/>
          <w:sz w:val="32"/>
        </w:rPr>
      </w:pPr>
    </w:p>
    <w:p w14:paraId="579791CC" w14:textId="317C9344" w:rsidR="0088610F" w:rsidRDefault="0088610F" w:rsidP="00B06BA2">
      <w:pPr>
        <w:jc w:val="center"/>
      </w:pPr>
      <w:r>
        <w:rPr>
          <w:b/>
          <w:sz w:val="32"/>
        </w:rPr>
        <w:t>Supplementary Appendix</w:t>
      </w:r>
    </w:p>
    <w:p w14:paraId="7789E6CD" w14:textId="77777777" w:rsidR="0010727E" w:rsidRDefault="0010727E" w:rsidP="0010727E">
      <w:pPr>
        <w:spacing w:after="0"/>
        <w:jc w:val="center"/>
      </w:pPr>
    </w:p>
    <w:p w14:paraId="38F6A8D8" w14:textId="77777777" w:rsidR="0010727E" w:rsidRDefault="0010727E" w:rsidP="0010727E">
      <w:pPr>
        <w:spacing w:after="0"/>
        <w:jc w:val="center"/>
      </w:pPr>
    </w:p>
    <w:p w14:paraId="59BC36F5" w14:textId="77777777" w:rsidR="0010727E" w:rsidRDefault="0010727E" w:rsidP="0010727E">
      <w:pPr>
        <w:spacing w:after="0"/>
        <w:jc w:val="center"/>
      </w:pPr>
    </w:p>
    <w:p w14:paraId="0DB69DAA" w14:textId="77777777" w:rsidR="0010727E" w:rsidRDefault="0010727E" w:rsidP="0010727E">
      <w:pPr>
        <w:spacing w:after="0"/>
        <w:jc w:val="center"/>
      </w:pPr>
    </w:p>
    <w:p w14:paraId="5E05F549" w14:textId="77777777" w:rsidR="0010727E" w:rsidRDefault="0010727E" w:rsidP="0010727E">
      <w:pPr>
        <w:spacing w:after="0"/>
        <w:jc w:val="center"/>
      </w:pPr>
    </w:p>
    <w:p w14:paraId="7DB6C0B0" w14:textId="77777777" w:rsidR="0010727E" w:rsidRDefault="0010727E" w:rsidP="0010727E">
      <w:pPr>
        <w:spacing w:after="0"/>
        <w:jc w:val="center"/>
      </w:pPr>
    </w:p>
    <w:p w14:paraId="2DCC1A35" w14:textId="77777777" w:rsidR="0010727E" w:rsidRDefault="0010727E" w:rsidP="0010727E">
      <w:pPr>
        <w:spacing w:after="0"/>
        <w:jc w:val="center"/>
      </w:pPr>
    </w:p>
    <w:p w14:paraId="105848BC" w14:textId="77777777" w:rsidR="0010727E" w:rsidRDefault="0010727E" w:rsidP="0010727E">
      <w:pPr>
        <w:spacing w:after="0"/>
        <w:jc w:val="center"/>
      </w:pPr>
    </w:p>
    <w:p w14:paraId="42EF7B9D" w14:textId="77777777" w:rsidR="0010727E" w:rsidRDefault="0010727E" w:rsidP="0010727E">
      <w:pPr>
        <w:spacing w:after="0"/>
        <w:jc w:val="center"/>
      </w:pPr>
    </w:p>
    <w:p w14:paraId="7D3704A8" w14:textId="77777777" w:rsidR="0010727E" w:rsidRDefault="0010727E" w:rsidP="0010727E">
      <w:pPr>
        <w:spacing w:after="0"/>
        <w:jc w:val="center"/>
      </w:pPr>
    </w:p>
    <w:p w14:paraId="2445E260" w14:textId="77777777" w:rsidR="00B139EB" w:rsidRDefault="00B139EB" w:rsidP="0010727E">
      <w:pPr>
        <w:spacing w:after="0"/>
        <w:jc w:val="center"/>
      </w:pPr>
    </w:p>
    <w:p w14:paraId="0D860403" w14:textId="77777777" w:rsidR="0010727E" w:rsidRDefault="0010727E" w:rsidP="0010727E">
      <w:pPr>
        <w:spacing w:after="0"/>
        <w:jc w:val="center"/>
      </w:pPr>
    </w:p>
    <w:p w14:paraId="6E30590B" w14:textId="77777777" w:rsidR="0010727E" w:rsidRDefault="0010727E" w:rsidP="0010727E">
      <w:pPr>
        <w:spacing w:after="0"/>
        <w:jc w:val="center"/>
      </w:pPr>
    </w:p>
    <w:p w14:paraId="365160E5" w14:textId="77777777" w:rsidR="0010727E" w:rsidRDefault="0010727E" w:rsidP="0010727E">
      <w:pPr>
        <w:spacing w:after="0"/>
        <w:jc w:val="center"/>
      </w:pPr>
    </w:p>
    <w:p w14:paraId="2658AA1B" w14:textId="77777777" w:rsidR="0088610F" w:rsidRDefault="0088610F" w:rsidP="00C576E0">
      <w:pPr>
        <w:spacing w:after="0"/>
      </w:pPr>
    </w:p>
    <w:p w14:paraId="2E90E8F5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7871E119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6E72C0AF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76FBE42D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5F5114E5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1D5AD0E9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59AE5362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15ABC471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6942B911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2D02FD9A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19E40193" w14:textId="77777777" w:rsidR="00B139EB" w:rsidRDefault="00B139EB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229490A9" w14:textId="66C7CBD8" w:rsidR="00C576E0" w:rsidRPr="00C576E0" w:rsidRDefault="00C576E0" w:rsidP="00C576E0">
      <w:pPr>
        <w:spacing w:after="0"/>
        <w:rPr>
          <w:rFonts w:asciiTheme="majorHAnsi" w:hAnsiTheme="majorHAnsi"/>
          <w:b/>
          <w:bCs/>
          <w:sz w:val="28"/>
          <w:szCs w:val="28"/>
        </w:rPr>
      </w:pPr>
      <w:r w:rsidRPr="00C576E0">
        <w:rPr>
          <w:rFonts w:asciiTheme="majorHAnsi" w:hAnsiTheme="majorHAnsi"/>
          <w:b/>
          <w:bCs/>
          <w:sz w:val="28"/>
          <w:szCs w:val="28"/>
        </w:rPr>
        <w:lastRenderedPageBreak/>
        <w:t>Supplemental Methods</w:t>
      </w:r>
    </w:p>
    <w:p w14:paraId="387E681B" w14:textId="77777777" w:rsidR="00C576E0" w:rsidRPr="00C576E0" w:rsidRDefault="00C576E0" w:rsidP="00C576E0">
      <w:pPr>
        <w:spacing w:after="0"/>
        <w:rPr>
          <w:rFonts w:asciiTheme="majorHAnsi" w:hAnsiTheme="majorHAnsi"/>
          <w:b/>
          <w:bCs/>
        </w:rPr>
      </w:pPr>
      <w:r w:rsidRPr="00C576E0">
        <w:rPr>
          <w:rFonts w:asciiTheme="majorHAnsi" w:hAnsiTheme="majorHAnsi"/>
          <w:b/>
          <w:bCs/>
        </w:rPr>
        <w:t>Data source and study design</w:t>
      </w:r>
    </w:p>
    <w:p w14:paraId="646C9CF0" w14:textId="77777777" w:rsidR="00C576E0" w:rsidRPr="00C576E0" w:rsidRDefault="00C576E0" w:rsidP="00C576E0">
      <w:p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We conducted a retrospective cross-sectional study using the 2017–2021 National Inpatient Sample (NIS), a nationally representative 20% stratified sample of U.S. community-hospital discharges. All analyses incorporated NIS survey weights, hospital strata, and cluster design variables to generate national estimates. The main manuscript prespecified additional exact-count, phenotype interaction, sensitivity, and combination analyses, which are detailed below. </w:t>
      </w:r>
    </w:p>
    <w:p w14:paraId="7E8EADC1" w14:textId="77777777" w:rsidR="00C576E0" w:rsidRDefault="00C576E0" w:rsidP="00C576E0">
      <w:pPr>
        <w:spacing w:after="0"/>
        <w:rPr>
          <w:rFonts w:asciiTheme="majorHAnsi" w:hAnsiTheme="majorHAnsi"/>
          <w:b/>
          <w:bCs/>
        </w:rPr>
      </w:pPr>
    </w:p>
    <w:p w14:paraId="35CD87D1" w14:textId="1472435B" w:rsidR="00C576E0" w:rsidRPr="00C576E0" w:rsidRDefault="00C576E0" w:rsidP="00C576E0">
      <w:pPr>
        <w:spacing w:after="0"/>
        <w:rPr>
          <w:rFonts w:asciiTheme="majorHAnsi" w:hAnsiTheme="majorHAnsi"/>
          <w:b/>
          <w:bCs/>
        </w:rPr>
      </w:pPr>
      <w:r w:rsidRPr="00C576E0">
        <w:rPr>
          <w:rFonts w:asciiTheme="majorHAnsi" w:hAnsiTheme="majorHAnsi"/>
          <w:b/>
          <w:bCs/>
        </w:rPr>
        <w:t>Study cohort and heart failure phenotype</w:t>
      </w:r>
    </w:p>
    <w:p w14:paraId="28E03498" w14:textId="77777777" w:rsidR="00C576E0" w:rsidRPr="00C576E0" w:rsidRDefault="00C576E0" w:rsidP="00C576E0">
      <w:p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The analytic cohort included adult hospitalizations (age ≥18 years) with a strict principal diagnosis of acute decompensated heart failure (ADHF) defined by ICD-10-CM codes I50.21, I50.23, I50.31, I50.33, I50.41, I50.43, I50.811, and I50.813. Heart failure phenotype was assigned from the principal I50 subcode as </w:t>
      </w:r>
      <w:proofErr w:type="spellStart"/>
      <w:r w:rsidRPr="00C576E0">
        <w:rPr>
          <w:rFonts w:asciiTheme="majorHAnsi" w:hAnsiTheme="majorHAnsi"/>
        </w:rPr>
        <w:t>HFrEF</w:t>
      </w:r>
      <w:proofErr w:type="spellEnd"/>
      <w:r w:rsidRPr="00C576E0">
        <w:rPr>
          <w:rFonts w:asciiTheme="majorHAnsi" w:hAnsiTheme="majorHAnsi"/>
        </w:rPr>
        <w:t xml:space="preserve"> (I50.2x or I50.4x), HFpEF (I50.3x), or other/unspecified HF. </w:t>
      </w:r>
    </w:p>
    <w:p w14:paraId="7B03302F" w14:textId="77777777" w:rsidR="00C576E0" w:rsidRDefault="00C576E0" w:rsidP="00C576E0">
      <w:pPr>
        <w:spacing w:after="0"/>
        <w:rPr>
          <w:rFonts w:asciiTheme="majorHAnsi" w:hAnsiTheme="majorHAnsi"/>
          <w:b/>
          <w:bCs/>
        </w:rPr>
      </w:pPr>
    </w:p>
    <w:p w14:paraId="3C4E72A0" w14:textId="42ACD20E" w:rsidR="00C576E0" w:rsidRPr="00C576E0" w:rsidRDefault="00C576E0" w:rsidP="00C576E0">
      <w:pPr>
        <w:spacing w:after="0"/>
        <w:rPr>
          <w:rFonts w:asciiTheme="majorHAnsi" w:hAnsiTheme="majorHAnsi"/>
          <w:b/>
          <w:bCs/>
        </w:rPr>
      </w:pPr>
      <w:r w:rsidRPr="00C576E0">
        <w:rPr>
          <w:rFonts w:asciiTheme="majorHAnsi" w:hAnsiTheme="majorHAnsi"/>
          <w:b/>
          <w:bCs/>
        </w:rPr>
        <w:t>Administrative definitions of organ failure and advanced support</w:t>
      </w:r>
    </w:p>
    <w:p w14:paraId="289041F0" w14:textId="77777777" w:rsidR="00C576E0" w:rsidRPr="00C576E0" w:rsidRDefault="00C576E0" w:rsidP="00C576E0">
      <w:p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>Administrative-code algorithms were applied across all diagnosis fields (I10_DX1–I10_DX40) and all procedure fields (I10_PR1–I10_PR25). Organ-failure categories were defined as follows:</w:t>
      </w:r>
    </w:p>
    <w:p w14:paraId="413E578C" w14:textId="77777777" w:rsidR="00C576E0" w:rsidRPr="00C576E0" w:rsidRDefault="00C576E0" w:rsidP="00C576E0">
      <w:pPr>
        <w:numPr>
          <w:ilvl w:val="0"/>
          <w:numId w:val="2"/>
        </w:num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>Renal failure: any diagnosis of acute kidney failure (N</w:t>
      </w:r>
      <w:proofErr w:type="gramStart"/>
      <w:r w:rsidRPr="00C576E0">
        <w:rPr>
          <w:rFonts w:asciiTheme="majorHAnsi" w:hAnsiTheme="majorHAnsi"/>
        </w:rPr>
        <w:t>17.*</w:t>
      </w:r>
      <w:proofErr w:type="gramEnd"/>
      <w:r w:rsidRPr="00C576E0">
        <w:rPr>
          <w:rFonts w:asciiTheme="majorHAnsi" w:hAnsiTheme="majorHAnsi"/>
        </w:rPr>
        <w:t xml:space="preserve">), or receipt of acute renal replacement therapy (5A1D70Z, 5A1D80Z, 5A1D90Z) </w:t>
      </w:r>
    </w:p>
    <w:p w14:paraId="0FB17B04" w14:textId="77777777" w:rsidR="00C576E0" w:rsidRPr="00C576E0" w:rsidRDefault="00C576E0" w:rsidP="00C576E0">
      <w:pPr>
        <w:numPr>
          <w:ilvl w:val="0"/>
          <w:numId w:val="2"/>
        </w:num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Respiratory failure: any diagnosis of acute respiratory failure or acute-on-chronic respiratory failure (J96.0x, J96.2x), acute respiratory distress syndrome (J80), or receipt of invasive mechanical ventilation (5A1935Z, 5A1945Z, 5A1955Z) </w:t>
      </w:r>
    </w:p>
    <w:p w14:paraId="26C9042C" w14:textId="77777777" w:rsidR="00C576E0" w:rsidRPr="00C576E0" w:rsidRDefault="00C576E0" w:rsidP="00C576E0">
      <w:pPr>
        <w:numPr>
          <w:ilvl w:val="0"/>
          <w:numId w:val="2"/>
        </w:num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Hepatic failure: acute/subacute hepatic failure (K72.0x) </w:t>
      </w:r>
    </w:p>
    <w:p w14:paraId="08B1DCE9" w14:textId="77777777" w:rsidR="00C576E0" w:rsidRPr="00C576E0" w:rsidRDefault="00C576E0" w:rsidP="00C576E0">
      <w:pPr>
        <w:numPr>
          <w:ilvl w:val="0"/>
          <w:numId w:val="2"/>
        </w:num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Neurologic failure: encephalopathy (G93.4x) </w:t>
      </w:r>
    </w:p>
    <w:p w14:paraId="2A7490B7" w14:textId="77777777" w:rsidR="00C576E0" w:rsidRPr="00C576E0" w:rsidRDefault="00C576E0" w:rsidP="00C576E0">
      <w:pPr>
        <w:numPr>
          <w:ilvl w:val="0"/>
          <w:numId w:val="2"/>
        </w:num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Coagulopathic failure: disseminated intravascular coagulation (D65) </w:t>
      </w:r>
    </w:p>
    <w:p w14:paraId="54E08D8D" w14:textId="77777777" w:rsidR="00C576E0" w:rsidRPr="00C576E0" w:rsidRDefault="00C576E0" w:rsidP="00C576E0">
      <w:pPr>
        <w:numPr>
          <w:ilvl w:val="0"/>
          <w:numId w:val="2"/>
        </w:num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>Shock-related failure: shock (R</w:t>
      </w:r>
      <w:proofErr w:type="gramStart"/>
      <w:r w:rsidRPr="00C576E0">
        <w:rPr>
          <w:rFonts w:asciiTheme="majorHAnsi" w:hAnsiTheme="majorHAnsi"/>
        </w:rPr>
        <w:t>57.*</w:t>
      </w:r>
      <w:proofErr w:type="gramEnd"/>
      <w:r w:rsidRPr="00C576E0">
        <w:rPr>
          <w:rFonts w:asciiTheme="majorHAnsi" w:hAnsiTheme="majorHAnsi"/>
        </w:rPr>
        <w:t xml:space="preserve"> or R65.21) </w:t>
      </w:r>
    </w:p>
    <w:p w14:paraId="45A34898" w14:textId="77777777" w:rsidR="00C576E0" w:rsidRPr="00C576E0" w:rsidRDefault="00C576E0" w:rsidP="00C576E0">
      <w:p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>Overall organ-failure burden was summarized both as an exact count of failing organ systems and as a categorical burden variable grouped as 0, 1, or ≥2 failing organs. A capped exact-count variable was additionally created as 0, 1, 2, 3, or 4+ failing organs for dose-response modeling.</w:t>
      </w:r>
    </w:p>
    <w:p w14:paraId="2A6B0A8B" w14:textId="77777777" w:rsidR="00C576E0" w:rsidRDefault="00C576E0" w:rsidP="00C576E0">
      <w:pPr>
        <w:spacing w:after="0"/>
        <w:rPr>
          <w:rFonts w:asciiTheme="majorHAnsi" w:hAnsiTheme="majorHAnsi"/>
          <w:b/>
          <w:bCs/>
        </w:rPr>
      </w:pPr>
    </w:p>
    <w:p w14:paraId="40CD6275" w14:textId="77777777" w:rsidR="00C576E0" w:rsidRDefault="00C576E0" w:rsidP="00C576E0">
      <w:pPr>
        <w:spacing w:after="0"/>
        <w:rPr>
          <w:rFonts w:asciiTheme="majorHAnsi" w:hAnsiTheme="majorHAnsi"/>
          <w:b/>
          <w:bCs/>
        </w:rPr>
      </w:pPr>
    </w:p>
    <w:p w14:paraId="17FDF123" w14:textId="77777777" w:rsidR="00C576E0" w:rsidRDefault="00C576E0" w:rsidP="00C576E0">
      <w:pPr>
        <w:spacing w:after="0"/>
        <w:rPr>
          <w:rFonts w:asciiTheme="majorHAnsi" w:hAnsiTheme="majorHAnsi"/>
          <w:b/>
          <w:bCs/>
        </w:rPr>
      </w:pPr>
    </w:p>
    <w:p w14:paraId="3A3073D8" w14:textId="77777777" w:rsidR="00C576E0" w:rsidRDefault="00C576E0" w:rsidP="00C576E0">
      <w:pPr>
        <w:spacing w:after="0"/>
        <w:rPr>
          <w:rFonts w:asciiTheme="majorHAnsi" w:hAnsiTheme="majorHAnsi"/>
          <w:b/>
          <w:bCs/>
        </w:rPr>
      </w:pPr>
    </w:p>
    <w:p w14:paraId="1661132B" w14:textId="77777777" w:rsidR="00B047CC" w:rsidRDefault="00B047CC" w:rsidP="00C576E0">
      <w:pPr>
        <w:spacing w:after="0"/>
        <w:rPr>
          <w:rFonts w:asciiTheme="majorHAnsi" w:hAnsiTheme="majorHAnsi"/>
          <w:b/>
          <w:bCs/>
        </w:rPr>
      </w:pPr>
    </w:p>
    <w:p w14:paraId="65C36369" w14:textId="77777777" w:rsidR="0088610F" w:rsidRDefault="0088610F" w:rsidP="00C576E0">
      <w:pPr>
        <w:spacing w:after="0"/>
        <w:rPr>
          <w:rFonts w:asciiTheme="majorHAnsi" w:hAnsiTheme="majorHAnsi"/>
          <w:b/>
          <w:bCs/>
        </w:rPr>
      </w:pPr>
    </w:p>
    <w:p w14:paraId="3B87D3CA" w14:textId="77777777" w:rsidR="0088610F" w:rsidRDefault="0088610F" w:rsidP="00C576E0">
      <w:pPr>
        <w:spacing w:after="0"/>
        <w:rPr>
          <w:rFonts w:asciiTheme="majorHAnsi" w:hAnsiTheme="majorHAnsi"/>
          <w:b/>
          <w:bCs/>
        </w:rPr>
      </w:pPr>
    </w:p>
    <w:p w14:paraId="0A06B7ED" w14:textId="77777777" w:rsidR="00B139EB" w:rsidRDefault="00B139EB" w:rsidP="00C576E0">
      <w:pPr>
        <w:spacing w:after="0"/>
        <w:rPr>
          <w:rFonts w:asciiTheme="majorHAnsi" w:hAnsiTheme="majorHAnsi"/>
          <w:b/>
          <w:bCs/>
        </w:rPr>
      </w:pPr>
    </w:p>
    <w:p w14:paraId="2424B80D" w14:textId="5B1D31A7" w:rsidR="00C576E0" w:rsidRPr="00C576E0" w:rsidRDefault="00C576E0" w:rsidP="00C576E0">
      <w:pPr>
        <w:spacing w:after="0"/>
        <w:rPr>
          <w:rFonts w:asciiTheme="majorHAnsi" w:hAnsiTheme="majorHAnsi"/>
          <w:b/>
          <w:bCs/>
        </w:rPr>
      </w:pPr>
      <w:r w:rsidRPr="00C576E0">
        <w:rPr>
          <w:rFonts w:asciiTheme="majorHAnsi" w:hAnsiTheme="majorHAnsi"/>
          <w:b/>
          <w:bCs/>
        </w:rPr>
        <w:lastRenderedPageBreak/>
        <w:t>Outcomes and modeling</w:t>
      </w:r>
    </w:p>
    <w:p w14:paraId="5F3672D0" w14:textId="3122F39D" w:rsidR="00C576E0" w:rsidRPr="00C576E0" w:rsidRDefault="00C576E0" w:rsidP="00C576E0">
      <w:pPr>
        <w:spacing w:after="0"/>
        <w:rPr>
          <w:rFonts w:asciiTheme="majorHAnsi" w:hAnsiTheme="majorHAnsi"/>
        </w:rPr>
      </w:pPr>
      <w:r w:rsidRPr="00C576E0">
        <w:rPr>
          <w:rFonts w:asciiTheme="majorHAnsi" w:hAnsiTheme="majorHAnsi"/>
        </w:rPr>
        <w:t xml:space="preserve">The primary outcome was in-hospital mortality. Secondary outcomes included length of stay, hospital cost, and non-home discharge. Non-home discharge was defined as DISPUNIFORM 2, 5, or 6, with routine home discharge (DISPUNIFORM 1) as the reference category. Cost analyses were limited to admissions with </w:t>
      </w:r>
      <w:proofErr w:type="spellStart"/>
      <w:r w:rsidRPr="00C576E0">
        <w:rPr>
          <w:rFonts w:asciiTheme="majorHAnsi" w:hAnsiTheme="majorHAnsi"/>
        </w:rPr>
        <w:t>nonmissing</w:t>
      </w:r>
      <w:proofErr w:type="spellEnd"/>
      <w:r w:rsidRPr="00C576E0">
        <w:rPr>
          <w:rFonts w:asciiTheme="majorHAnsi" w:hAnsiTheme="majorHAnsi"/>
        </w:rPr>
        <w:t xml:space="preserve"> cost estimates. Survey-weighted logistic regression was used for mortality and non-home discharge. Prespecified extension analyses included phenotype interaction testing, exclusion of shock admissions, exclusion of admissions requiring invasive mechanical ventilation or acute renal replacement therapy, and characterization of common multi-organ combinations. The primary covariate set was identical to the main manuscript: HF phenotype, age, sex, race, primary payer, </w:t>
      </w:r>
      <w:proofErr w:type="spellStart"/>
      <w:r w:rsidRPr="00C576E0">
        <w:rPr>
          <w:rFonts w:asciiTheme="majorHAnsi" w:hAnsiTheme="majorHAnsi"/>
        </w:rPr>
        <w:t>Elixhauser</w:t>
      </w:r>
      <w:proofErr w:type="spellEnd"/>
      <w:r w:rsidRPr="00C576E0">
        <w:rPr>
          <w:rFonts w:asciiTheme="majorHAnsi" w:hAnsiTheme="majorHAnsi"/>
        </w:rPr>
        <w:t xml:space="preserve"> comorbidity burden, APR-DRG severity subclass, hospital teaching/location status, hospital bed size, hospital region, and calendar year.</w:t>
      </w:r>
    </w:p>
    <w:p w14:paraId="70BD927D" w14:textId="77777777" w:rsidR="00D37256" w:rsidRDefault="00D37256" w:rsidP="00D37256">
      <w:pPr>
        <w:spacing w:after="0"/>
        <w:rPr>
          <w:b/>
          <w:bCs/>
          <w:sz w:val="16"/>
          <w:szCs w:val="16"/>
        </w:rPr>
      </w:pPr>
    </w:p>
    <w:p w14:paraId="0C9CA716" w14:textId="18D1F63A" w:rsidR="00D37256" w:rsidRPr="002F7180" w:rsidRDefault="002F7180" w:rsidP="002F7180">
      <w:pPr>
        <w:spacing w:after="0"/>
        <w:rPr>
          <w:rFonts w:asciiTheme="majorHAnsi" w:hAnsiTheme="majorHAnsi"/>
          <w:sz w:val="22"/>
          <w:szCs w:val="22"/>
        </w:rPr>
      </w:pPr>
      <w:r w:rsidRPr="002F7180">
        <w:rPr>
          <w:b/>
          <w:bCs/>
          <w:sz w:val="14"/>
          <w:szCs w:val="14"/>
        </w:rPr>
        <w:t>Supplemental Table S1. Adjusted odds of in-hospital mortality by exact organ-failure count in strict acute decompensated heart failure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2247"/>
      </w:tblGrid>
      <w:tr w:rsidR="00D37256" w:rsidRPr="00D37256" w14:paraId="6B3739B8" w14:textId="77777777" w:rsidTr="00D37256">
        <w:tc>
          <w:tcPr>
            <w:tcW w:w="0" w:type="auto"/>
            <w:shd w:val="clear" w:color="auto" w:fill="808080" w:themeFill="background1" w:themeFillShade="80"/>
            <w:hideMark/>
          </w:tcPr>
          <w:p w14:paraId="14A19A8E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  <w:color w:val="FFFFFF" w:themeColor="background1"/>
              </w:rPr>
            </w:pPr>
            <w:r w:rsidRPr="00D37256">
              <w:rPr>
                <w:rFonts w:asciiTheme="majorHAnsi" w:hAnsiTheme="majorHAnsi"/>
                <w:b/>
                <w:bCs/>
                <w:color w:val="FFFFFF" w:themeColor="background1"/>
              </w:rPr>
              <w:t>Variable</w:t>
            </w:r>
          </w:p>
        </w:tc>
        <w:tc>
          <w:tcPr>
            <w:tcW w:w="0" w:type="auto"/>
            <w:shd w:val="clear" w:color="auto" w:fill="808080" w:themeFill="background1" w:themeFillShade="80"/>
            <w:hideMark/>
          </w:tcPr>
          <w:p w14:paraId="16B2FA40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  <w:color w:val="FFFFFF" w:themeColor="background1"/>
              </w:rPr>
            </w:pPr>
            <w:r w:rsidRPr="00D37256">
              <w:rPr>
                <w:rFonts w:asciiTheme="majorHAnsi" w:hAnsiTheme="majorHAnsi"/>
                <w:b/>
                <w:bCs/>
                <w:color w:val="FFFFFF" w:themeColor="background1"/>
              </w:rPr>
              <w:t>Adjusted OR (95% CI)</w:t>
            </w:r>
          </w:p>
        </w:tc>
      </w:tr>
      <w:tr w:rsidR="00D37256" w:rsidRPr="00D37256" w14:paraId="5E603993" w14:textId="77777777" w:rsidTr="00D37256">
        <w:tc>
          <w:tcPr>
            <w:tcW w:w="0" w:type="auto"/>
            <w:shd w:val="clear" w:color="auto" w:fill="D9D9D9" w:themeFill="background1" w:themeFillShade="D9"/>
            <w:hideMark/>
          </w:tcPr>
          <w:p w14:paraId="40AE4B31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1 organ vs 0</w:t>
            </w:r>
          </w:p>
        </w:tc>
        <w:tc>
          <w:tcPr>
            <w:tcW w:w="0" w:type="auto"/>
            <w:hideMark/>
          </w:tcPr>
          <w:p w14:paraId="798780AC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1.71 (1.49-1.97)</w:t>
            </w:r>
          </w:p>
        </w:tc>
      </w:tr>
      <w:tr w:rsidR="00D37256" w:rsidRPr="00D37256" w14:paraId="272D498E" w14:textId="77777777" w:rsidTr="00D37256">
        <w:tc>
          <w:tcPr>
            <w:tcW w:w="0" w:type="auto"/>
            <w:shd w:val="clear" w:color="auto" w:fill="D9D9D9" w:themeFill="background1" w:themeFillShade="D9"/>
            <w:hideMark/>
          </w:tcPr>
          <w:p w14:paraId="2C8D963E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2 organs vs 0</w:t>
            </w:r>
          </w:p>
        </w:tc>
        <w:tc>
          <w:tcPr>
            <w:tcW w:w="0" w:type="auto"/>
            <w:hideMark/>
          </w:tcPr>
          <w:p w14:paraId="4EC99A32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3.74 (3.20-4.38)</w:t>
            </w:r>
          </w:p>
        </w:tc>
      </w:tr>
      <w:tr w:rsidR="00D37256" w:rsidRPr="00D37256" w14:paraId="72E99466" w14:textId="77777777" w:rsidTr="00D37256">
        <w:tc>
          <w:tcPr>
            <w:tcW w:w="0" w:type="auto"/>
            <w:shd w:val="clear" w:color="auto" w:fill="D9D9D9" w:themeFill="background1" w:themeFillShade="D9"/>
            <w:hideMark/>
          </w:tcPr>
          <w:p w14:paraId="0F6B9AD0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3 organs vs 0</w:t>
            </w:r>
          </w:p>
        </w:tc>
        <w:tc>
          <w:tcPr>
            <w:tcW w:w="0" w:type="auto"/>
            <w:hideMark/>
          </w:tcPr>
          <w:p w14:paraId="2E1EE951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10.84 (9.05-12.99)</w:t>
            </w:r>
          </w:p>
        </w:tc>
      </w:tr>
      <w:tr w:rsidR="00D37256" w:rsidRPr="00D37256" w14:paraId="276B714A" w14:textId="77777777" w:rsidTr="00D37256">
        <w:tc>
          <w:tcPr>
            <w:tcW w:w="0" w:type="auto"/>
            <w:shd w:val="clear" w:color="auto" w:fill="D9D9D9" w:themeFill="background1" w:themeFillShade="D9"/>
            <w:hideMark/>
          </w:tcPr>
          <w:p w14:paraId="05EF144E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4+ organs vs 0</w:t>
            </w:r>
          </w:p>
        </w:tc>
        <w:tc>
          <w:tcPr>
            <w:tcW w:w="0" w:type="auto"/>
            <w:hideMark/>
          </w:tcPr>
          <w:p w14:paraId="3FEAA291" w14:textId="77777777" w:rsidR="00D37256" w:rsidRPr="00D37256" w:rsidRDefault="00D37256" w:rsidP="00D37256">
            <w:pPr>
              <w:spacing w:line="278" w:lineRule="auto"/>
              <w:rPr>
                <w:rFonts w:asciiTheme="majorHAnsi" w:hAnsiTheme="majorHAnsi"/>
                <w:b/>
                <w:bCs/>
              </w:rPr>
            </w:pPr>
            <w:r w:rsidRPr="00D37256">
              <w:rPr>
                <w:rFonts w:asciiTheme="majorHAnsi" w:hAnsiTheme="majorHAnsi"/>
                <w:b/>
                <w:bCs/>
              </w:rPr>
              <w:t>29.26 (23.65-36.20)</w:t>
            </w:r>
          </w:p>
        </w:tc>
      </w:tr>
    </w:tbl>
    <w:p w14:paraId="1839394C" w14:textId="7464D50F" w:rsidR="00D37256" w:rsidRDefault="00C576E0" w:rsidP="00C576E0">
      <w:pPr>
        <w:spacing w:after="0"/>
        <w:rPr>
          <w:sz w:val="14"/>
          <w:szCs w:val="14"/>
        </w:rPr>
      </w:pPr>
      <w:r w:rsidRPr="00C576E0">
        <w:rPr>
          <w:sz w:val="14"/>
          <w:szCs w:val="14"/>
        </w:rPr>
        <w:t xml:space="preserve">Adjusted for HF phenotype, age, sex, race, primary payer, </w:t>
      </w:r>
      <w:proofErr w:type="spellStart"/>
      <w:r w:rsidRPr="00C576E0">
        <w:rPr>
          <w:sz w:val="14"/>
          <w:szCs w:val="14"/>
        </w:rPr>
        <w:t>Elixhauser</w:t>
      </w:r>
      <w:proofErr w:type="spellEnd"/>
      <w:r w:rsidRPr="00C576E0">
        <w:rPr>
          <w:sz w:val="14"/>
          <w:szCs w:val="14"/>
        </w:rPr>
        <w:t xml:space="preserve"> comorbidity burden, APR-DRG severity subclass, hospital teaching/location status, hospital bed size, hospital region, and calendar year. Models were based on complete-case analysis for admissions with </w:t>
      </w:r>
      <w:proofErr w:type="spellStart"/>
      <w:r w:rsidRPr="00C576E0">
        <w:rPr>
          <w:sz w:val="14"/>
          <w:szCs w:val="14"/>
        </w:rPr>
        <w:t>nonmissing</w:t>
      </w:r>
      <w:proofErr w:type="spellEnd"/>
      <w:r w:rsidRPr="00C576E0">
        <w:rPr>
          <w:sz w:val="14"/>
          <w:szCs w:val="14"/>
        </w:rPr>
        <w:t xml:space="preserve"> covariates.</w:t>
      </w:r>
    </w:p>
    <w:p w14:paraId="0D1D7282" w14:textId="77777777" w:rsidR="00C576E0" w:rsidRDefault="00C576E0" w:rsidP="00C576E0">
      <w:pPr>
        <w:spacing w:after="0"/>
        <w:rPr>
          <w:sz w:val="14"/>
          <w:szCs w:val="14"/>
        </w:rPr>
      </w:pPr>
    </w:p>
    <w:p w14:paraId="2CAA175C" w14:textId="79EE4DE3" w:rsidR="00C576E0" w:rsidRPr="002F7180" w:rsidRDefault="00C576E0" w:rsidP="00C576E0">
      <w:pPr>
        <w:spacing w:after="0"/>
        <w:rPr>
          <w:rFonts w:asciiTheme="majorHAnsi" w:hAnsiTheme="majorHAnsi"/>
          <w:sz w:val="22"/>
          <w:szCs w:val="22"/>
        </w:rPr>
      </w:pPr>
      <w:r w:rsidRPr="00C576E0">
        <w:rPr>
          <w:b/>
          <w:bCs/>
          <w:sz w:val="14"/>
          <w:szCs w:val="14"/>
        </w:rPr>
        <w:t>Supplemental Table S2. Administrative-code definitions used for cohort construction and variable derivation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C576E0" w:rsidRPr="00C576E0" w14:paraId="76EB5CE6" w14:textId="77777777" w:rsidTr="00A87549">
        <w:tc>
          <w:tcPr>
            <w:tcW w:w="2695" w:type="dxa"/>
            <w:shd w:val="clear" w:color="auto" w:fill="808080" w:themeFill="background1" w:themeFillShade="80"/>
            <w:hideMark/>
          </w:tcPr>
          <w:p w14:paraId="18C4C078" w14:textId="77777777" w:rsidR="00C576E0" w:rsidRPr="00C576E0" w:rsidRDefault="00C576E0" w:rsidP="00C576E0">
            <w:pPr>
              <w:spacing w:line="278" w:lineRule="auto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C576E0">
              <w:rPr>
                <w:b/>
                <w:bCs/>
                <w:color w:val="FFFFFF" w:themeColor="background1"/>
                <w:sz w:val="16"/>
                <w:szCs w:val="16"/>
              </w:rPr>
              <w:t>Variable</w:t>
            </w:r>
          </w:p>
        </w:tc>
        <w:tc>
          <w:tcPr>
            <w:tcW w:w="6655" w:type="dxa"/>
            <w:shd w:val="clear" w:color="auto" w:fill="808080" w:themeFill="background1" w:themeFillShade="80"/>
            <w:hideMark/>
          </w:tcPr>
          <w:p w14:paraId="4F186BC6" w14:textId="77777777" w:rsidR="00C576E0" w:rsidRPr="00C576E0" w:rsidRDefault="00C576E0" w:rsidP="00C576E0">
            <w:pPr>
              <w:spacing w:line="278" w:lineRule="auto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C576E0">
              <w:rPr>
                <w:b/>
                <w:bCs/>
                <w:color w:val="FFFFFF" w:themeColor="background1"/>
                <w:sz w:val="16"/>
                <w:szCs w:val="16"/>
              </w:rPr>
              <w:t>Definition used in analysis</w:t>
            </w:r>
          </w:p>
        </w:tc>
      </w:tr>
      <w:tr w:rsidR="00C576E0" w:rsidRPr="00C576E0" w14:paraId="7F951606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3E57D8D1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Strict ADHF cohort</w:t>
            </w:r>
          </w:p>
        </w:tc>
        <w:tc>
          <w:tcPr>
            <w:tcW w:w="6655" w:type="dxa"/>
            <w:hideMark/>
          </w:tcPr>
          <w:p w14:paraId="4B25AE1B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Principal diagnosis of acute or acute-on-chronic HF: I50.21, I50.23, I50.31, I50.33, I50.41, I50.43, I50.811, I50.813</w:t>
            </w:r>
          </w:p>
        </w:tc>
      </w:tr>
      <w:tr w:rsidR="00C576E0" w:rsidRPr="00C576E0" w14:paraId="6C29D681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157AEAAE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proofErr w:type="spellStart"/>
            <w:r w:rsidRPr="00C576E0">
              <w:rPr>
                <w:b/>
                <w:bCs/>
                <w:sz w:val="16"/>
                <w:szCs w:val="16"/>
              </w:rPr>
              <w:t>HFrEF</w:t>
            </w:r>
            <w:proofErr w:type="spellEnd"/>
            <w:r w:rsidRPr="00C576E0">
              <w:rPr>
                <w:b/>
                <w:bCs/>
                <w:sz w:val="16"/>
                <w:szCs w:val="16"/>
              </w:rPr>
              <w:t xml:space="preserve"> phenotype</w:t>
            </w:r>
          </w:p>
        </w:tc>
        <w:tc>
          <w:tcPr>
            <w:tcW w:w="6655" w:type="dxa"/>
            <w:hideMark/>
          </w:tcPr>
          <w:p w14:paraId="2789CA7D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Principal I50 subcode I50.2x or I50.4x</w:t>
            </w:r>
          </w:p>
        </w:tc>
      </w:tr>
      <w:tr w:rsidR="00C576E0" w:rsidRPr="00C576E0" w14:paraId="64A7071C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1C16FC71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HFpEF phenotype</w:t>
            </w:r>
          </w:p>
        </w:tc>
        <w:tc>
          <w:tcPr>
            <w:tcW w:w="6655" w:type="dxa"/>
            <w:hideMark/>
          </w:tcPr>
          <w:p w14:paraId="38DF2BFB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Principal I50 subcode I50.3x</w:t>
            </w:r>
          </w:p>
        </w:tc>
      </w:tr>
      <w:tr w:rsidR="00C576E0" w:rsidRPr="00C576E0" w14:paraId="35450185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76C8AF96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Other/unspecified HF</w:t>
            </w:r>
          </w:p>
        </w:tc>
        <w:tc>
          <w:tcPr>
            <w:tcW w:w="6655" w:type="dxa"/>
            <w:hideMark/>
          </w:tcPr>
          <w:p w14:paraId="0C04F559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 xml:space="preserve">Remaining principal I50 subcodes not otherwise classified as </w:t>
            </w:r>
            <w:proofErr w:type="spellStart"/>
            <w:r w:rsidRPr="00C576E0">
              <w:rPr>
                <w:sz w:val="16"/>
                <w:szCs w:val="16"/>
              </w:rPr>
              <w:t>HFrEF</w:t>
            </w:r>
            <w:proofErr w:type="spellEnd"/>
            <w:r w:rsidRPr="00C576E0">
              <w:rPr>
                <w:sz w:val="16"/>
                <w:szCs w:val="16"/>
              </w:rPr>
              <w:t xml:space="preserve"> or HFpEF</w:t>
            </w:r>
          </w:p>
        </w:tc>
      </w:tr>
      <w:tr w:rsidR="00C576E0" w:rsidRPr="00C576E0" w14:paraId="549E5080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335808E9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Renal failure</w:t>
            </w:r>
          </w:p>
        </w:tc>
        <w:tc>
          <w:tcPr>
            <w:tcW w:w="6655" w:type="dxa"/>
            <w:hideMark/>
          </w:tcPr>
          <w:p w14:paraId="535A91F5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N</w:t>
            </w:r>
            <w:proofErr w:type="gramStart"/>
            <w:r w:rsidRPr="00C576E0">
              <w:rPr>
                <w:sz w:val="16"/>
                <w:szCs w:val="16"/>
              </w:rPr>
              <w:t>17.*</w:t>
            </w:r>
            <w:proofErr w:type="gramEnd"/>
            <w:r w:rsidRPr="00C576E0">
              <w:rPr>
                <w:sz w:val="16"/>
                <w:szCs w:val="16"/>
              </w:rPr>
              <w:t xml:space="preserve"> in any diagnosis field </w:t>
            </w:r>
            <w:r w:rsidRPr="00C576E0">
              <w:rPr>
                <w:b/>
                <w:bCs/>
                <w:sz w:val="16"/>
                <w:szCs w:val="16"/>
              </w:rPr>
              <w:t>or</w:t>
            </w:r>
            <w:r w:rsidRPr="00C576E0">
              <w:rPr>
                <w:sz w:val="16"/>
                <w:szCs w:val="16"/>
              </w:rPr>
              <w:t xml:space="preserve"> acute renal replacement therapy PCS codes 5A1D70Z, 5A1D80Z, 5A1D90Z</w:t>
            </w:r>
          </w:p>
        </w:tc>
      </w:tr>
      <w:tr w:rsidR="00C576E0" w:rsidRPr="00C576E0" w14:paraId="6BD7334E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588318F0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Respiratory failure</w:t>
            </w:r>
          </w:p>
        </w:tc>
        <w:tc>
          <w:tcPr>
            <w:tcW w:w="6655" w:type="dxa"/>
            <w:hideMark/>
          </w:tcPr>
          <w:p w14:paraId="3860923E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 xml:space="preserve">J96.0x, J96.2x, or J80 in any diagnosis field </w:t>
            </w:r>
            <w:r w:rsidRPr="00C576E0">
              <w:rPr>
                <w:b/>
                <w:bCs/>
                <w:sz w:val="16"/>
                <w:szCs w:val="16"/>
              </w:rPr>
              <w:t>or</w:t>
            </w:r>
            <w:r w:rsidRPr="00C576E0">
              <w:rPr>
                <w:sz w:val="16"/>
                <w:szCs w:val="16"/>
              </w:rPr>
              <w:t xml:space="preserve"> invasive mechanical ventilation PCS codes 5A1935Z, 5A1945Z, 5A1955Z</w:t>
            </w:r>
          </w:p>
        </w:tc>
      </w:tr>
      <w:tr w:rsidR="00C576E0" w:rsidRPr="00C576E0" w14:paraId="79ED78CC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39D82EEC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Hepatic failure</w:t>
            </w:r>
          </w:p>
        </w:tc>
        <w:tc>
          <w:tcPr>
            <w:tcW w:w="6655" w:type="dxa"/>
            <w:hideMark/>
          </w:tcPr>
          <w:p w14:paraId="358CE9AE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K72.0x in any diagnosis field</w:t>
            </w:r>
          </w:p>
        </w:tc>
      </w:tr>
      <w:tr w:rsidR="00C576E0" w:rsidRPr="00C576E0" w14:paraId="772F8964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264019FB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Neurologic failure</w:t>
            </w:r>
          </w:p>
        </w:tc>
        <w:tc>
          <w:tcPr>
            <w:tcW w:w="6655" w:type="dxa"/>
            <w:hideMark/>
          </w:tcPr>
          <w:p w14:paraId="04316D02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G93.4x in any diagnosis field</w:t>
            </w:r>
          </w:p>
        </w:tc>
      </w:tr>
      <w:tr w:rsidR="00C576E0" w:rsidRPr="00C576E0" w14:paraId="57C49EC7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75B6ACD9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Coagulopathic failure</w:t>
            </w:r>
          </w:p>
        </w:tc>
        <w:tc>
          <w:tcPr>
            <w:tcW w:w="6655" w:type="dxa"/>
            <w:hideMark/>
          </w:tcPr>
          <w:p w14:paraId="7C11F3D8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D65 in any diagnosis field</w:t>
            </w:r>
          </w:p>
        </w:tc>
      </w:tr>
      <w:tr w:rsidR="00C576E0" w:rsidRPr="00C576E0" w14:paraId="0A106F33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2D0C1521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Shock-related failure</w:t>
            </w:r>
          </w:p>
        </w:tc>
        <w:tc>
          <w:tcPr>
            <w:tcW w:w="6655" w:type="dxa"/>
            <w:hideMark/>
          </w:tcPr>
          <w:p w14:paraId="43936EDA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R</w:t>
            </w:r>
            <w:proofErr w:type="gramStart"/>
            <w:r w:rsidRPr="00C576E0">
              <w:rPr>
                <w:sz w:val="16"/>
                <w:szCs w:val="16"/>
              </w:rPr>
              <w:t>57.*</w:t>
            </w:r>
            <w:proofErr w:type="gramEnd"/>
            <w:r w:rsidRPr="00C576E0">
              <w:rPr>
                <w:sz w:val="16"/>
                <w:szCs w:val="16"/>
              </w:rPr>
              <w:t xml:space="preserve"> or R65.21 in any diagnosis field</w:t>
            </w:r>
          </w:p>
        </w:tc>
      </w:tr>
      <w:tr w:rsidR="00C576E0" w:rsidRPr="00C576E0" w14:paraId="33F02ABD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3386AE60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Invasive mechanical ventilation</w:t>
            </w:r>
          </w:p>
        </w:tc>
        <w:tc>
          <w:tcPr>
            <w:tcW w:w="6655" w:type="dxa"/>
            <w:hideMark/>
          </w:tcPr>
          <w:p w14:paraId="50DC7137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5A1935Z, 5A1945Z, 5A1955Z in any procedure field</w:t>
            </w:r>
          </w:p>
        </w:tc>
      </w:tr>
      <w:tr w:rsidR="00C576E0" w:rsidRPr="00C576E0" w14:paraId="2C44C3B9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1FA473BF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Acute renal replacement therapy</w:t>
            </w:r>
          </w:p>
        </w:tc>
        <w:tc>
          <w:tcPr>
            <w:tcW w:w="6655" w:type="dxa"/>
            <w:hideMark/>
          </w:tcPr>
          <w:p w14:paraId="02F92D20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5A1D70Z, 5A1D80Z, 5A1D90Z in any procedure field</w:t>
            </w:r>
          </w:p>
        </w:tc>
      </w:tr>
      <w:tr w:rsidR="00C576E0" w:rsidRPr="00C576E0" w14:paraId="54250540" w14:textId="77777777" w:rsidTr="00A87549">
        <w:tc>
          <w:tcPr>
            <w:tcW w:w="2695" w:type="dxa"/>
            <w:shd w:val="clear" w:color="auto" w:fill="D9D9D9" w:themeFill="background1" w:themeFillShade="D9"/>
            <w:hideMark/>
          </w:tcPr>
          <w:p w14:paraId="6515524B" w14:textId="77777777" w:rsidR="00C576E0" w:rsidRPr="00C576E0" w:rsidRDefault="00C576E0" w:rsidP="00C576E0">
            <w:pPr>
              <w:spacing w:line="278" w:lineRule="auto"/>
              <w:rPr>
                <w:b/>
                <w:bCs/>
                <w:sz w:val="16"/>
                <w:szCs w:val="16"/>
              </w:rPr>
            </w:pPr>
            <w:r w:rsidRPr="00C576E0">
              <w:rPr>
                <w:b/>
                <w:bCs/>
                <w:sz w:val="16"/>
                <w:szCs w:val="16"/>
              </w:rPr>
              <w:t>Non-home discharge</w:t>
            </w:r>
          </w:p>
        </w:tc>
        <w:tc>
          <w:tcPr>
            <w:tcW w:w="6655" w:type="dxa"/>
            <w:hideMark/>
          </w:tcPr>
          <w:p w14:paraId="7E030007" w14:textId="77777777" w:rsidR="00C576E0" w:rsidRPr="00C576E0" w:rsidRDefault="00C576E0" w:rsidP="00C576E0">
            <w:pPr>
              <w:spacing w:line="278" w:lineRule="auto"/>
              <w:rPr>
                <w:sz w:val="16"/>
                <w:szCs w:val="16"/>
              </w:rPr>
            </w:pPr>
            <w:r w:rsidRPr="00C576E0">
              <w:rPr>
                <w:sz w:val="16"/>
                <w:szCs w:val="16"/>
              </w:rPr>
              <w:t>DISPUNIFORM 2, 5, or 6; routine home discharge defined as DISPUNIFORM 1</w:t>
            </w:r>
          </w:p>
        </w:tc>
      </w:tr>
    </w:tbl>
    <w:p w14:paraId="302BF6A3" w14:textId="77777777" w:rsidR="00C576E0" w:rsidRDefault="00C576E0" w:rsidP="00C576E0">
      <w:pPr>
        <w:spacing w:after="0"/>
        <w:rPr>
          <w:sz w:val="14"/>
          <w:szCs w:val="14"/>
        </w:rPr>
      </w:pPr>
    </w:p>
    <w:p w14:paraId="543FBFB3" w14:textId="77777777" w:rsidR="00C576E0" w:rsidRDefault="00C576E0" w:rsidP="00C576E0">
      <w:pPr>
        <w:spacing w:after="0"/>
        <w:rPr>
          <w:sz w:val="14"/>
          <w:szCs w:val="14"/>
        </w:rPr>
      </w:pPr>
    </w:p>
    <w:p w14:paraId="5B8B78DE" w14:textId="77777777" w:rsidR="000B3C23" w:rsidRDefault="000B3C23" w:rsidP="000B3C23">
      <w:pPr>
        <w:spacing w:after="0"/>
        <w:rPr>
          <w:b/>
          <w:bCs/>
          <w:sz w:val="14"/>
          <w:szCs w:val="14"/>
        </w:rPr>
      </w:pPr>
    </w:p>
    <w:p w14:paraId="34E07A66" w14:textId="77777777" w:rsidR="000B3C23" w:rsidRDefault="000B3C23" w:rsidP="000B3C23">
      <w:pPr>
        <w:spacing w:after="0"/>
        <w:rPr>
          <w:b/>
          <w:bCs/>
          <w:sz w:val="14"/>
          <w:szCs w:val="14"/>
        </w:rPr>
      </w:pPr>
    </w:p>
    <w:p w14:paraId="6685DE32" w14:textId="77777777" w:rsidR="000B3C23" w:rsidRDefault="000B3C23" w:rsidP="000B3C23">
      <w:pPr>
        <w:spacing w:after="0"/>
        <w:rPr>
          <w:b/>
          <w:bCs/>
          <w:sz w:val="14"/>
          <w:szCs w:val="14"/>
        </w:rPr>
      </w:pPr>
    </w:p>
    <w:p w14:paraId="710E69A8" w14:textId="77777777" w:rsidR="000B3C23" w:rsidRDefault="000B3C23" w:rsidP="000B3C23">
      <w:pPr>
        <w:spacing w:after="0"/>
        <w:rPr>
          <w:b/>
          <w:bCs/>
          <w:sz w:val="14"/>
          <w:szCs w:val="14"/>
        </w:rPr>
      </w:pPr>
    </w:p>
    <w:p w14:paraId="5E7DDBE3" w14:textId="77777777" w:rsidR="000B3C23" w:rsidRDefault="000B3C23" w:rsidP="000B3C23">
      <w:pPr>
        <w:spacing w:after="0"/>
        <w:rPr>
          <w:b/>
          <w:bCs/>
          <w:sz w:val="14"/>
          <w:szCs w:val="14"/>
        </w:rPr>
      </w:pPr>
    </w:p>
    <w:p w14:paraId="754784D1" w14:textId="77777777" w:rsidR="000B3C23" w:rsidRDefault="000B3C23" w:rsidP="000B3C23">
      <w:pPr>
        <w:spacing w:after="0"/>
        <w:rPr>
          <w:b/>
          <w:bCs/>
          <w:sz w:val="14"/>
          <w:szCs w:val="14"/>
        </w:rPr>
      </w:pPr>
    </w:p>
    <w:p w14:paraId="521E7ED3" w14:textId="77777777" w:rsidR="00B047CC" w:rsidRDefault="00B047CC" w:rsidP="000B3C23">
      <w:pPr>
        <w:spacing w:after="0"/>
        <w:rPr>
          <w:b/>
          <w:bCs/>
          <w:sz w:val="14"/>
          <w:szCs w:val="14"/>
        </w:rPr>
      </w:pPr>
    </w:p>
    <w:p w14:paraId="133F9D75" w14:textId="77777777" w:rsidR="00A87549" w:rsidRDefault="00A87549" w:rsidP="000B3C23">
      <w:pPr>
        <w:spacing w:after="0"/>
        <w:rPr>
          <w:b/>
          <w:bCs/>
          <w:sz w:val="14"/>
          <w:szCs w:val="14"/>
        </w:rPr>
      </w:pPr>
    </w:p>
    <w:p w14:paraId="63CB9920" w14:textId="4FCD54EB" w:rsidR="000B3C23" w:rsidRPr="002F7180" w:rsidRDefault="000B3C23" w:rsidP="000B3C23">
      <w:pPr>
        <w:spacing w:after="0"/>
        <w:rPr>
          <w:rFonts w:asciiTheme="majorHAnsi" w:hAnsiTheme="majorHAnsi"/>
          <w:sz w:val="22"/>
          <w:szCs w:val="22"/>
        </w:rPr>
      </w:pPr>
      <w:r w:rsidRPr="000B3C23">
        <w:rPr>
          <w:b/>
          <w:bCs/>
          <w:sz w:val="14"/>
          <w:szCs w:val="14"/>
        </w:rPr>
        <w:lastRenderedPageBreak/>
        <w:t>Supplemental Table S3. Additional prespecified analyses of organ-failure burden and in-hospital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9"/>
        <w:gridCol w:w="2075"/>
        <w:gridCol w:w="1168"/>
      </w:tblGrid>
      <w:tr w:rsidR="000B3C23" w:rsidRPr="000B3C23" w14:paraId="337B8B8F" w14:textId="77777777" w:rsidTr="000B3C23">
        <w:tc>
          <w:tcPr>
            <w:tcW w:w="0" w:type="auto"/>
            <w:shd w:val="clear" w:color="auto" w:fill="808080" w:themeFill="background1" w:themeFillShade="80"/>
            <w:hideMark/>
          </w:tcPr>
          <w:p w14:paraId="608CE1F0" w14:textId="77777777" w:rsidR="000B3C23" w:rsidRPr="000B3C23" w:rsidRDefault="000B3C23" w:rsidP="000B3C23">
            <w:pPr>
              <w:spacing w:line="278" w:lineRule="auto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0B3C23">
              <w:rPr>
                <w:b/>
                <w:bCs/>
                <w:color w:val="FFFFFF" w:themeColor="background1"/>
                <w:sz w:val="14"/>
                <w:szCs w:val="14"/>
              </w:rPr>
              <w:t>Analysis</w:t>
            </w:r>
          </w:p>
        </w:tc>
        <w:tc>
          <w:tcPr>
            <w:tcW w:w="0" w:type="auto"/>
            <w:shd w:val="clear" w:color="auto" w:fill="808080" w:themeFill="background1" w:themeFillShade="80"/>
            <w:hideMark/>
          </w:tcPr>
          <w:p w14:paraId="17C4AD6D" w14:textId="77777777" w:rsidR="000B3C23" w:rsidRPr="000B3C23" w:rsidRDefault="000B3C23" w:rsidP="000B3C23">
            <w:pPr>
              <w:spacing w:line="278" w:lineRule="auto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0B3C23">
              <w:rPr>
                <w:b/>
                <w:bCs/>
                <w:color w:val="FFFFFF" w:themeColor="background1"/>
                <w:sz w:val="14"/>
                <w:szCs w:val="14"/>
              </w:rPr>
              <w:t>Comparison</w:t>
            </w:r>
          </w:p>
        </w:tc>
        <w:tc>
          <w:tcPr>
            <w:tcW w:w="0" w:type="auto"/>
            <w:shd w:val="clear" w:color="auto" w:fill="808080" w:themeFill="background1" w:themeFillShade="80"/>
            <w:hideMark/>
          </w:tcPr>
          <w:p w14:paraId="6F3DDE06" w14:textId="77777777" w:rsidR="000B3C23" w:rsidRPr="000B3C23" w:rsidRDefault="000B3C23" w:rsidP="000B3C23">
            <w:pPr>
              <w:spacing w:line="278" w:lineRule="auto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0B3C23">
              <w:rPr>
                <w:b/>
                <w:bCs/>
                <w:color w:val="FFFFFF" w:themeColor="background1"/>
                <w:sz w:val="14"/>
                <w:szCs w:val="14"/>
              </w:rPr>
              <w:t>Result</w:t>
            </w:r>
          </w:p>
        </w:tc>
      </w:tr>
      <w:tr w:rsidR="000B3C23" w:rsidRPr="000B3C23" w14:paraId="020417A7" w14:textId="77777777" w:rsidTr="000B3C23">
        <w:tc>
          <w:tcPr>
            <w:tcW w:w="0" w:type="auto"/>
            <w:vMerge w:val="restart"/>
            <w:shd w:val="clear" w:color="auto" w:fill="D9D9D9" w:themeFill="background1" w:themeFillShade="D9"/>
            <w:hideMark/>
          </w:tcPr>
          <w:p w14:paraId="25A5BEB3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b/>
                <w:bCs/>
                <w:sz w:val="14"/>
                <w:szCs w:val="14"/>
              </w:rPr>
              <w:t>Phenotype-stratified adjusted mortality</w:t>
            </w:r>
          </w:p>
        </w:tc>
        <w:tc>
          <w:tcPr>
            <w:tcW w:w="0" w:type="auto"/>
            <w:hideMark/>
          </w:tcPr>
          <w:p w14:paraId="62919305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proofErr w:type="spellStart"/>
            <w:r w:rsidRPr="000B3C23">
              <w:rPr>
                <w:sz w:val="14"/>
                <w:szCs w:val="14"/>
              </w:rPr>
              <w:t>HFrEF</w:t>
            </w:r>
            <w:proofErr w:type="spellEnd"/>
            <w:r w:rsidRPr="000B3C23">
              <w:rPr>
                <w:sz w:val="14"/>
                <w:szCs w:val="14"/>
              </w:rPr>
              <w:t>, 1 vs 0 failing organs</w:t>
            </w:r>
          </w:p>
        </w:tc>
        <w:tc>
          <w:tcPr>
            <w:tcW w:w="0" w:type="auto"/>
            <w:hideMark/>
          </w:tcPr>
          <w:p w14:paraId="05C2174A" w14:textId="109DE926" w:rsidR="000B3C23" w:rsidRPr="000B3C23" w:rsidRDefault="000B3C23" w:rsidP="00D12B67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1.42</w:t>
            </w:r>
            <w:r w:rsidR="00D12B67">
              <w:rPr>
                <w:sz w:val="14"/>
                <w:szCs w:val="14"/>
              </w:rPr>
              <w:t xml:space="preserve"> </w:t>
            </w:r>
            <w:r w:rsidR="00D12B67" w:rsidRPr="00D12B67">
              <w:rPr>
                <w:sz w:val="14"/>
                <w:szCs w:val="14"/>
              </w:rPr>
              <w:t>(1.20</w:t>
            </w:r>
            <w:r w:rsidR="00A87549">
              <w:rPr>
                <w:sz w:val="14"/>
                <w:szCs w:val="14"/>
              </w:rPr>
              <w:t>-</w:t>
            </w:r>
            <w:r w:rsidR="00D12B67" w:rsidRPr="00D12B67">
              <w:rPr>
                <w:sz w:val="14"/>
                <w:szCs w:val="14"/>
              </w:rPr>
              <w:t>1.67)</w:t>
            </w:r>
          </w:p>
        </w:tc>
      </w:tr>
      <w:tr w:rsidR="000B3C23" w:rsidRPr="000B3C23" w14:paraId="30BA3673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720C03C2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51F91C1E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HFpEF, 1 vs 0 failing organs</w:t>
            </w:r>
          </w:p>
        </w:tc>
        <w:tc>
          <w:tcPr>
            <w:tcW w:w="0" w:type="auto"/>
            <w:hideMark/>
          </w:tcPr>
          <w:p w14:paraId="5CB8985E" w14:textId="2679FEAA" w:rsidR="000B3C23" w:rsidRPr="000B3C23" w:rsidRDefault="000B3C23" w:rsidP="00D12B67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1.86</w:t>
            </w:r>
            <w:r w:rsidR="00D12B67">
              <w:rPr>
                <w:sz w:val="14"/>
                <w:szCs w:val="14"/>
              </w:rPr>
              <w:t xml:space="preserve"> </w:t>
            </w:r>
            <w:r w:rsidR="00D12B67" w:rsidRPr="00D12B67">
              <w:rPr>
                <w:sz w:val="14"/>
                <w:szCs w:val="14"/>
              </w:rPr>
              <w:t>(1.50</w:t>
            </w:r>
            <w:r w:rsidR="00A87549">
              <w:rPr>
                <w:sz w:val="14"/>
                <w:szCs w:val="14"/>
              </w:rPr>
              <w:t>-</w:t>
            </w:r>
            <w:r w:rsidR="00D12B67" w:rsidRPr="00D12B67">
              <w:rPr>
                <w:sz w:val="14"/>
                <w:szCs w:val="14"/>
              </w:rPr>
              <w:t>2.31)</w:t>
            </w:r>
          </w:p>
        </w:tc>
      </w:tr>
      <w:tr w:rsidR="000B3C23" w:rsidRPr="000B3C23" w14:paraId="03CDDD49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72C7AD9F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715C906A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proofErr w:type="spellStart"/>
            <w:r w:rsidRPr="000B3C23">
              <w:rPr>
                <w:sz w:val="14"/>
                <w:szCs w:val="14"/>
              </w:rPr>
              <w:t>HFrEF</w:t>
            </w:r>
            <w:proofErr w:type="spellEnd"/>
            <w:proofErr w:type="gramStart"/>
            <w:r w:rsidRPr="000B3C23">
              <w:rPr>
                <w:sz w:val="14"/>
                <w:szCs w:val="14"/>
              </w:rPr>
              <w:t>, ≥2</w:t>
            </w:r>
            <w:proofErr w:type="gramEnd"/>
            <w:r w:rsidRPr="000B3C23">
              <w:rPr>
                <w:sz w:val="14"/>
                <w:szCs w:val="14"/>
              </w:rPr>
              <w:t xml:space="preserve"> vs 0 failing organs</w:t>
            </w:r>
          </w:p>
        </w:tc>
        <w:tc>
          <w:tcPr>
            <w:tcW w:w="0" w:type="auto"/>
            <w:hideMark/>
          </w:tcPr>
          <w:p w14:paraId="071D22D4" w14:textId="6B832FDF" w:rsidR="000B3C23" w:rsidRPr="000B3C23" w:rsidRDefault="000B3C23" w:rsidP="00D12B67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4.83</w:t>
            </w:r>
            <w:r w:rsidR="00D12B67">
              <w:rPr>
                <w:sz w:val="14"/>
                <w:szCs w:val="14"/>
              </w:rPr>
              <w:t xml:space="preserve"> </w:t>
            </w:r>
            <w:r w:rsidR="00D12B67" w:rsidRPr="00D12B67">
              <w:rPr>
                <w:sz w:val="14"/>
                <w:szCs w:val="14"/>
              </w:rPr>
              <w:t>(4.09</w:t>
            </w:r>
            <w:r w:rsidR="00A87549">
              <w:rPr>
                <w:sz w:val="14"/>
                <w:szCs w:val="14"/>
              </w:rPr>
              <w:t>-</w:t>
            </w:r>
            <w:r w:rsidR="00D12B67" w:rsidRPr="00D12B67">
              <w:rPr>
                <w:sz w:val="14"/>
                <w:szCs w:val="14"/>
              </w:rPr>
              <w:t>5.71)</w:t>
            </w:r>
          </w:p>
        </w:tc>
      </w:tr>
      <w:tr w:rsidR="000B3C23" w:rsidRPr="000B3C23" w14:paraId="2446FEB4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0BAEEAD3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5073680F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HFpEF</w:t>
            </w:r>
            <w:proofErr w:type="gramStart"/>
            <w:r w:rsidRPr="000B3C23">
              <w:rPr>
                <w:sz w:val="14"/>
                <w:szCs w:val="14"/>
              </w:rPr>
              <w:t>, ≥2</w:t>
            </w:r>
            <w:proofErr w:type="gramEnd"/>
            <w:r w:rsidRPr="000B3C23">
              <w:rPr>
                <w:sz w:val="14"/>
                <w:szCs w:val="14"/>
              </w:rPr>
              <w:t xml:space="preserve"> vs 0 failing organs</w:t>
            </w:r>
          </w:p>
        </w:tc>
        <w:tc>
          <w:tcPr>
            <w:tcW w:w="0" w:type="auto"/>
            <w:hideMark/>
          </w:tcPr>
          <w:p w14:paraId="766BE542" w14:textId="30B5561D" w:rsidR="000B3C23" w:rsidRPr="000B3C23" w:rsidRDefault="000B3C23" w:rsidP="00D12B67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4.34</w:t>
            </w:r>
            <w:r w:rsidR="00D12B67">
              <w:rPr>
                <w:sz w:val="14"/>
                <w:szCs w:val="14"/>
              </w:rPr>
              <w:t xml:space="preserve"> </w:t>
            </w:r>
            <w:r w:rsidR="00D12B67" w:rsidRPr="00D12B67">
              <w:rPr>
                <w:sz w:val="14"/>
                <w:szCs w:val="14"/>
              </w:rPr>
              <w:t>(3.49</w:t>
            </w:r>
            <w:r w:rsidR="00A87549">
              <w:rPr>
                <w:sz w:val="14"/>
                <w:szCs w:val="14"/>
              </w:rPr>
              <w:t>-</w:t>
            </w:r>
            <w:r w:rsidR="00D12B67" w:rsidRPr="00D12B67">
              <w:rPr>
                <w:sz w:val="14"/>
                <w:szCs w:val="14"/>
              </w:rPr>
              <w:t>5.41)</w:t>
            </w:r>
          </w:p>
        </w:tc>
      </w:tr>
      <w:tr w:rsidR="000B3C23" w:rsidRPr="000B3C23" w14:paraId="237208C2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52A5FE41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4517ECAA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Categorical interaction P value</w:t>
            </w:r>
          </w:p>
        </w:tc>
        <w:tc>
          <w:tcPr>
            <w:tcW w:w="0" w:type="auto"/>
            <w:hideMark/>
          </w:tcPr>
          <w:p w14:paraId="41DF028F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P&lt;.001</w:t>
            </w:r>
          </w:p>
        </w:tc>
      </w:tr>
      <w:tr w:rsidR="000B3C23" w:rsidRPr="000B3C23" w14:paraId="65CE47ED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68C6C806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2CF48E4F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Continuous interaction P value</w:t>
            </w:r>
          </w:p>
        </w:tc>
        <w:tc>
          <w:tcPr>
            <w:tcW w:w="0" w:type="auto"/>
            <w:hideMark/>
          </w:tcPr>
          <w:p w14:paraId="3D043767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P=.8896</w:t>
            </w:r>
          </w:p>
        </w:tc>
      </w:tr>
      <w:tr w:rsidR="000B3C23" w:rsidRPr="000B3C23" w14:paraId="5939CFA9" w14:textId="77777777" w:rsidTr="000B3C23">
        <w:tc>
          <w:tcPr>
            <w:tcW w:w="0" w:type="auto"/>
            <w:vMerge w:val="restart"/>
            <w:shd w:val="clear" w:color="auto" w:fill="D9D9D9" w:themeFill="background1" w:themeFillShade="D9"/>
            <w:hideMark/>
          </w:tcPr>
          <w:p w14:paraId="35AA4350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b/>
                <w:bCs/>
                <w:sz w:val="14"/>
                <w:szCs w:val="14"/>
              </w:rPr>
              <w:t>Shock-excluded sensitivity analysis</w:t>
            </w:r>
          </w:p>
        </w:tc>
        <w:tc>
          <w:tcPr>
            <w:tcW w:w="0" w:type="auto"/>
            <w:hideMark/>
          </w:tcPr>
          <w:p w14:paraId="5FE52356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 vs 0 failing organs</w:t>
            </w:r>
          </w:p>
        </w:tc>
        <w:tc>
          <w:tcPr>
            <w:tcW w:w="0" w:type="auto"/>
            <w:hideMark/>
          </w:tcPr>
          <w:p w14:paraId="74897AD2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1.63 (1.41-1.87)</w:t>
            </w:r>
          </w:p>
        </w:tc>
      </w:tr>
      <w:tr w:rsidR="000B3C23" w:rsidRPr="000B3C23" w14:paraId="61155E06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19E06C86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51B01A42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proofErr w:type="gramStart"/>
            <w:r w:rsidRPr="000B3C23">
              <w:rPr>
                <w:sz w:val="14"/>
                <w:szCs w:val="14"/>
              </w:rPr>
              <w:t>≥2 vs</w:t>
            </w:r>
            <w:proofErr w:type="gramEnd"/>
            <w:r w:rsidRPr="000B3C23">
              <w:rPr>
                <w:sz w:val="14"/>
                <w:szCs w:val="14"/>
              </w:rPr>
              <w:t xml:space="preserve"> 0 failing organs</w:t>
            </w:r>
          </w:p>
        </w:tc>
        <w:tc>
          <w:tcPr>
            <w:tcW w:w="0" w:type="auto"/>
            <w:hideMark/>
          </w:tcPr>
          <w:p w14:paraId="6BEC3E0D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3.39 (2.89-3.97)</w:t>
            </w:r>
          </w:p>
        </w:tc>
      </w:tr>
      <w:tr w:rsidR="000B3C23" w:rsidRPr="000B3C23" w14:paraId="07155DB8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0BC4FC33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1F0BF936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Per additional failing organ</w:t>
            </w:r>
          </w:p>
        </w:tc>
        <w:tc>
          <w:tcPr>
            <w:tcW w:w="0" w:type="auto"/>
            <w:hideMark/>
          </w:tcPr>
          <w:p w14:paraId="29644770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1.90 (1.77-2.03)</w:t>
            </w:r>
          </w:p>
        </w:tc>
      </w:tr>
      <w:tr w:rsidR="000B3C23" w:rsidRPr="000B3C23" w14:paraId="2DB2880E" w14:textId="77777777" w:rsidTr="000B3C23">
        <w:tc>
          <w:tcPr>
            <w:tcW w:w="0" w:type="auto"/>
            <w:vMerge w:val="restart"/>
            <w:shd w:val="clear" w:color="auto" w:fill="D9D9D9" w:themeFill="background1" w:themeFillShade="D9"/>
            <w:hideMark/>
          </w:tcPr>
          <w:p w14:paraId="59B92100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b/>
                <w:bCs/>
                <w:sz w:val="14"/>
                <w:szCs w:val="14"/>
              </w:rPr>
              <w:t>MV/RRT-excluded sensitivity analysis</w:t>
            </w:r>
          </w:p>
        </w:tc>
        <w:tc>
          <w:tcPr>
            <w:tcW w:w="0" w:type="auto"/>
            <w:hideMark/>
          </w:tcPr>
          <w:p w14:paraId="2E33EFF1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 vs 0 failing organs</w:t>
            </w:r>
          </w:p>
        </w:tc>
        <w:tc>
          <w:tcPr>
            <w:tcW w:w="0" w:type="auto"/>
            <w:hideMark/>
          </w:tcPr>
          <w:p w14:paraId="1988BC75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1.51 (1.31-1.75)</w:t>
            </w:r>
          </w:p>
        </w:tc>
      </w:tr>
      <w:tr w:rsidR="000B3C23" w:rsidRPr="000B3C23" w14:paraId="4F4C26FC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351A59BA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4EF109D7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proofErr w:type="gramStart"/>
            <w:r w:rsidRPr="000B3C23">
              <w:rPr>
                <w:sz w:val="14"/>
                <w:szCs w:val="14"/>
              </w:rPr>
              <w:t>≥2 vs</w:t>
            </w:r>
            <w:proofErr w:type="gramEnd"/>
            <w:r w:rsidRPr="000B3C23">
              <w:rPr>
                <w:sz w:val="14"/>
                <w:szCs w:val="14"/>
              </w:rPr>
              <w:t xml:space="preserve"> 0 failing organs</w:t>
            </w:r>
          </w:p>
        </w:tc>
        <w:tc>
          <w:tcPr>
            <w:tcW w:w="0" w:type="auto"/>
            <w:hideMark/>
          </w:tcPr>
          <w:p w14:paraId="10134BB5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3.60 (3.07-4.22)</w:t>
            </w:r>
          </w:p>
        </w:tc>
      </w:tr>
      <w:tr w:rsidR="000B3C23" w:rsidRPr="000B3C23" w14:paraId="11ADF715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37806F48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5539FFE9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Per additional failing organ</w:t>
            </w:r>
          </w:p>
        </w:tc>
        <w:tc>
          <w:tcPr>
            <w:tcW w:w="0" w:type="auto"/>
            <w:hideMark/>
          </w:tcPr>
          <w:p w14:paraId="2D1B76EC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2.06 (1.94-2.18)</w:t>
            </w:r>
          </w:p>
        </w:tc>
      </w:tr>
      <w:tr w:rsidR="000B3C23" w:rsidRPr="000B3C23" w14:paraId="544BA987" w14:textId="77777777" w:rsidTr="000B3C23">
        <w:tc>
          <w:tcPr>
            <w:tcW w:w="0" w:type="auto"/>
            <w:vMerge w:val="restart"/>
            <w:shd w:val="clear" w:color="auto" w:fill="D9D9D9" w:themeFill="background1" w:themeFillShade="D9"/>
            <w:hideMark/>
          </w:tcPr>
          <w:p w14:paraId="59EC8EB5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b/>
                <w:bCs/>
                <w:sz w:val="14"/>
                <w:szCs w:val="14"/>
              </w:rPr>
              <w:t>Adjusted non-home discharge model</w:t>
            </w:r>
          </w:p>
        </w:tc>
        <w:tc>
          <w:tcPr>
            <w:tcW w:w="0" w:type="auto"/>
            <w:hideMark/>
          </w:tcPr>
          <w:p w14:paraId="632BAACA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 vs 0 failing organs</w:t>
            </w:r>
          </w:p>
        </w:tc>
        <w:tc>
          <w:tcPr>
            <w:tcW w:w="0" w:type="auto"/>
            <w:hideMark/>
          </w:tcPr>
          <w:p w14:paraId="1D43FCF3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1.10 (1.06-1.14)</w:t>
            </w:r>
          </w:p>
        </w:tc>
      </w:tr>
      <w:tr w:rsidR="000B3C23" w:rsidRPr="000B3C23" w14:paraId="0029C5E8" w14:textId="77777777" w:rsidTr="000B3C23">
        <w:tc>
          <w:tcPr>
            <w:tcW w:w="0" w:type="auto"/>
            <w:vMerge/>
            <w:shd w:val="clear" w:color="auto" w:fill="D9D9D9" w:themeFill="background1" w:themeFillShade="D9"/>
            <w:hideMark/>
          </w:tcPr>
          <w:p w14:paraId="75B3832C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02BC14BE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proofErr w:type="gramStart"/>
            <w:r w:rsidRPr="000B3C23">
              <w:rPr>
                <w:sz w:val="14"/>
                <w:szCs w:val="14"/>
              </w:rPr>
              <w:t>≥2 vs</w:t>
            </w:r>
            <w:proofErr w:type="gramEnd"/>
            <w:r w:rsidRPr="000B3C23">
              <w:rPr>
                <w:sz w:val="14"/>
                <w:szCs w:val="14"/>
              </w:rPr>
              <w:t xml:space="preserve"> 0 failing organs</w:t>
            </w:r>
          </w:p>
        </w:tc>
        <w:tc>
          <w:tcPr>
            <w:tcW w:w="0" w:type="auto"/>
            <w:hideMark/>
          </w:tcPr>
          <w:p w14:paraId="047463EA" w14:textId="77777777" w:rsidR="000B3C23" w:rsidRPr="000B3C23" w:rsidRDefault="000B3C23" w:rsidP="000B3C23">
            <w:pPr>
              <w:spacing w:line="278" w:lineRule="auto"/>
              <w:rPr>
                <w:sz w:val="14"/>
                <w:szCs w:val="14"/>
              </w:rPr>
            </w:pPr>
            <w:r w:rsidRPr="000B3C23">
              <w:rPr>
                <w:sz w:val="14"/>
                <w:szCs w:val="14"/>
              </w:rPr>
              <w:t>1.62 (1.53-1.72)</w:t>
            </w:r>
          </w:p>
        </w:tc>
      </w:tr>
    </w:tbl>
    <w:p w14:paraId="595F0922" w14:textId="1D936D2F" w:rsidR="00C576E0" w:rsidRPr="000B3C23" w:rsidRDefault="000B3C23" w:rsidP="000B3C23">
      <w:pPr>
        <w:spacing w:after="0"/>
        <w:rPr>
          <w:sz w:val="14"/>
          <w:szCs w:val="14"/>
        </w:rPr>
      </w:pPr>
      <w:r w:rsidRPr="000B3C23">
        <w:rPr>
          <w:sz w:val="14"/>
          <w:szCs w:val="14"/>
        </w:rPr>
        <w:t xml:space="preserve">Phenotype-stratified analyses were limited to admissions classifiable as </w:t>
      </w:r>
      <w:proofErr w:type="spellStart"/>
      <w:r w:rsidRPr="000B3C23">
        <w:rPr>
          <w:sz w:val="14"/>
          <w:szCs w:val="14"/>
        </w:rPr>
        <w:t>HFrEF</w:t>
      </w:r>
      <w:proofErr w:type="spellEnd"/>
      <w:r w:rsidRPr="000B3C23">
        <w:rPr>
          <w:sz w:val="14"/>
          <w:szCs w:val="14"/>
        </w:rPr>
        <w:t xml:space="preserve"> or HFpEF. Sensitivity analyses were prespecified extensions of the main adjusted burden model. Non-home discharge was defined as discharge to short-term hospital, skilled nursing or intermediate care facility, or home health care.</w:t>
      </w:r>
    </w:p>
    <w:p w14:paraId="2B1512F1" w14:textId="77777777" w:rsidR="00C576E0" w:rsidRDefault="00C576E0" w:rsidP="00C576E0">
      <w:pPr>
        <w:spacing w:after="0"/>
        <w:rPr>
          <w:rFonts w:asciiTheme="majorHAnsi" w:hAnsiTheme="majorHAnsi"/>
          <w:sz w:val="22"/>
          <w:szCs w:val="22"/>
        </w:rPr>
      </w:pPr>
    </w:p>
    <w:p w14:paraId="48E53268" w14:textId="77777777" w:rsidR="006A0CA2" w:rsidRDefault="006A0CA2" w:rsidP="00C576E0">
      <w:pPr>
        <w:spacing w:after="0"/>
        <w:rPr>
          <w:rFonts w:asciiTheme="majorHAnsi" w:hAnsiTheme="majorHAnsi"/>
          <w:sz w:val="22"/>
          <w:szCs w:val="22"/>
        </w:rPr>
      </w:pPr>
    </w:p>
    <w:p w14:paraId="6D32F609" w14:textId="77777777" w:rsidR="006A0CA2" w:rsidRDefault="006A0CA2" w:rsidP="00C576E0">
      <w:pPr>
        <w:spacing w:after="0"/>
        <w:rPr>
          <w:rFonts w:asciiTheme="majorHAnsi" w:hAnsiTheme="majorHAnsi"/>
          <w:sz w:val="22"/>
          <w:szCs w:val="22"/>
        </w:rPr>
      </w:pPr>
    </w:p>
    <w:p w14:paraId="0CE5904D" w14:textId="27CA14BC" w:rsidR="000B3C23" w:rsidRPr="002F7180" w:rsidRDefault="000B3C23" w:rsidP="000B3C23">
      <w:pPr>
        <w:spacing w:after="0"/>
        <w:rPr>
          <w:rFonts w:asciiTheme="majorHAnsi" w:hAnsiTheme="majorHAnsi"/>
          <w:sz w:val="22"/>
          <w:szCs w:val="22"/>
        </w:rPr>
      </w:pPr>
      <w:r w:rsidRPr="000B3C23">
        <w:rPr>
          <w:b/>
          <w:bCs/>
          <w:sz w:val="14"/>
          <w:szCs w:val="14"/>
        </w:rPr>
        <w:t>Supplemental Table S4. Most common exact multi-organ failure combinations among admissions with ≥2 failing organs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6"/>
        <w:gridCol w:w="5088"/>
      </w:tblGrid>
      <w:tr w:rsidR="000B3C23" w:rsidRPr="000B3C23" w14:paraId="778CD973" w14:textId="77777777" w:rsidTr="000B3C23">
        <w:tc>
          <w:tcPr>
            <w:tcW w:w="0" w:type="auto"/>
            <w:shd w:val="clear" w:color="auto" w:fill="808080" w:themeFill="background1" w:themeFillShade="80"/>
            <w:hideMark/>
          </w:tcPr>
          <w:p w14:paraId="444A0A81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  <w:b/>
                <w:bCs/>
                <w:color w:val="FFFFFF" w:themeColor="background1"/>
              </w:rPr>
            </w:pPr>
            <w:r w:rsidRPr="000B3C23">
              <w:rPr>
                <w:rFonts w:asciiTheme="majorHAnsi" w:hAnsiTheme="majorHAnsi"/>
                <w:b/>
                <w:bCs/>
                <w:color w:val="FFFFFF" w:themeColor="background1"/>
              </w:rPr>
              <w:t>Exact combination</w:t>
            </w:r>
          </w:p>
        </w:tc>
        <w:tc>
          <w:tcPr>
            <w:tcW w:w="0" w:type="auto"/>
            <w:shd w:val="clear" w:color="auto" w:fill="808080" w:themeFill="background1" w:themeFillShade="80"/>
            <w:hideMark/>
          </w:tcPr>
          <w:p w14:paraId="6781BF18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  <w:b/>
                <w:bCs/>
                <w:color w:val="FFFFFF" w:themeColor="background1"/>
              </w:rPr>
            </w:pPr>
            <w:r w:rsidRPr="000B3C23">
              <w:rPr>
                <w:rFonts w:asciiTheme="majorHAnsi" w:hAnsiTheme="majorHAnsi"/>
                <w:b/>
                <w:bCs/>
                <w:color w:val="FFFFFF" w:themeColor="background1"/>
              </w:rPr>
              <w:t>Percentage among admissions with ≥2 failing organs</w:t>
            </w:r>
          </w:p>
        </w:tc>
      </w:tr>
      <w:tr w:rsidR="000B3C23" w:rsidRPr="000B3C23" w14:paraId="172829C2" w14:textId="77777777" w:rsidTr="000B3C23">
        <w:tc>
          <w:tcPr>
            <w:tcW w:w="0" w:type="auto"/>
            <w:shd w:val="clear" w:color="auto" w:fill="D9D9D9" w:themeFill="background1" w:themeFillShade="D9"/>
            <w:hideMark/>
          </w:tcPr>
          <w:p w14:paraId="717F19E5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Renal + respiratory failure</w:t>
            </w:r>
          </w:p>
        </w:tc>
        <w:tc>
          <w:tcPr>
            <w:tcW w:w="0" w:type="auto"/>
            <w:hideMark/>
          </w:tcPr>
          <w:p w14:paraId="34114F9E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49.5</w:t>
            </w:r>
          </w:p>
        </w:tc>
      </w:tr>
      <w:tr w:rsidR="000B3C23" w:rsidRPr="000B3C23" w14:paraId="3E281A42" w14:textId="77777777" w:rsidTr="000B3C23">
        <w:tc>
          <w:tcPr>
            <w:tcW w:w="0" w:type="auto"/>
            <w:shd w:val="clear" w:color="auto" w:fill="D9D9D9" w:themeFill="background1" w:themeFillShade="D9"/>
            <w:hideMark/>
          </w:tcPr>
          <w:p w14:paraId="7AD6A448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Renal + shock</w:t>
            </w:r>
          </w:p>
        </w:tc>
        <w:tc>
          <w:tcPr>
            <w:tcW w:w="0" w:type="auto"/>
            <w:hideMark/>
          </w:tcPr>
          <w:p w14:paraId="17694FD3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9.65</w:t>
            </w:r>
          </w:p>
        </w:tc>
      </w:tr>
      <w:tr w:rsidR="000B3C23" w:rsidRPr="000B3C23" w14:paraId="393A766D" w14:textId="77777777" w:rsidTr="000B3C23">
        <w:tc>
          <w:tcPr>
            <w:tcW w:w="0" w:type="auto"/>
            <w:shd w:val="clear" w:color="auto" w:fill="D9D9D9" w:themeFill="background1" w:themeFillShade="D9"/>
            <w:hideMark/>
          </w:tcPr>
          <w:p w14:paraId="23843031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Respiratory + neurologic failure</w:t>
            </w:r>
          </w:p>
        </w:tc>
        <w:tc>
          <w:tcPr>
            <w:tcW w:w="0" w:type="auto"/>
            <w:hideMark/>
          </w:tcPr>
          <w:p w14:paraId="213995F4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8.38</w:t>
            </w:r>
          </w:p>
        </w:tc>
      </w:tr>
      <w:tr w:rsidR="000B3C23" w:rsidRPr="000B3C23" w14:paraId="4CE70406" w14:textId="77777777" w:rsidTr="000B3C23">
        <w:tc>
          <w:tcPr>
            <w:tcW w:w="0" w:type="auto"/>
            <w:shd w:val="clear" w:color="auto" w:fill="D9D9D9" w:themeFill="background1" w:themeFillShade="D9"/>
            <w:hideMark/>
          </w:tcPr>
          <w:p w14:paraId="12DE03B3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Renal + respiratory + shock</w:t>
            </w:r>
          </w:p>
        </w:tc>
        <w:tc>
          <w:tcPr>
            <w:tcW w:w="0" w:type="auto"/>
            <w:hideMark/>
          </w:tcPr>
          <w:p w14:paraId="6A40A42B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8.00</w:t>
            </w:r>
          </w:p>
        </w:tc>
      </w:tr>
      <w:tr w:rsidR="000B3C23" w:rsidRPr="000B3C23" w14:paraId="34FEABDB" w14:textId="77777777" w:rsidTr="000B3C23">
        <w:tc>
          <w:tcPr>
            <w:tcW w:w="0" w:type="auto"/>
            <w:shd w:val="clear" w:color="auto" w:fill="D9D9D9" w:themeFill="background1" w:themeFillShade="D9"/>
            <w:hideMark/>
          </w:tcPr>
          <w:p w14:paraId="5592446D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Renal + respiratory + neurologic failure</w:t>
            </w:r>
          </w:p>
        </w:tc>
        <w:tc>
          <w:tcPr>
            <w:tcW w:w="0" w:type="auto"/>
            <w:hideMark/>
          </w:tcPr>
          <w:p w14:paraId="6757F92A" w14:textId="77777777" w:rsidR="000B3C23" w:rsidRPr="000B3C23" w:rsidRDefault="000B3C23" w:rsidP="000B3C23">
            <w:pPr>
              <w:spacing w:line="278" w:lineRule="auto"/>
              <w:rPr>
                <w:rFonts w:asciiTheme="majorHAnsi" w:hAnsiTheme="majorHAnsi"/>
              </w:rPr>
            </w:pPr>
            <w:r w:rsidRPr="000B3C23">
              <w:rPr>
                <w:rFonts w:asciiTheme="majorHAnsi" w:hAnsiTheme="majorHAnsi"/>
              </w:rPr>
              <w:t>5.59</w:t>
            </w:r>
          </w:p>
        </w:tc>
      </w:tr>
    </w:tbl>
    <w:p w14:paraId="1A8F71F2" w14:textId="02DC2D17" w:rsidR="000B3C23" w:rsidRPr="002F7180" w:rsidRDefault="000B3C23" w:rsidP="000B3C23">
      <w:pPr>
        <w:spacing w:after="0"/>
        <w:rPr>
          <w:rFonts w:asciiTheme="majorHAnsi" w:hAnsiTheme="majorHAnsi"/>
          <w:sz w:val="22"/>
          <w:szCs w:val="22"/>
        </w:rPr>
      </w:pPr>
      <w:r w:rsidRPr="000B3C23">
        <w:rPr>
          <w:b/>
          <w:bCs/>
          <w:sz w:val="14"/>
          <w:szCs w:val="14"/>
        </w:rPr>
        <w:t>Percentages are proportions within the subgroup of admissions with ≥2 failing organs.</w:t>
      </w:r>
    </w:p>
    <w:p w14:paraId="03D8EFF7" w14:textId="77777777" w:rsidR="000B3C23" w:rsidRPr="00C576E0" w:rsidRDefault="000B3C23" w:rsidP="00C576E0">
      <w:pPr>
        <w:spacing w:after="0"/>
        <w:rPr>
          <w:rFonts w:asciiTheme="majorHAnsi" w:hAnsiTheme="majorHAnsi"/>
          <w:sz w:val="22"/>
          <w:szCs w:val="22"/>
        </w:rPr>
      </w:pPr>
    </w:p>
    <w:sectPr w:rsidR="000B3C23" w:rsidRPr="00C57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C3609"/>
    <w:multiLevelType w:val="multilevel"/>
    <w:tmpl w:val="76C0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DF2581"/>
    <w:multiLevelType w:val="multilevel"/>
    <w:tmpl w:val="E60E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139283">
    <w:abstractNumId w:val="1"/>
  </w:num>
  <w:num w:numId="2" w16cid:durableId="124302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5B"/>
    <w:rsid w:val="00045145"/>
    <w:rsid w:val="00054E9B"/>
    <w:rsid w:val="0006658A"/>
    <w:rsid w:val="00071D3B"/>
    <w:rsid w:val="000B3C23"/>
    <w:rsid w:val="0010727E"/>
    <w:rsid w:val="00112098"/>
    <w:rsid w:val="00116E3A"/>
    <w:rsid w:val="00141BF3"/>
    <w:rsid w:val="00167165"/>
    <w:rsid w:val="001E06FE"/>
    <w:rsid w:val="001E7AD7"/>
    <w:rsid w:val="00237495"/>
    <w:rsid w:val="002813D6"/>
    <w:rsid w:val="0029296D"/>
    <w:rsid w:val="002F154C"/>
    <w:rsid w:val="002F7180"/>
    <w:rsid w:val="00372875"/>
    <w:rsid w:val="00372F22"/>
    <w:rsid w:val="003F2BD6"/>
    <w:rsid w:val="0043458F"/>
    <w:rsid w:val="004632CB"/>
    <w:rsid w:val="00511779"/>
    <w:rsid w:val="00520A2B"/>
    <w:rsid w:val="00540B30"/>
    <w:rsid w:val="00564829"/>
    <w:rsid w:val="00593AC8"/>
    <w:rsid w:val="005B195B"/>
    <w:rsid w:val="006005F4"/>
    <w:rsid w:val="0062204E"/>
    <w:rsid w:val="00684074"/>
    <w:rsid w:val="006A0CA2"/>
    <w:rsid w:val="006A4351"/>
    <w:rsid w:val="006B0D90"/>
    <w:rsid w:val="006D439F"/>
    <w:rsid w:val="00736FB6"/>
    <w:rsid w:val="007A277B"/>
    <w:rsid w:val="007C151C"/>
    <w:rsid w:val="00805C0C"/>
    <w:rsid w:val="008136CC"/>
    <w:rsid w:val="00847B1C"/>
    <w:rsid w:val="0088610F"/>
    <w:rsid w:val="008C7D01"/>
    <w:rsid w:val="00903F7C"/>
    <w:rsid w:val="00904108"/>
    <w:rsid w:val="00910825"/>
    <w:rsid w:val="00910A35"/>
    <w:rsid w:val="0094070E"/>
    <w:rsid w:val="00951650"/>
    <w:rsid w:val="009B2209"/>
    <w:rsid w:val="00A3597D"/>
    <w:rsid w:val="00A60B6A"/>
    <w:rsid w:val="00A87549"/>
    <w:rsid w:val="00B047CC"/>
    <w:rsid w:val="00B06BA2"/>
    <w:rsid w:val="00B10B35"/>
    <w:rsid w:val="00B139EB"/>
    <w:rsid w:val="00B27B2F"/>
    <w:rsid w:val="00B64D6E"/>
    <w:rsid w:val="00B67669"/>
    <w:rsid w:val="00BA1B4E"/>
    <w:rsid w:val="00BB2E13"/>
    <w:rsid w:val="00BE2DA1"/>
    <w:rsid w:val="00C11DB1"/>
    <w:rsid w:val="00C26063"/>
    <w:rsid w:val="00C31C1B"/>
    <w:rsid w:val="00C5191E"/>
    <w:rsid w:val="00C576E0"/>
    <w:rsid w:val="00C7110D"/>
    <w:rsid w:val="00C90665"/>
    <w:rsid w:val="00CA00AA"/>
    <w:rsid w:val="00CB187A"/>
    <w:rsid w:val="00CB20D3"/>
    <w:rsid w:val="00D12B67"/>
    <w:rsid w:val="00D37256"/>
    <w:rsid w:val="00D83D5B"/>
    <w:rsid w:val="00DA5165"/>
    <w:rsid w:val="00DC304C"/>
    <w:rsid w:val="00E13CBE"/>
    <w:rsid w:val="00E160FA"/>
    <w:rsid w:val="00E26AA7"/>
    <w:rsid w:val="00EA4955"/>
    <w:rsid w:val="00EE09A4"/>
    <w:rsid w:val="00EF76A3"/>
    <w:rsid w:val="00F04895"/>
    <w:rsid w:val="00F071C8"/>
    <w:rsid w:val="00F616B9"/>
    <w:rsid w:val="00F7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B365"/>
  <w15:chartTrackingRefBased/>
  <w15:docId w15:val="{3247D6EF-6EF8-4376-A5F4-23212CD4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7E"/>
  </w:style>
  <w:style w:type="paragraph" w:styleId="Heading1">
    <w:name w:val="heading 1"/>
    <w:basedOn w:val="Normal"/>
    <w:next w:val="Normal"/>
    <w:link w:val="Heading1Char"/>
    <w:uiPriority w:val="9"/>
    <w:qFormat/>
    <w:rsid w:val="00D83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D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7D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D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439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D43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BA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Shrouf</dc:creator>
  <cp:keywords/>
  <dc:description/>
  <cp:lastModifiedBy>Ahmad Shrouf</cp:lastModifiedBy>
  <cp:revision>3</cp:revision>
  <dcterms:created xsi:type="dcterms:W3CDTF">2026-04-17T03:13:00Z</dcterms:created>
  <dcterms:modified xsi:type="dcterms:W3CDTF">2026-04-17T03:51:00Z</dcterms:modified>
</cp:coreProperties>
</file>