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Supplementary File 1. Source Corpus and Materials Availability</w:t>
      </w:r>
    </w:p>
    <w:p>
      <w:r>
        <w:rPr>
          <w:b/>
        </w:rPr>
        <w:t xml:space="preserve">Purpose. </w:t>
      </w:r>
      <w:r>
        <w:t>This supplementary file identifies the principal public materials underpinning the qualitative, interpretive and historical-doctrinal analysis. It contains no author-identifying information. It is provided to assist editorial and peer-review verification of the source base, methods and interpretive claims.</w:t>
      </w:r>
    </w:p>
    <w:p>
      <w:r>
        <w:rPr>
          <w:b/>
        </w:rPr>
        <w:t xml:space="preserve">Nature of the study. </w:t>
      </w:r>
      <w:r>
        <w:t>The manuscript does not report survey responses, interviews, ethnographic field notes, participant data, statistical datasets, coded variables, formulae, software scripts or computational analysis. The materials are publicly available legal texts, official documents, public reports and published scholarship. The full cited corpus appears in the manuscript reference list; the table below identifies the principal materials and access routes most directly relevant to the legal, policy and historical claims.</w:t>
      </w:r>
    </w:p>
    <w:p>
      <w:pPr>
        <w:pStyle w:val="Heading1"/>
      </w:pPr>
      <w:r>
        <w:rPr>
          <w:b/>
        </w:rPr>
        <w:t>Principal legal, policy and official materials</w:t>
      </w:r>
    </w:p>
    <w:tbl>
      <w:tblPr>
        <w:tblStyle w:val="TableGrid"/>
        <w:tblW w:type="auto" w:w="0"/>
        <w:jc w:val="center"/>
        <w:tblLook w:firstColumn="1" w:firstRow="1" w:lastColumn="0" w:lastRow="0" w:noHBand="0" w:noVBand="1" w:val="04A0"/>
      </w:tblPr>
      <w:tblGrid>
        <w:gridCol w:w="3312"/>
        <w:gridCol w:w="3312"/>
        <w:gridCol w:w="3312"/>
      </w:tblGrid>
      <w:tr>
        <w:tc>
          <w:tcPr>
            <w:tcW w:type="dxa" w:w="3312"/>
          </w:tcPr>
          <w:p>
            <w:r>
              <w:rPr>
                <w:b/>
                <w:sz w:val="18"/>
              </w:rPr>
              <w:t>Material / source</w:t>
            </w:r>
          </w:p>
        </w:tc>
        <w:tc>
          <w:tcPr>
            <w:tcW w:type="dxa" w:w="3312"/>
          </w:tcPr>
          <w:p>
            <w:r>
              <w:rPr>
                <w:b/>
                <w:sz w:val="18"/>
              </w:rPr>
              <w:t>Use in the manuscript</w:t>
            </w:r>
          </w:p>
        </w:tc>
        <w:tc>
          <w:tcPr>
            <w:tcW w:type="dxa" w:w="3312"/>
          </w:tcPr>
          <w:p>
            <w:r>
              <w:rPr>
                <w:b/>
                <w:sz w:val="18"/>
              </w:rPr>
              <w:t>Access route</w:t>
            </w:r>
          </w:p>
        </w:tc>
      </w:tr>
      <w:tr>
        <w:tc>
          <w:tcPr>
            <w:tcW w:type="dxa" w:w="3312"/>
            <w:vAlign w:val="top"/>
          </w:tcPr>
          <w:p>
            <w:pPr>
              <w:spacing w:after="0"/>
            </w:pPr>
            <w:r>
              <w:rPr>
                <w:sz w:val="18"/>
              </w:rPr>
              <w:t>Constitution of the Socialist Republic of Vietnam (2013)</w:t>
            </w:r>
          </w:p>
        </w:tc>
        <w:tc>
          <w:tcPr>
            <w:tcW w:type="dxa" w:w="3312"/>
            <w:vAlign w:val="top"/>
          </w:tcPr>
          <w:p>
            <w:pPr>
              <w:spacing w:after="0"/>
            </w:pPr>
            <w:r>
              <w:rPr>
                <w:sz w:val="18"/>
              </w:rPr>
              <w:t>Constitutional background for socialist legality, the role of the Party-state and freedom of belief and religion.</w:t>
            </w:r>
          </w:p>
        </w:tc>
        <w:tc>
          <w:tcPr>
            <w:tcW w:type="dxa" w:w="3312"/>
            <w:vAlign w:val="top"/>
          </w:tcPr>
          <w:p>
            <w:pPr>
              <w:spacing w:after="0"/>
            </w:pPr>
            <w:r>
              <w:rPr>
                <w:sz w:val="18"/>
              </w:rPr>
              <w:t>Public legal text; cited in the manuscript reference list. English translations are available through public legal-information sources and academic repositories.</w:t>
            </w:r>
          </w:p>
        </w:tc>
      </w:tr>
      <w:tr>
        <w:tc>
          <w:tcPr>
            <w:tcW w:type="dxa" w:w="3312"/>
            <w:vAlign w:val="top"/>
          </w:tcPr>
          <w:p>
            <w:pPr>
              <w:spacing w:after="0"/>
            </w:pPr>
            <w:r>
              <w:rPr>
                <w:sz w:val="18"/>
              </w:rPr>
              <w:t>Law on Belief and Religion, Law No. 02/2016/QH14 (2016)</w:t>
            </w:r>
          </w:p>
        </w:tc>
        <w:tc>
          <w:tcPr>
            <w:tcW w:type="dxa" w:w="3312"/>
            <w:vAlign w:val="top"/>
          </w:tcPr>
          <w:p>
            <w:pPr>
              <w:spacing w:after="0"/>
            </w:pPr>
            <w:r>
              <w:rPr>
                <w:sz w:val="18"/>
              </w:rPr>
              <w:t>Statutory framework for recognition, religious activities, religious organisations, registration and state management of belief and religion.</w:t>
            </w:r>
          </w:p>
        </w:tc>
        <w:tc>
          <w:tcPr>
            <w:tcW w:type="dxa" w:w="3312"/>
            <w:vAlign w:val="top"/>
          </w:tcPr>
          <w:p>
            <w:pPr>
              <w:spacing w:after="0"/>
            </w:pPr>
            <w:r>
              <w:rPr>
                <w:sz w:val="18"/>
              </w:rPr>
              <w:t>Public legal text; cited in the manuscript reference list. English translation is accessible through public legal-information sources such as LuatVietnam/Thu Vien Phap Luat.</w:t>
            </w:r>
          </w:p>
        </w:tc>
      </w:tr>
      <w:tr>
        <w:tc>
          <w:tcPr>
            <w:tcW w:type="dxa" w:w="3312"/>
            <w:vAlign w:val="top"/>
          </w:tcPr>
          <w:p>
            <w:pPr>
              <w:spacing w:after="0"/>
            </w:pPr>
            <w:r>
              <w:rPr>
                <w:sz w:val="18"/>
              </w:rPr>
              <w:t>Government Committee for Religious Affairs (2023), Religions and Religious Policy in Vietnam</w:t>
            </w:r>
          </w:p>
        </w:tc>
        <w:tc>
          <w:tcPr>
            <w:tcW w:type="dxa" w:w="3312"/>
            <w:vAlign w:val="top"/>
          </w:tcPr>
          <w:p>
            <w:pPr>
              <w:spacing w:after="0"/>
            </w:pPr>
            <w:r>
              <w:rPr>
                <w:sz w:val="18"/>
              </w:rPr>
              <w:t>Official source for religious-policy context and the cited figures on Buddhism and places of worship.</w:t>
            </w:r>
          </w:p>
        </w:tc>
        <w:tc>
          <w:tcPr>
            <w:tcW w:type="dxa" w:w="3312"/>
            <w:vAlign w:val="top"/>
          </w:tcPr>
          <w:p>
            <w:pPr>
              <w:spacing w:after="0"/>
            </w:pPr>
            <w:r>
              <w:rPr>
                <w:sz w:val="18"/>
              </w:rPr>
              <w:t>Public PDF issued by the Government Committee for Religious Affairs / Religion Publishing House; URL provided in the manuscript reference list.</w:t>
            </w:r>
          </w:p>
        </w:tc>
      </w:tr>
      <w:tr>
        <w:tc>
          <w:tcPr>
            <w:tcW w:type="dxa" w:w="3312"/>
            <w:vAlign w:val="top"/>
          </w:tcPr>
          <w:p>
            <w:pPr>
              <w:spacing w:after="0"/>
            </w:pPr>
            <w:r>
              <w:rPr>
                <w:sz w:val="18"/>
              </w:rPr>
              <w:t>Government Portal of Vietnam (2026), report on the amended Law on Belief and Religion</w:t>
            </w:r>
          </w:p>
        </w:tc>
        <w:tc>
          <w:tcPr>
            <w:tcW w:type="dxa" w:w="3312"/>
            <w:vAlign w:val="top"/>
          </w:tcPr>
          <w:p>
            <w:pPr>
              <w:spacing w:after="0"/>
            </w:pPr>
            <w:r>
              <w:rPr>
                <w:sz w:val="18"/>
              </w:rPr>
              <w:t>Official reporting on the 2026 amendment process, legislative timing and policy rationale for revised governance of belief and religion.</w:t>
            </w:r>
          </w:p>
        </w:tc>
        <w:tc>
          <w:tcPr>
            <w:tcW w:type="dxa" w:w="3312"/>
            <w:vAlign w:val="top"/>
          </w:tcPr>
          <w:p>
            <w:pPr>
              <w:spacing w:after="0"/>
            </w:pPr>
            <w:r>
              <w:rPr>
                <w:sz w:val="18"/>
              </w:rPr>
              <w:t>Public Government Portal / Government News report dated 23 April 2026; URL provided in the revised manuscript reference list.</w:t>
            </w:r>
          </w:p>
        </w:tc>
      </w:tr>
      <w:tr>
        <w:tc>
          <w:tcPr>
            <w:tcW w:type="dxa" w:w="3312"/>
            <w:vAlign w:val="top"/>
          </w:tcPr>
          <w:p>
            <w:pPr>
              <w:spacing w:after="0"/>
            </w:pPr>
            <w:r>
              <w:rPr>
                <w:sz w:val="18"/>
              </w:rPr>
              <w:t>Ho Chi Minh National Academy of Politics (2022), Ho Chi Minh thought on state and law</w:t>
            </w:r>
          </w:p>
        </w:tc>
        <w:tc>
          <w:tcPr>
            <w:tcW w:type="dxa" w:w="3312"/>
            <w:vAlign w:val="top"/>
          </w:tcPr>
          <w:p>
            <w:pPr>
              <w:spacing w:after="0"/>
            </w:pPr>
            <w:r>
              <w:rPr>
                <w:sz w:val="18"/>
              </w:rPr>
              <w:t>Contextual source for socialist rule-of-law discourse and state-law thinking in Vietnam.</w:t>
            </w:r>
          </w:p>
        </w:tc>
        <w:tc>
          <w:tcPr>
            <w:tcW w:type="dxa" w:w="3312"/>
            <w:vAlign w:val="top"/>
          </w:tcPr>
          <w:p>
            <w:pPr>
              <w:spacing w:after="0"/>
            </w:pPr>
            <w:r>
              <w:rPr>
                <w:sz w:val="18"/>
              </w:rPr>
              <w:t>Public official/policy commentary; cited in the manuscript reference list.</w:t>
            </w:r>
          </w:p>
        </w:tc>
      </w:tr>
      <w:tr>
        <w:tc>
          <w:tcPr>
            <w:tcW w:type="dxa" w:w="3312"/>
            <w:vAlign w:val="top"/>
          </w:tcPr>
          <w:p>
            <w:pPr>
              <w:spacing w:after="0"/>
            </w:pPr>
            <w:r>
              <w:rPr>
                <w:sz w:val="18"/>
              </w:rPr>
              <w:t>United States Commission on International Religious Freedom (2024), State-controlled religion and religious freedom in Vietnam</w:t>
            </w:r>
          </w:p>
        </w:tc>
        <w:tc>
          <w:tcPr>
            <w:tcW w:type="dxa" w:w="3312"/>
            <w:vAlign w:val="top"/>
          </w:tcPr>
          <w:p>
            <w:pPr>
              <w:spacing w:after="0"/>
            </w:pPr>
            <w:r>
              <w:rPr>
                <w:sz w:val="18"/>
              </w:rPr>
              <w:t>External policy report used to reflect debates on the regulatory and restrictive dimensions of religious governance.</w:t>
            </w:r>
          </w:p>
        </w:tc>
        <w:tc>
          <w:tcPr>
            <w:tcW w:type="dxa" w:w="3312"/>
            <w:vAlign w:val="top"/>
          </w:tcPr>
          <w:p>
            <w:pPr>
              <w:spacing w:after="0"/>
            </w:pPr>
            <w:r>
              <w:rPr>
                <w:sz w:val="18"/>
              </w:rPr>
              <w:t>Public report; cited in the manuscript reference list.</w:t>
            </w:r>
          </w:p>
        </w:tc>
      </w:tr>
    </w:tbl>
    <w:p>
      <w:pPr>
        <w:pStyle w:val="Heading1"/>
      </w:pPr>
      <w:r>
        <w:rPr>
          <w:b/>
        </w:rPr>
        <w:t>Published scholarly corpus</w:t>
      </w:r>
    </w:p>
    <w:p>
      <w:r>
        <w:rPr>
          <w:b/>
        </w:rPr>
        <w:t xml:space="preserve">Comparative Buddhism, politics and constitutionalism. </w:t>
      </w:r>
      <w:r>
        <w:t>The manuscript relies on published work by Borchert, Foxeus, Gamage, Ginsburg and Schonthal, Harris, Sombatpoonsiri, Asad, Casanova, Habermas, Moustafa and Taylor to situate Vietnam within comparative debates on Buddhism, nationalism, public religion, secular governance and constitutional/legal culture. Journal articles with DOI identifiers are linked in the manuscript reference list; books and edited volumes are accessible through their publishers or academic libraries.</w:t>
      </w:r>
    </w:p>
    <w:p>
      <w:r>
        <w:rPr>
          <w:b/>
        </w:rPr>
        <w:t xml:space="preserve">Vietnamese Buddhism, history and wartime public ethics. </w:t>
      </w:r>
      <w:r>
        <w:t>The manuscript relies on published historical and area-studies scholarship, including DeVido, Marr, McHale, Miller, Nguyen TT, Taylor P, Topmiller, Thich Nhat Hanh and Woodside, together with recent work on Truc Lam revival, engaged Buddhism and the 1963 Buddhist mobilisation. The cited journal articles include DOI links where available; books, dissertations and edited chapters are identified in the reference list.</w:t>
      </w:r>
    </w:p>
    <w:p>
      <w:r>
        <w:rPr>
          <w:b/>
        </w:rPr>
        <w:t xml:space="preserve">Religion, law and contemporary religious governance in Vietnam. </w:t>
      </w:r>
      <w:r>
        <w:t>The manuscript relies on published legal, sociological and policy scholarship by Bui, Le and Kraus, Nguyen CV and Nguyen TV, Roszko, Rumsby, Rumsby and Gorman, Vu and Le, Dang, Le LT, Nguyen TH and Nguyen LTT, and Nguyen DM. These sources support the analysis of recognition, registration, state management, digital religion, public religion and professionalised engaged Buddhism. DOI links and bibliographic details are provided in the manuscript reference list where available.</w:t>
      </w:r>
    </w:p>
    <w:p>
      <w:pPr>
        <w:pStyle w:val="Heading1"/>
      </w:pPr>
      <w:r>
        <w:rPr>
          <w:b/>
        </w:rPr>
        <w:t>Availability statement for supplementary materials</w:t>
      </w:r>
    </w:p>
    <w:p>
      <w:r>
        <w:t>All materials listed above are public legal texts, public official documents/reports, or published academic sources. No confidential, proprietary, restricted-access or personally identifiable materials were used. No raw datasets, coded variables, interview transcripts, survey instruments, statistical files, formulae or scripts exist for deposit because the study is not empirical, computational or statistical in design.</w:t>
      </w:r>
    </w:p>
    <w:sectPr>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eastAsia="Times New Roman"/>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eastAsia="Times New Roman"/>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Times New Roman" w:hAnsi="Times New Roman" w:eastAsia="Times New Roman"/>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File 1. Source Corpus and Materials Availability</dc:title>
  <dc:subject/>
  <dc:creator/>
  <cp:keywords/>
  <dc:description/>
  <cp:lastModifiedBy/>
  <cp:revision>1</cp:revision>
  <dcterms:created xsi:type="dcterms:W3CDTF">2013-12-23T23:15:00Z</dcterms:created>
  <dcterms:modified xsi:type="dcterms:W3CDTF">2013-12-23T23:15:00Z</dcterms:modified>
  <cp:category/>
</cp:coreProperties>
</file>