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478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</w:pPr>
      <w:r>
        <w:drawing>
          <wp:inline distT="0" distB="0" distL="0" distR="0">
            <wp:extent cx="5270500" cy="7354570"/>
            <wp:effectExtent l="12700" t="12700" r="12700" b="1143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54570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3FA94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</w:pPr>
    </w:p>
    <w:p w14:paraId="5BEF0A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</w:pPr>
      <w:r>
        <w:drawing>
          <wp:inline distT="0" distB="0" distL="0" distR="0">
            <wp:extent cx="5270500" cy="4541520"/>
            <wp:effectExtent l="12700" t="12700" r="12700" b="177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541520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7C7A3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</w:pPr>
    </w:p>
    <w:p w14:paraId="78B528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Figure S1. SUCL</w:t>
      </w:r>
      <w:bookmarkStart w:id="5" w:name="_GoBack"/>
      <w:bookmarkEnd w:id="5"/>
      <w:r>
        <w:rPr>
          <w:rFonts w:ascii="Times New Roman" w:hAnsi="Times New Roman" w:cs="Times New Roman"/>
          <w:b/>
          <w:bCs/>
        </w:rPr>
        <w:t xml:space="preserve">G2 confers resistance to platinum-based drugs as assessed by PI staining assay. </w:t>
      </w:r>
      <w:r>
        <w:rPr>
          <w:rFonts w:hint="eastAsia"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A)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SUCLG2-OE </w:t>
      </w:r>
      <w:r>
        <w:rPr>
          <w:rFonts w:hint="eastAsia"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</w:t>
      </w:r>
      <w:bookmarkStart w:id="0" w:name="OLE_LINK58"/>
      <w:r>
        <w:rPr>
          <w:rFonts w:ascii="Times New Roman" w:hAnsi="Times New Roman" w:cs="Times New Roman"/>
        </w:rPr>
        <w:t>CTL-OE</w:t>
      </w:r>
      <w:bookmarkEnd w:id="0"/>
      <w:r>
        <w:rPr>
          <w:rFonts w:ascii="Times New Roman" w:hAnsi="Times New Roman" w:cs="Times New Roman"/>
        </w:rPr>
        <w:t xml:space="preserve"> H1299 cells were treated with DDP (40 μM) for 24 h. Cell death was analyzed using PI staining assay. (B and C) SUCLG2-KO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A549 (B) </w:t>
      </w:r>
      <w:r>
        <w:rPr>
          <w:rFonts w:hint="eastAsia"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H1299 (C) cells were treated with the indicated concentrations of DDP for 24 h. Cell death was analyzed using PI staining assay. (D) SUCLG2-OE</w:t>
      </w:r>
      <w:r>
        <w:rPr>
          <w:rFonts w:hint="eastAsia"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kern w:val="0"/>
        </w:rPr>
        <w:t>CTL-OE</w:t>
      </w:r>
      <w:r>
        <w:rPr>
          <w:rFonts w:ascii="Times New Roman" w:hAnsi="Times New Roman" w:cs="Times New Roman"/>
        </w:rPr>
        <w:t xml:space="preserve"> A549 cells were treated with CBP (200 </w:t>
      </w:r>
      <w:bookmarkStart w:id="1" w:name="OLE_LINK42"/>
      <w:r>
        <w:rPr>
          <w:rFonts w:ascii="Times New Roman" w:hAnsi="Times New Roman" w:cs="Times New Roman"/>
        </w:rPr>
        <w:t>μM</w:t>
      </w:r>
      <w:bookmarkEnd w:id="1"/>
      <w:r>
        <w:rPr>
          <w:rFonts w:ascii="Times New Roman" w:hAnsi="Times New Roman" w:cs="Times New Roman"/>
        </w:rPr>
        <w:t>) for 24 h, followed by cell death analysis using PI staining assay. (E and F) SUCLG2-KO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A549 (E) </w:t>
      </w:r>
      <w:r>
        <w:rPr>
          <w:rFonts w:hint="eastAsia"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H1299 (F) cells were treated with the indicated concentrations CBP for 24 h. Cell death was analyzed using PI staining assay.</w:t>
      </w:r>
    </w:p>
    <w:p w14:paraId="58EEF5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5270500" cy="5445125"/>
            <wp:effectExtent l="12700" t="12700" r="12700" b="158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5445125"/>
                    </a:xfrm>
                    <a:prstGeom prst="rect">
                      <a:avLst/>
                    </a:prstGeom>
                    <a:ln w="6350"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6249D9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cs="Times New Roman"/>
        </w:rPr>
      </w:pPr>
      <w:bookmarkStart w:id="2" w:name="OLE_LINK87"/>
      <w:r>
        <w:rPr>
          <w:rFonts w:hint="eastAsia" w:ascii="Times New Roman" w:hAnsi="Times New Roman" w:cs="Times New Roman"/>
          <w:b/>
          <w:bCs/>
        </w:rPr>
        <w:t>F</w:t>
      </w:r>
      <w:r>
        <w:rPr>
          <w:rFonts w:ascii="Times New Roman" w:hAnsi="Times New Roman" w:cs="Times New Roman"/>
          <w:b/>
          <w:bCs/>
        </w:rPr>
        <w:t xml:space="preserve">igure S2. Glutamine metabolism is critical for platinum resistance in cancer cells. </w:t>
      </w:r>
      <w:r>
        <w:rPr>
          <w:rFonts w:ascii="Times New Roman" w:hAnsi="Times New Roman" w:cs="Times New Roman"/>
        </w:rPr>
        <w:t>(A and B)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 xml:space="preserve">H1299 cells cultured under glutamine-deprived or normal conditions were treated with indicated doses of DDP (A) or CBP (B), followed by cell viability analysis using CCK-8 assay. (C and D) Apoptosis levels in </w:t>
      </w:r>
      <w:bookmarkStart w:id="3" w:name="OLE_LINK57"/>
      <w:r>
        <w:rPr>
          <w:rFonts w:ascii="Times New Roman" w:hAnsi="Times New Roman" w:cs="Times New Roman"/>
        </w:rPr>
        <w:t>SUCLG2-KO</w:t>
      </w:r>
      <w:bookmarkEnd w:id="3"/>
      <w:r>
        <w:rPr>
          <w:rFonts w:ascii="Times New Roman" w:hAnsi="Times New Roman" w:cs="Times New Roman"/>
        </w:rPr>
        <w:t xml:space="preserve"> and</w:t>
      </w:r>
      <w:r>
        <w:rPr>
          <w:rFonts w:ascii="Times New Roman" w:hAnsi="Times New Roman" w:cs="Times New Roman"/>
          <w:kern w:val="0"/>
        </w:rPr>
        <w:t xml:space="preserve"> CTL-KO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H1299 cells treated with DDP and supplemented with glutamine were assessed by flow cytometry. Data represent mean ± SD of three independent experiments. n</w:t>
      </w:r>
      <w:r>
        <w:rPr>
          <w:rFonts w:hint="eastAsia"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: not significant (</w:t>
      </w:r>
      <w:r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&gt; 0.05); *</w:t>
      </w:r>
      <w:r>
        <w:rPr>
          <w:rFonts w:hint="eastAsia"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0.05; ***</w:t>
      </w:r>
      <w:r>
        <w:rPr>
          <w:rFonts w:hint="eastAsia"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0.001. (E and F) Apoptosis levels in SUCLG2-KO and CTL-</w:t>
      </w:r>
      <w:r>
        <w:rPr>
          <w:rFonts w:hint="eastAsia" w:ascii="Times New Roman" w:hAnsi="Times New Roman" w:cs="Times New Roman"/>
        </w:rPr>
        <w:t>KO</w:t>
      </w:r>
      <w:r>
        <w:rPr>
          <w:rFonts w:ascii="Times New Roman" w:hAnsi="Times New Roman" w:cs="Times New Roman"/>
        </w:rPr>
        <w:t xml:space="preserve"> H1299 cells treated with CBP and supplemented with glutamine were assessed by flow cytometry. Data represent mean ± SD of three independent experiments. </w:t>
      </w:r>
      <w:bookmarkStart w:id="4" w:name="OLE_LINK60"/>
      <w:r>
        <w:rPr>
          <w:rFonts w:ascii="Times New Roman" w:hAnsi="Times New Roman" w:cs="Times New Roman"/>
        </w:rPr>
        <w:t>n</w:t>
      </w:r>
      <w:r>
        <w:rPr>
          <w:rFonts w:hint="eastAsia"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: not significant (</w:t>
      </w:r>
      <w:r>
        <w:rPr>
          <w:rFonts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&gt; 0.05);</w:t>
      </w:r>
      <w:bookmarkEnd w:id="4"/>
      <w:r>
        <w:rPr>
          <w:rFonts w:ascii="Times New Roman" w:hAnsi="Times New Roman" w:cs="Times New Roman"/>
        </w:rPr>
        <w:t xml:space="preserve"> ***</w:t>
      </w:r>
      <w:r>
        <w:rPr>
          <w:rFonts w:hint="eastAsia" w:ascii="Times New Roman" w:hAnsi="Times New Roman" w:cs="Times New Roman"/>
          <w:i/>
          <w:iCs/>
        </w:rPr>
        <w:t>p</w:t>
      </w:r>
      <w:r>
        <w:rPr>
          <w:rFonts w:ascii="Times New Roman" w:hAnsi="Times New Roman" w:cs="Times New Roman"/>
        </w:rPr>
        <w:t xml:space="preserve"> &lt; 0.001.</w:t>
      </w:r>
    </w:p>
    <w:bookmarkEnd w:id="2"/>
    <w:p w14:paraId="46196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Times New Roman" w:hAnsi="Times New Roman" w:cs="Times New Roman"/>
        </w:rPr>
      </w:pPr>
    </w:p>
    <w:p w14:paraId="71F84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drawing>
          <wp:inline distT="0" distB="0" distL="0" distR="0">
            <wp:extent cx="5270500" cy="2986405"/>
            <wp:effectExtent l="12700" t="12700" r="12700" b="10795"/>
            <wp:docPr id="68989735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89735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b="6076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86874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5E198F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cs="Times New Roman"/>
        </w:rPr>
      </w:pPr>
      <w:r>
        <w:rPr>
          <w:rFonts w:hint="eastAsia" w:ascii="Times New Roman" w:hAnsi="Times New Roman" w:cs="Times New Roman"/>
          <w:b/>
          <w:bCs/>
        </w:rPr>
        <w:t>F</w:t>
      </w:r>
      <w:r>
        <w:rPr>
          <w:rFonts w:ascii="Times New Roman" w:hAnsi="Times New Roman" w:cs="Times New Roman"/>
          <w:b/>
          <w:bCs/>
        </w:rPr>
        <w:t xml:space="preserve">igure S3. K311 site of GAC is a critical residue mediating platinum resistance. </w:t>
      </w:r>
      <w:r>
        <w:rPr>
          <w:rFonts w:ascii="Times New Roman" w:hAnsi="Times New Roman" w:cs="Times New Roman"/>
        </w:rPr>
        <w:t>(A) A549 cells overexpressing the GAC-WT or GAC-K164R plasmids were prepared, and co-IP and western blot were used to detect the succinylation of protein. (B) A549 cells overexpressing SIRT5 and GAC-K311R plasmids were prepared, and co-IP and western blot were used to detect the succinylation of protein. (C)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A549 </w:t>
      </w:r>
      <w:r>
        <w:rPr>
          <w:rFonts w:hint="eastAsia" w:ascii="Times New Roman" w:hAnsi="Times New Roman" w:cs="Times New Roman"/>
        </w:rPr>
        <w:t>and</w:t>
      </w:r>
      <w:r>
        <w:rPr>
          <w:rFonts w:ascii="Times New Roman" w:hAnsi="Times New Roman" w:cs="Times New Roman"/>
        </w:rPr>
        <w:t xml:space="preserve"> H1299 cells overexpressing the GAC-WT or GAC-K164R plasmids were prepared, and co-IP and GLS activity kit were used to detect the activity of GAC. (D and E) H1299 cells </w:t>
      </w:r>
      <w:r>
        <w:rPr>
          <w:rFonts w:hint="eastAsia"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verexpressing GAC-</w:t>
      </w:r>
      <w:r>
        <w:rPr>
          <w:rFonts w:hint="eastAsia" w:ascii="Times New Roman" w:hAnsi="Times New Roman" w:cs="Times New Roman"/>
        </w:rPr>
        <w:t>WT</w:t>
      </w:r>
      <w:r>
        <w:rPr>
          <w:rFonts w:ascii="Times New Roman" w:hAnsi="Times New Roman" w:cs="Times New Roman"/>
        </w:rPr>
        <w:t xml:space="preserve"> or GAC-K311R were treated with indicated concentrations of DDP</w:t>
      </w:r>
      <w:r>
        <w:rPr>
          <w:rFonts w:hint="eastAsia"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(C) or CBP (D) for 24 h, followed by cell viability analysis using CCK-8 assay.</w:t>
      </w:r>
    </w:p>
    <w:p w14:paraId="15931A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ascii="Times New Roman" w:hAnsi="Times New Roman" w:cs="Times New Roman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42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7"/>
  <w:bordersDoNotSurroundHeader w:val="1"/>
  <w:bordersDoNotSurroundFooter w:val="1"/>
  <w:documentProtection w:enforcement="0"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426"/>
    <w:rsid w:val="00031D6D"/>
    <w:rsid w:val="000629E8"/>
    <w:rsid w:val="00065677"/>
    <w:rsid w:val="00083A24"/>
    <w:rsid w:val="000C5E7F"/>
    <w:rsid w:val="000E3C9E"/>
    <w:rsid w:val="000E4E72"/>
    <w:rsid w:val="000F352F"/>
    <w:rsid w:val="00101D11"/>
    <w:rsid w:val="00110154"/>
    <w:rsid w:val="00124FF1"/>
    <w:rsid w:val="001455FE"/>
    <w:rsid w:val="00171C1C"/>
    <w:rsid w:val="00177B02"/>
    <w:rsid w:val="0018339B"/>
    <w:rsid w:val="00184BF6"/>
    <w:rsid w:val="001850FF"/>
    <w:rsid w:val="001A0850"/>
    <w:rsid w:val="001A343E"/>
    <w:rsid w:val="001C6AAB"/>
    <w:rsid w:val="001F7786"/>
    <w:rsid w:val="00302714"/>
    <w:rsid w:val="00336E50"/>
    <w:rsid w:val="00352D96"/>
    <w:rsid w:val="00374E66"/>
    <w:rsid w:val="0039400E"/>
    <w:rsid w:val="003B097A"/>
    <w:rsid w:val="003B277E"/>
    <w:rsid w:val="003D28C9"/>
    <w:rsid w:val="003E25C2"/>
    <w:rsid w:val="003F1CEC"/>
    <w:rsid w:val="00424661"/>
    <w:rsid w:val="00453145"/>
    <w:rsid w:val="0046778F"/>
    <w:rsid w:val="004B246E"/>
    <w:rsid w:val="004B7E35"/>
    <w:rsid w:val="004C3BF5"/>
    <w:rsid w:val="004D0A7D"/>
    <w:rsid w:val="00532FFF"/>
    <w:rsid w:val="005A0F04"/>
    <w:rsid w:val="005D421A"/>
    <w:rsid w:val="005D501C"/>
    <w:rsid w:val="005D5ADD"/>
    <w:rsid w:val="005D5CEF"/>
    <w:rsid w:val="005E6FB3"/>
    <w:rsid w:val="005F0647"/>
    <w:rsid w:val="005F334E"/>
    <w:rsid w:val="005F3AF7"/>
    <w:rsid w:val="00601E51"/>
    <w:rsid w:val="00606358"/>
    <w:rsid w:val="006202B1"/>
    <w:rsid w:val="006227F6"/>
    <w:rsid w:val="00623848"/>
    <w:rsid w:val="0064536A"/>
    <w:rsid w:val="00646575"/>
    <w:rsid w:val="00651454"/>
    <w:rsid w:val="00682BA3"/>
    <w:rsid w:val="00687418"/>
    <w:rsid w:val="006D6E61"/>
    <w:rsid w:val="00707115"/>
    <w:rsid w:val="007076B4"/>
    <w:rsid w:val="00720DE7"/>
    <w:rsid w:val="00733779"/>
    <w:rsid w:val="00736A76"/>
    <w:rsid w:val="00755CA1"/>
    <w:rsid w:val="00772D74"/>
    <w:rsid w:val="0077503C"/>
    <w:rsid w:val="00775EC9"/>
    <w:rsid w:val="00787489"/>
    <w:rsid w:val="007D1461"/>
    <w:rsid w:val="007E78C5"/>
    <w:rsid w:val="007F286D"/>
    <w:rsid w:val="007F652C"/>
    <w:rsid w:val="00845AB7"/>
    <w:rsid w:val="008625FF"/>
    <w:rsid w:val="00862D6E"/>
    <w:rsid w:val="008A6708"/>
    <w:rsid w:val="008C0E5F"/>
    <w:rsid w:val="008D1365"/>
    <w:rsid w:val="008E1806"/>
    <w:rsid w:val="008E25AC"/>
    <w:rsid w:val="009000A7"/>
    <w:rsid w:val="0092197F"/>
    <w:rsid w:val="00951BA5"/>
    <w:rsid w:val="00972C4A"/>
    <w:rsid w:val="00984492"/>
    <w:rsid w:val="009A164B"/>
    <w:rsid w:val="009B16E5"/>
    <w:rsid w:val="009B2A5A"/>
    <w:rsid w:val="009B5BCA"/>
    <w:rsid w:val="009B6474"/>
    <w:rsid w:val="009E6F71"/>
    <w:rsid w:val="00A10B02"/>
    <w:rsid w:val="00A53931"/>
    <w:rsid w:val="00A8734A"/>
    <w:rsid w:val="00A95666"/>
    <w:rsid w:val="00AA7C20"/>
    <w:rsid w:val="00AB4C82"/>
    <w:rsid w:val="00AC2259"/>
    <w:rsid w:val="00AD5BCA"/>
    <w:rsid w:val="00AD73E7"/>
    <w:rsid w:val="00B05620"/>
    <w:rsid w:val="00B31A31"/>
    <w:rsid w:val="00B55263"/>
    <w:rsid w:val="00B70B54"/>
    <w:rsid w:val="00B754A4"/>
    <w:rsid w:val="00B762BB"/>
    <w:rsid w:val="00B82498"/>
    <w:rsid w:val="00BB1E29"/>
    <w:rsid w:val="00BD4CE6"/>
    <w:rsid w:val="00BD5009"/>
    <w:rsid w:val="00BD5296"/>
    <w:rsid w:val="00BE4188"/>
    <w:rsid w:val="00BF266A"/>
    <w:rsid w:val="00C11BB8"/>
    <w:rsid w:val="00C27161"/>
    <w:rsid w:val="00C462EA"/>
    <w:rsid w:val="00C51426"/>
    <w:rsid w:val="00C61EE8"/>
    <w:rsid w:val="00C71E34"/>
    <w:rsid w:val="00C80ABA"/>
    <w:rsid w:val="00C81F62"/>
    <w:rsid w:val="00C93EA5"/>
    <w:rsid w:val="00C97792"/>
    <w:rsid w:val="00CA5E7B"/>
    <w:rsid w:val="00CB25B0"/>
    <w:rsid w:val="00CE399F"/>
    <w:rsid w:val="00D27CDD"/>
    <w:rsid w:val="00D53254"/>
    <w:rsid w:val="00D5481F"/>
    <w:rsid w:val="00D66DD2"/>
    <w:rsid w:val="00D713BE"/>
    <w:rsid w:val="00D732C0"/>
    <w:rsid w:val="00D90889"/>
    <w:rsid w:val="00D91A27"/>
    <w:rsid w:val="00DB767A"/>
    <w:rsid w:val="00DC0D8A"/>
    <w:rsid w:val="00DF23DD"/>
    <w:rsid w:val="00DF4BE3"/>
    <w:rsid w:val="00E04509"/>
    <w:rsid w:val="00E21A16"/>
    <w:rsid w:val="00E73463"/>
    <w:rsid w:val="00E81001"/>
    <w:rsid w:val="00EB11FB"/>
    <w:rsid w:val="00EB4B2A"/>
    <w:rsid w:val="00EC1295"/>
    <w:rsid w:val="00EC3A7D"/>
    <w:rsid w:val="00EC64FB"/>
    <w:rsid w:val="00ED7D0F"/>
    <w:rsid w:val="00EE7B93"/>
    <w:rsid w:val="00F12EEA"/>
    <w:rsid w:val="00F16E3B"/>
    <w:rsid w:val="00F55CCD"/>
    <w:rsid w:val="00FA4D79"/>
    <w:rsid w:val="00FB2C8B"/>
    <w:rsid w:val="00FE486A"/>
    <w:rsid w:val="00FE508F"/>
    <w:rsid w:val="036B0114"/>
    <w:rsid w:val="6706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2767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4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rFonts w:ascii="宋体" w:eastAsia="宋体"/>
      <w:sz w:val="18"/>
      <w:szCs w:val="18"/>
    </w:rPr>
  </w:style>
  <w:style w:type="character" w:customStyle="1" w:styleId="5">
    <w:name w:val="批注框文本 字符"/>
    <w:basedOn w:val="4"/>
    <w:link w:val="2"/>
    <w:semiHidden/>
    <w:uiPriority w:val="99"/>
    <w:rPr>
      <w:rFonts w:ascii="宋体" w:eastAsia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emf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363</Words>
  <Characters>1832</Characters>
  <Lines>35</Lines>
  <Paragraphs>3</Paragraphs>
  <TotalTime>157</TotalTime>
  <ScaleCrop>false</ScaleCrop>
  <LinksUpToDate>false</LinksUpToDate>
  <CharactersWithSpaces>2192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2025-09-04T09:01:00Z</dcterms:created>
  <dc:creator>office</dc:creator>
  <cp:lastModifiedBy>WZR</cp:lastModifiedBy>
  <dcterms:modified xsi:type="dcterms:W3CDTF">2026-03-18T14:22:30Z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eyJoZGlkIjoiZmFlM2RmMGNiODg1MzdhODU5NzkzNzBhOTM5Y2MzNzkiLCJ1c2VySWQiOiI3NTcyMDI0ODYifQ==</vt:lpwstr>
  </property>
  <property fmtid="{D5CDD505-2E9C-101B-9397-08002B2CF9AE}" pid="3" name="KSOProductBuildVer">
    <vt:lpwstr>2052-12.1.0.25225</vt:lpwstr>
  </property>
  <property fmtid="{D5CDD505-2E9C-101B-9397-08002B2CF9AE}" pid="4" name="ICV">
    <vt:lpwstr>A1850F2B951548C39626B40759F37E82_12</vt:lpwstr>
  </property>
</Properties>
</file>