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95C6" w14:textId="77777777" w:rsidR="00243140" w:rsidRPr="00243140" w:rsidRDefault="00243140" w:rsidP="00243140">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243140">
        <w:rPr>
          <w:rFonts w:ascii="Times New Roman" w:eastAsia="Times New Roman" w:hAnsi="Times New Roman" w:cs="Times New Roman"/>
          <w:b/>
          <w:bCs/>
          <w:kern w:val="0"/>
          <w:sz w:val="28"/>
          <w:szCs w:val="28"/>
          <w14:ligatures w14:val="none"/>
        </w:rPr>
        <w:t>Appendix 1. Medical Law Reasoning Skills Test (MLRST)</w:t>
      </w:r>
    </w:p>
    <w:p w14:paraId="5F79A678" w14:textId="77777777" w:rsidR="00243140" w:rsidRPr="00243140" w:rsidRDefault="00243140" w:rsidP="00243140">
      <w:pPr>
        <w:spacing w:before="100" w:beforeAutospacing="1" w:after="100" w:afterAutospacing="1" w:line="240" w:lineRule="auto"/>
        <w:rPr>
          <w:rFonts w:ascii="Times New Roman" w:eastAsia="Times New Roman" w:hAnsi="Times New Roman" w:cs="Times New Roman"/>
          <w:kern w:val="0"/>
          <w14:ligatures w14:val="none"/>
        </w:rPr>
      </w:pPr>
      <w:r w:rsidRPr="00243140">
        <w:rPr>
          <w:rFonts w:ascii="Times New Roman" w:eastAsia="Times New Roman" w:hAnsi="Times New Roman" w:cs="Times New Roman"/>
          <w:b/>
          <w:bCs/>
          <w:kern w:val="0"/>
          <w14:ligatures w14:val="none"/>
        </w:rPr>
        <w:t>Medical Law Reasoning Skills Test (MLRST)</w:t>
      </w:r>
    </w:p>
    <w:p w14:paraId="58F425C1" w14:textId="77777777" w:rsidR="00243140" w:rsidRPr="00243140" w:rsidRDefault="00243140" w:rsidP="00243140">
      <w:pPr>
        <w:spacing w:before="100" w:beforeAutospacing="1" w:after="100" w:afterAutospacing="1" w:line="240" w:lineRule="auto"/>
        <w:rPr>
          <w:rFonts w:ascii="Times New Roman" w:eastAsia="Times New Roman" w:hAnsi="Times New Roman" w:cs="Times New Roman"/>
          <w:kern w:val="0"/>
          <w14:ligatures w14:val="none"/>
        </w:rPr>
      </w:pPr>
      <w:r w:rsidRPr="00243140">
        <w:rPr>
          <w:rFonts w:ascii="Times New Roman" w:eastAsia="Times New Roman" w:hAnsi="Times New Roman" w:cs="Times New Roman"/>
          <w:kern w:val="0"/>
          <w14:ligatures w14:val="none"/>
        </w:rPr>
        <w:t>Dear Resident,</w:t>
      </w:r>
    </w:p>
    <w:p w14:paraId="295946FD" w14:textId="77777777" w:rsidR="00243140" w:rsidRPr="00243140" w:rsidRDefault="00243140" w:rsidP="00243140">
      <w:pPr>
        <w:spacing w:before="100" w:beforeAutospacing="1" w:after="100" w:afterAutospacing="1" w:line="240" w:lineRule="auto"/>
        <w:rPr>
          <w:rFonts w:ascii="Times New Roman" w:eastAsia="Times New Roman" w:hAnsi="Times New Roman" w:cs="Times New Roman"/>
          <w:kern w:val="0"/>
          <w14:ligatures w14:val="none"/>
        </w:rPr>
      </w:pPr>
      <w:r w:rsidRPr="00243140">
        <w:rPr>
          <w:rFonts w:ascii="Times New Roman" w:eastAsia="Times New Roman" w:hAnsi="Times New Roman" w:cs="Times New Roman"/>
          <w:kern w:val="0"/>
          <w14:ligatures w14:val="none"/>
        </w:rPr>
        <w:t>Please read the instructions carefully before completing the questionnaire.</w:t>
      </w:r>
    </w:p>
    <w:p w14:paraId="1D5B5B0E" w14:textId="4371A390" w:rsidR="00243140" w:rsidRDefault="00243140" w:rsidP="00CD2DCE">
      <w:pPr>
        <w:spacing w:before="100" w:beforeAutospacing="1" w:after="100" w:afterAutospacing="1" w:line="240" w:lineRule="auto"/>
        <w:jc w:val="both"/>
        <w:rPr>
          <w:rFonts w:ascii="Times New Roman" w:eastAsia="Times New Roman" w:hAnsi="Times New Roman" w:cs="Times New Roman"/>
          <w:kern w:val="0"/>
          <w14:ligatures w14:val="none"/>
        </w:rPr>
      </w:pPr>
      <w:r w:rsidRPr="00243140">
        <w:rPr>
          <w:rFonts w:ascii="Times New Roman" w:eastAsia="Times New Roman" w:hAnsi="Times New Roman" w:cs="Times New Roman"/>
          <w:b/>
          <w:bCs/>
          <w:kern w:val="0"/>
          <w14:ligatures w14:val="none"/>
        </w:rPr>
        <w:t>Instructions:</w:t>
      </w:r>
      <w:r w:rsidRPr="00243140">
        <w:rPr>
          <w:rFonts w:ascii="Times New Roman" w:eastAsia="Times New Roman" w:hAnsi="Times New Roman" w:cs="Times New Roman"/>
          <w:kern w:val="0"/>
          <w14:ligatures w14:val="none"/>
        </w:rPr>
        <w:t xml:space="preserve"> This inventory contains 17 questions about your experience when encountering medico</w:t>
      </w:r>
      <w:r w:rsidRPr="00243140">
        <w:rPr>
          <w:rFonts w:ascii="Times New Roman" w:eastAsia="Times New Roman" w:hAnsi="Times New Roman" w:cs="Times New Roman"/>
          <w:kern w:val="0"/>
          <w14:ligatures w14:val="none"/>
        </w:rPr>
        <w:noBreakHyphen/>
        <w:t xml:space="preserve">legal cases in clinical practice. Each item consists of a base question, two response statements, and a rating scale. The scale represents a continuum between the two statements. </w:t>
      </w:r>
      <w:r w:rsidRPr="00243140">
        <w:rPr>
          <w:rFonts w:ascii="Times New Roman" w:eastAsia="Times New Roman" w:hAnsi="Times New Roman" w:cs="Times New Roman"/>
          <w:b/>
          <w:bCs/>
          <w:kern w:val="0"/>
          <w14:ligatures w14:val="none"/>
        </w:rPr>
        <w:t>Please place a cross (X) somewhere between the two markers to indicate the position on the continuum that best describes your own approach.</w:t>
      </w:r>
      <w:r w:rsidRPr="00243140">
        <w:rPr>
          <w:rFonts w:ascii="Times New Roman" w:eastAsia="Times New Roman" w:hAnsi="Times New Roman" w:cs="Times New Roman"/>
          <w:kern w:val="0"/>
          <w14:ligatures w14:val="none"/>
        </w:rPr>
        <w:t xml:space="preserve"> Remember that there are no right or wrong answers. Simply try to indicate, between the two extremes, the position that reflects how you actually handle that case in reality. The cross shows which side you lean toward. Do not place your mark exactly on the middle marker. If you are undecided between the two statements, please decide which one more often reflects what you do. You may think that there are alternative options besides the two given statements (and in many cases there may be more than two); nevertheless, please choose based on the two statements provided.</w:t>
      </w:r>
    </w:p>
    <w:p w14:paraId="52CA2447"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General Information</w:t>
      </w:r>
      <w:r w:rsidRPr="00147BFD">
        <w:rPr>
          <w:rFonts w:ascii="Times New Roman" w:eastAsia="Calibri" w:hAnsi="Times New Roman" w:cs="Times New Roman" w:hint="cs"/>
          <w:kern w:val="0"/>
          <w:rtl/>
          <w:lang w:bidi="fa-IR"/>
          <w14:ligatures w14:val="none"/>
        </w:rPr>
        <w:t>:</w:t>
      </w:r>
    </w:p>
    <w:p w14:paraId="2FDE965B"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1</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Age: ....... years</w:t>
      </w:r>
    </w:p>
    <w:p w14:paraId="093ADD61"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2</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Gender: □ Male    □ Female</w:t>
      </w:r>
    </w:p>
    <w:p w14:paraId="324B8E2F"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3</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 xml:space="preserve">Residence:  □ Local   □ </w:t>
      </w:r>
      <w:proofErr w:type="gramStart"/>
      <w:r w:rsidRPr="00147BFD">
        <w:rPr>
          <w:rFonts w:ascii="Times New Roman" w:eastAsia="Calibri" w:hAnsi="Times New Roman" w:cs="Times New Roman"/>
          <w:kern w:val="0"/>
          <w:lang w:bidi="fa-IR"/>
          <w14:ligatures w14:val="none"/>
        </w:rPr>
        <w:t>Non-local</w:t>
      </w:r>
      <w:proofErr w:type="gramEnd"/>
    </w:p>
    <w:p w14:paraId="179A608B"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4</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Marital Status: □ Single    □ Married</w:t>
      </w:r>
    </w:p>
    <w:p w14:paraId="18766235"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5</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Specialty</w:t>
      </w:r>
      <w:r w:rsidRPr="00147BFD">
        <w:rPr>
          <w:rFonts w:ascii="Times New Roman" w:eastAsia="Calibri" w:hAnsi="Times New Roman" w:cs="Times New Roman" w:hint="cs"/>
          <w:kern w:val="0"/>
          <w:rtl/>
          <w:lang w:bidi="fa-IR"/>
          <w14:ligatures w14:val="none"/>
        </w:rPr>
        <w:t>: ......................................</w:t>
      </w:r>
    </w:p>
    <w:p w14:paraId="10A23717"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6</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Year of Residency</w:t>
      </w:r>
      <w:r w:rsidRPr="00147BFD">
        <w:rPr>
          <w:rFonts w:ascii="Times New Roman" w:eastAsia="Calibri" w:hAnsi="Times New Roman" w:cs="Times New Roman" w:hint="cs"/>
          <w:kern w:val="0"/>
          <w:rtl/>
          <w:lang w:bidi="fa-IR"/>
          <w14:ligatures w14:val="none"/>
        </w:rPr>
        <w:t>: ......................................</w:t>
      </w:r>
    </w:p>
    <w:p w14:paraId="3A282ACC"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7</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Last Annual Promotion Score</w:t>
      </w:r>
      <w:r w:rsidRPr="00147BFD">
        <w:rPr>
          <w:rFonts w:ascii="Times New Roman" w:eastAsia="Calibri" w:hAnsi="Times New Roman" w:cs="Times New Roman" w:hint="cs"/>
          <w:kern w:val="0"/>
          <w:rtl/>
          <w:lang w:bidi="fa-IR"/>
          <w14:ligatures w14:val="none"/>
        </w:rPr>
        <w:t>: ...........................</w:t>
      </w:r>
    </w:p>
    <w:p w14:paraId="31FEABDA"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8</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Work experience after general medical education and before entering residency:           □ None    □ Yes (................. years)</w:t>
      </w:r>
    </w:p>
    <w:p w14:paraId="12139893"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9</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Have you ever had a medical law case officially reviewed by legal authorities?</w:t>
      </w:r>
    </w:p>
    <w:p w14:paraId="14D0F2BB"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 xml:space="preserve"> □ Yes    □ No</w:t>
      </w:r>
    </w:p>
    <w:p w14:paraId="2EFCB3AC"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10</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Do you have any close relatives with legal education? □ Yes    □ No</w:t>
      </w:r>
    </w:p>
    <w:p w14:paraId="2F8588C1" w14:textId="77777777" w:rsidR="00147BFD" w:rsidRPr="00147BFD" w:rsidRDefault="00147BFD" w:rsidP="00147BFD">
      <w:pPr>
        <w:spacing w:line="240" w:lineRule="auto"/>
        <w:rPr>
          <w:rFonts w:ascii="Times New Roman" w:eastAsia="Calibri" w:hAnsi="Times New Roman" w:cs="Times New Roman"/>
          <w:kern w:val="0"/>
          <w:lang w:bidi="fa-IR"/>
          <w14:ligatures w14:val="none"/>
        </w:rPr>
      </w:pPr>
      <w:r w:rsidRPr="00147BFD">
        <w:rPr>
          <w:rFonts w:ascii="Times New Roman" w:eastAsia="Calibri" w:hAnsi="Times New Roman" w:cs="Times New Roman"/>
          <w:kern w:val="0"/>
          <w:lang w:bidi="fa-IR"/>
          <w14:ligatures w14:val="none"/>
        </w:rPr>
        <w:t>11</w:t>
      </w:r>
      <w:r w:rsidRPr="00147BFD">
        <w:rPr>
          <w:rFonts w:ascii="Times New Roman" w:eastAsia="Calibri" w:hAnsi="Times New Roman" w:cs="Times New Roman" w:hint="cs"/>
          <w:kern w:val="0"/>
          <w:rtl/>
          <w:lang w:bidi="fa-IR"/>
          <w14:ligatures w14:val="none"/>
        </w:rPr>
        <w:t xml:space="preserve">. </w:t>
      </w:r>
      <w:r w:rsidRPr="00147BFD">
        <w:rPr>
          <w:rFonts w:ascii="Times New Roman" w:eastAsia="Calibri" w:hAnsi="Times New Roman" w:cs="Times New Roman"/>
          <w:kern w:val="0"/>
          <w:lang w:bidi="fa-IR"/>
          <w14:ligatures w14:val="none"/>
        </w:rPr>
        <w:t>Do you have any studies in the field of medical law? □ None    □ Yes</w:t>
      </w:r>
    </w:p>
    <w:p w14:paraId="6834DF89" w14:textId="77777777" w:rsidR="00147BFD" w:rsidRPr="00243140" w:rsidRDefault="00147BFD" w:rsidP="00CD2DCE">
      <w:pPr>
        <w:spacing w:before="100" w:beforeAutospacing="1" w:after="100" w:afterAutospacing="1" w:line="240" w:lineRule="auto"/>
        <w:jc w:val="both"/>
        <w:rPr>
          <w:rFonts w:ascii="Times New Roman" w:eastAsia="Times New Roman" w:hAnsi="Times New Roman" w:cs="Times New Roman"/>
          <w:kern w:val="0"/>
          <w14:ligatures w14:val="none"/>
        </w:rPr>
      </w:pPr>
    </w:p>
    <w:tbl>
      <w:tblPr>
        <w:tblStyle w:val="TableGrid49"/>
        <w:bidiVisual/>
        <w:tblW w:w="10073" w:type="dxa"/>
        <w:jc w:val="center"/>
        <w:tblLook w:val="04A0" w:firstRow="1" w:lastRow="0" w:firstColumn="1" w:lastColumn="0" w:noHBand="0" w:noVBand="1"/>
      </w:tblPr>
      <w:tblGrid>
        <w:gridCol w:w="3960"/>
        <w:gridCol w:w="270"/>
        <w:gridCol w:w="270"/>
        <w:gridCol w:w="270"/>
        <w:gridCol w:w="270"/>
        <w:gridCol w:w="270"/>
        <w:gridCol w:w="270"/>
        <w:gridCol w:w="3968"/>
        <w:gridCol w:w="525"/>
      </w:tblGrid>
      <w:tr w:rsidR="00CD2DCE" w:rsidRPr="000A4B92" w14:paraId="678E2A5E" w14:textId="47CF4C02" w:rsidTr="000A4B92">
        <w:trPr>
          <w:trHeight w:val="1149"/>
          <w:jc w:val="center"/>
        </w:trPr>
        <w:tc>
          <w:tcPr>
            <w:tcW w:w="9548" w:type="dxa"/>
            <w:gridSpan w:val="8"/>
          </w:tcPr>
          <w:p w14:paraId="6024318F" w14:textId="3FB4042E" w:rsidR="00243140" w:rsidRPr="000A4B92" w:rsidRDefault="008735DE"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lastRenderedPageBreak/>
              <w:t>Please place a cross (X) in the grey area between the markers to indicate where you fall on the continuum. Remember that there are no right or wrong answers; this simply reflects your actual clinical practice.</w:t>
            </w:r>
          </w:p>
        </w:tc>
        <w:tc>
          <w:tcPr>
            <w:tcW w:w="525" w:type="dxa"/>
          </w:tcPr>
          <w:p w14:paraId="76A3CA6E" w14:textId="1EB7A267" w:rsidR="00243140" w:rsidRPr="000A4B92" w:rsidRDefault="00243140" w:rsidP="00243140">
            <w:pPr>
              <w:jc w:val="cente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N</w:t>
            </w:r>
          </w:p>
        </w:tc>
      </w:tr>
      <w:tr w:rsidR="00CD2DCE" w:rsidRPr="000A4B92" w14:paraId="2C89ADF2" w14:textId="0499D8C6" w:rsidTr="000A4B92">
        <w:trPr>
          <w:trHeight w:val="755"/>
          <w:jc w:val="center"/>
        </w:trPr>
        <w:tc>
          <w:tcPr>
            <w:tcW w:w="9548" w:type="dxa"/>
            <w:gridSpan w:val="8"/>
          </w:tcPr>
          <w:p w14:paraId="0DA921FD" w14:textId="1C1B38BA"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A young woman with decreased level of consciousness due to a car accident is admitted to your ward. Her husband and family come to you to obtain informed consent. What legal issue might arise here?</w:t>
            </w:r>
          </w:p>
        </w:tc>
        <w:tc>
          <w:tcPr>
            <w:tcW w:w="525" w:type="dxa"/>
            <w:vMerge w:val="restart"/>
          </w:tcPr>
          <w:p w14:paraId="1D1DCC52" w14:textId="65879DA5" w:rsidR="00243140" w:rsidRPr="000A4B92" w:rsidRDefault="00243140" w:rsidP="00243140">
            <w:pPr>
              <w:rPr>
                <w:rFonts w:asciiTheme="majorBidi" w:eastAsia="Calibri" w:hAnsiTheme="majorBidi" w:cstheme="majorBidi"/>
                <w:b/>
                <w:bCs/>
                <w:sz w:val="24"/>
                <w:szCs w:val="24"/>
              </w:rPr>
            </w:pPr>
            <w:r w:rsidRPr="000A4B92">
              <w:rPr>
                <w:rFonts w:asciiTheme="majorBidi" w:eastAsia="Calibri" w:hAnsiTheme="majorBidi" w:cstheme="majorBidi"/>
                <w:b/>
                <w:bCs/>
                <w:sz w:val="24"/>
                <w:szCs w:val="24"/>
              </w:rPr>
              <w:t>1</w:t>
            </w:r>
          </w:p>
        </w:tc>
      </w:tr>
      <w:tr w:rsidR="00CD2DCE" w:rsidRPr="000A4B92" w14:paraId="694217D8" w14:textId="1B341599" w:rsidTr="000A4B92">
        <w:trPr>
          <w:trHeight w:val="755"/>
          <w:jc w:val="center"/>
        </w:trPr>
        <w:tc>
          <w:tcPr>
            <w:tcW w:w="3960" w:type="dxa"/>
          </w:tcPr>
          <w:p w14:paraId="7180D111" w14:textId="513ED235"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“The patient’s individual autonomy may not be respected.”</w:t>
            </w:r>
          </w:p>
        </w:tc>
        <w:tc>
          <w:tcPr>
            <w:tcW w:w="270" w:type="dxa"/>
            <w:shd w:val="clear" w:color="auto" w:fill="E8E8E8" w:themeFill="background2"/>
          </w:tcPr>
          <w:p w14:paraId="75E15C74"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1A4C1E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8AFAD3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693BDF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7CEC6B8C"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4E6D57E" w14:textId="77777777" w:rsidR="00243140" w:rsidRPr="000A4B92" w:rsidRDefault="00243140" w:rsidP="00243140">
            <w:pPr>
              <w:rPr>
                <w:rFonts w:asciiTheme="majorBidi" w:eastAsia="Calibri" w:hAnsiTheme="majorBidi" w:cstheme="majorBidi"/>
                <w:sz w:val="24"/>
                <w:szCs w:val="24"/>
                <w:rtl/>
              </w:rPr>
            </w:pPr>
          </w:p>
        </w:tc>
        <w:tc>
          <w:tcPr>
            <w:tcW w:w="3968" w:type="dxa"/>
          </w:tcPr>
          <w:p w14:paraId="76991185" w14:textId="3A32515E"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“The patient’s legal representative may lack the authority.”</w:t>
            </w:r>
          </w:p>
        </w:tc>
        <w:tc>
          <w:tcPr>
            <w:tcW w:w="525" w:type="dxa"/>
            <w:vMerge/>
          </w:tcPr>
          <w:p w14:paraId="382D3DB6" w14:textId="77777777" w:rsidR="00243140" w:rsidRPr="000A4B92" w:rsidRDefault="00243140" w:rsidP="00243140">
            <w:pPr>
              <w:rPr>
                <w:rFonts w:asciiTheme="majorBidi" w:eastAsia="Calibri" w:hAnsiTheme="majorBidi" w:cstheme="majorBidi"/>
                <w:sz w:val="24"/>
                <w:szCs w:val="24"/>
                <w:rtl/>
              </w:rPr>
            </w:pPr>
          </w:p>
        </w:tc>
      </w:tr>
      <w:tr w:rsidR="00CD2DCE" w:rsidRPr="000A4B92" w14:paraId="2F88270B" w14:textId="3AA5529F" w:rsidTr="000A4B92">
        <w:trPr>
          <w:trHeight w:val="771"/>
          <w:jc w:val="center"/>
        </w:trPr>
        <w:tc>
          <w:tcPr>
            <w:tcW w:w="9548" w:type="dxa"/>
            <w:gridSpan w:val="8"/>
          </w:tcPr>
          <w:p w14:paraId="4ED3D466" w14:textId="0936A6F7"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You are a resident at Hospital A, and you receive a call from Hospital B requesting a consultation for a critically ill patient. What legal issue might arise here?</w:t>
            </w:r>
          </w:p>
        </w:tc>
        <w:tc>
          <w:tcPr>
            <w:tcW w:w="525" w:type="dxa"/>
            <w:vMerge w:val="restart"/>
          </w:tcPr>
          <w:p w14:paraId="735F7FFD" w14:textId="10B00309"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2</w:t>
            </w:r>
          </w:p>
        </w:tc>
      </w:tr>
      <w:tr w:rsidR="00CD2DCE" w:rsidRPr="000A4B92" w14:paraId="1962A0F7" w14:textId="31BE1222" w:rsidTr="000A4B92">
        <w:trPr>
          <w:trHeight w:val="771"/>
          <w:jc w:val="center"/>
        </w:trPr>
        <w:tc>
          <w:tcPr>
            <w:tcW w:w="3960" w:type="dxa"/>
          </w:tcPr>
          <w:p w14:paraId="06D9FB76" w14:textId="5E51BE8E"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“Refusal to perform the consultation requested by Hospital B.”</w:t>
            </w:r>
          </w:p>
        </w:tc>
        <w:tc>
          <w:tcPr>
            <w:tcW w:w="270" w:type="dxa"/>
            <w:shd w:val="clear" w:color="auto" w:fill="E8E8E8" w:themeFill="background2"/>
          </w:tcPr>
          <w:p w14:paraId="7390867A"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A83E165"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06AA8E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6DE44CB"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801CCE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81F99BF" w14:textId="77777777" w:rsidR="00243140" w:rsidRPr="000A4B92" w:rsidRDefault="00243140" w:rsidP="00243140">
            <w:pPr>
              <w:rPr>
                <w:rFonts w:asciiTheme="majorBidi" w:eastAsia="Calibri" w:hAnsiTheme="majorBidi" w:cstheme="majorBidi"/>
                <w:sz w:val="24"/>
                <w:szCs w:val="24"/>
                <w:rtl/>
              </w:rPr>
            </w:pPr>
          </w:p>
        </w:tc>
        <w:tc>
          <w:tcPr>
            <w:tcW w:w="3968" w:type="dxa"/>
          </w:tcPr>
          <w:p w14:paraId="5F59F6EC" w14:textId="03DEC7E1"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“Delay in performing duties assigned by Hospital A.”</w:t>
            </w:r>
          </w:p>
        </w:tc>
        <w:tc>
          <w:tcPr>
            <w:tcW w:w="525" w:type="dxa"/>
            <w:vMerge/>
          </w:tcPr>
          <w:p w14:paraId="63CA7AB1" w14:textId="77777777" w:rsidR="00243140" w:rsidRPr="000A4B92" w:rsidRDefault="00243140" w:rsidP="00243140">
            <w:pPr>
              <w:rPr>
                <w:rFonts w:asciiTheme="majorBidi" w:eastAsia="Calibri" w:hAnsiTheme="majorBidi" w:cstheme="majorBidi"/>
                <w:sz w:val="24"/>
                <w:szCs w:val="24"/>
                <w:rtl/>
              </w:rPr>
            </w:pPr>
          </w:p>
        </w:tc>
      </w:tr>
      <w:tr w:rsidR="00CD2DCE" w:rsidRPr="000A4B92" w14:paraId="7B6D9E5D" w14:textId="69D1B80F" w:rsidTr="000A4B92">
        <w:trPr>
          <w:trHeight w:val="755"/>
          <w:jc w:val="center"/>
        </w:trPr>
        <w:tc>
          <w:tcPr>
            <w:tcW w:w="9548" w:type="dxa"/>
            <w:gridSpan w:val="8"/>
          </w:tcPr>
          <w:p w14:paraId="7E2563AB" w14:textId="39C7AA3E" w:rsidR="00243140" w:rsidRPr="000A4B92" w:rsidRDefault="00AF2345"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A patient with metastatic cancer who had previously given consent to treatment is now in a coma. Only one family member (the son) requests withdrawal of treatment and says that his father had expressed such a wish before falling into the coma. He provides no documentation. As the physician, you are uncertain about how to handle this request. What legal issue are you facing in this situation?</w:t>
            </w:r>
          </w:p>
        </w:tc>
        <w:tc>
          <w:tcPr>
            <w:tcW w:w="525" w:type="dxa"/>
            <w:vMerge w:val="restart"/>
          </w:tcPr>
          <w:p w14:paraId="2D8EF689" w14:textId="4B7137AD"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3</w:t>
            </w:r>
          </w:p>
        </w:tc>
      </w:tr>
      <w:tr w:rsidR="00CD2DCE" w:rsidRPr="000A4B92" w14:paraId="529585BB" w14:textId="6094AC80" w:rsidTr="000A4B92">
        <w:trPr>
          <w:trHeight w:val="755"/>
          <w:jc w:val="center"/>
        </w:trPr>
        <w:tc>
          <w:tcPr>
            <w:tcW w:w="3960" w:type="dxa"/>
          </w:tcPr>
          <w:p w14:paraId="2B6365B6" w14:textId="34DE3A1C"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“Failure to adhere to scientific standards.”</w:t>
            </w:r>
          </w:p>
        </w:tc>
        <w:tc>
          <w:tcPr>
            <w:tcW w:w="270" w:type="dxa"/>
            <w:shd w:val="clear" w:color="auto" w:fill="E8E8E8" w:themeFill="background2"/>
          </w:tcPr>
          <w:p w14:paraId="1F41C50C"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39310D3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9D5B9A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73EE82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35CB60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6C0C5B2" w14:textId="77777777" w:rsidR="00243140" w:rsidRPr="000A4B92" w:rsidRDefault="00243140" w:rsidP="00243140">
            <w:pPr>
              <w:rPr>
                <w:rFonts w:asciiTheme="majorBidi" w:eastAsia="Calibri" w:hAnsiTheme="majorBidi" w:cstheme="majorBidi"/>
                <w:sz w:val="24"/>
                <w:szCs w:val="24"/>
                <w:rtl/>
              </w:rPr>
            </w:pPr>
          </w:p>
        </w:tc>
        <w:tc>
          <w:tcPr>
            <w:tcW w:w="3968" w:type="dxa"/>
          </w:tcPr>
          <w:p w14:paraId="0C6D279E" w14:textId="5C96BFAC"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“Disrespect for the individual autonomy of the patient or family members.”</w:t>
            </w:r>
          </w:p>
        </w:tc>
        <w:tc>
          <w:tcPr>
            <w:tcW w:w="525" w:type="dxa"/>
            <w:vMerge/>
          </w:tcPr>
          <w:p w14:paraId="42AA9652" w14:textId="77777777" w:rsidR="00243140" w:rsidRPr="000A4B92" w:rsidRDefault="00243140" w:rsidP="00243140">
            <w:pPr>
              <w:rPr>
                <w:rFonts w:asciiTheme="majorBidi" w:eastAsia="Calibri" w:hAnsiTheme="majorBidi" w:cstheme="majorBidi"/>
                <w:sz w:val="24"/>
                <w:szCs w:val="24"/>
                <w:rtl/>
              </w:rPr>
            </w:pPr>
          </w:p>
        </w:tc>
      </w:tr>
      <w:tr w:rsidR="00CD2DCE" w:rsidRPr="000A4B92" w14:paraId="038E465A" w14:textId="2555B03E" w:rsidTr="000A4B92">
        <w:trPr>
          <w:trHeight w:val="755"/>
          <w:jc w:val="center"/>
        </w:trPr>
        <w:tc>
          <w:tcPr>
            <w:tcW w:w="9548" w:type="dxa"/>
            <w:gridSpan w:val="8"/>
          </w:tcPr>
          <w:p w14:paraId="7F15D4B6" w14:textId="5F25D878" w:rsidR="00243140" w:rsidRPr="000A4B92" w:rsidRDefault="00CD2DC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When encountering a client who is dissatisfied with their physical appearance and requests an intervention for cosmetic purposes from you, what is the legal issue?</w:t>
            </w:r>
          </w:p>
        </w:tc>
        <w:tc>
          <w:tcPr>
            <w:tcW w:w="525" w:type="dxa"/>
            <w:vMerge w:val="restart"/>
          </w:tcPr>
          <w:p w14:paraId="6356F5F1" w14:textId="02002759"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4</w:t>
            </w:r>
          </w:p>
        </w:tc>
      </w:tr>
      <w:tr w:rsidR="00CD2DCE" w:rsidRPr="000A4B92" w14:paraId="1E38E25D" w14:textId="1A25F9F7" w:rsidTr="000A4B92">
        <w:trPr>
          <w:trHeight w:val="755"/>
          <w:jc w:val="center"/>
        </w:trPr>
        <w:tc>
          <w:tcPr>
            <w:tcW w:w="3960" w:type="dxa"/>
          </w:tcPr>
          <w:p w14:paraId="660B44CA" w14:textId="1E75888A" w:rsidR="00243140" w:rsidRPr="000A4B92" w:rsidRDefault="00CD2DCE" w:rsidP="00CD2DC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“Distinguishing between the usual and unusual form of a body part undergoing cosmetic intervention.”</w:t>
            </w:r>
          </w:p>
        </w:tc>
        <w:tc>
          <w:tcPr>
            <w:tcW w:w="270" w:type="dxa"/>
            <w:shd w:val="clear" w:color="auto" w:fill="E8E8E8" w:themeFill="background2"/>
          </w:tcPr>
          <w:p w14:paraId="0C7CCF9E"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B35A7E2"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4764784"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8A2788F"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BF7C51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B51C818" w14:textId="77777777" w:rsidR="00243140" w:rsidRPr="000A4B92" w:rsidRDefault="00243140" w:rsidP="00243140">
            <w:pPr>
              <w:rPr>
                <w:rFonts w:asciiTheme="majorBidi" w:eastAsia="Calibri" w:hAnsiTheme="majorBidi" w:cstheme="majorBidi"/>
                <w:sz w:val="24"/>
                <w:szCs w:val="24"/>
                <w:rtl/>
              </w:rPr>
            </w:pPr>
          </w:p>
        </w:tc>
        <w:tc>
          <w:tcPr>
            <w:tcW w:w="3968" w:type="dxa"/>
          </w:tcPr>
          <w:p w14:paraId="1B762367" w14:textId="0F95A79A" w:rsidR="00243140" w:rsidRPr="000A4B92" w:rsidRDefault="00CD2DCE" w:rsidP="00CD2DCE">
            <w:pPr>
              <w:rPr>
                <w:rFonts w:asciiTheme="majorBidi" w:eastAsia="Calibri" w:hAnsiTheme="majorBidi" w:cstheme="majorBidi"/>
                <w:b/>
                <w:bCs/>
                <w:sz w:val="24"/>
                <w:szCs w:val="24"/>
              </w:rPr>
            </w:pPr>
            <w:r w:rsidRPr="000A4B92">
              <w:rPr>
                <w:rFonts w:asciiTheme="majorBidi" w:eastAsia="Calibri" w:hAnsiTheme="majorBidi" w:cstheme="majorBidi"/>
                <w:b/>
                <w:bCs/>
                <w:i/>
                <w:iCs/>
                <w:sz w:val="24"/>
                <w:szCs w:val="24"/>
              </w:rPr>
              <w:t>“Distinguishing between therapeutic and non</w:t>
            </w:r>
            <w:r w:rsidRPr="000A4B92">
              <w:rPr>
                <w:rFonts w:asciiTheme="majorBidi" w:eastAsia="Calibri" w:hAnsiTheme="majorBidi" w:cstheme="majorBidi"/>
                <w:b/>
                <w:bCs/>
                <w:i/>
                <w:iCs/>
                <w:sz w:val="24"/>
                <w:szCs w:val="24"/>
              </w:rPr>
              <w:noBreakHyphen/>
              <w:t>therapeutic procedures.”</w:t>
            </w:r>
          </w:p>
        </w:tc>
        <w:tc>
          <w:tcPr>
            <w:tcW w:w="525" w:type="dxa"/>
            <w:vMerge/>
          </w:tcPr>
          <w:p w14:paraId="3DF34349" w14:textId="77777777" w:rsidR="00243140" w:rsidRPr="000A4B92" w:rsidRDefault="00243140" w:rsidP="00243140">
            <w:pPr>
              <w:rPr>
                <w:rFonts w:asciiTheme="majorBidi" w:eastAsia="Calibri" w:hAnsiTheme="majorBidi" w:cstheme="majorBidi"/>
                <w:sz w:val="24"/>
                <w:szCs w:val="24"/>
                <w:rtl/>
              </w:rPr>
            </w:pPr>
          </w:p>
        </w:tc>
      </w:tr>
      <w:tr w:rsidR="00CD2DCE" w:rsidRPr="000A4B92" w14:paraId="1FF2CBFD" w14:textId="38691718" w:rsidTr="000A4B92">
        <w:trPr>
          <w:trHeight w:val="771"/>
          <w:jc w:val="center"/>
        </w:trPr>
        <w:tc>
          <w:tcPr>
            <w:tcW w:w="9548" w:type="dxa"/>
            <w:gridSpan w:val="8"/>
          </w:tcPr>
          <w:p w14:paraId="41457052" w14:textId="639852A0" w:rsidR="00243140" w:rsidRPr="000A4B92" w:rsidRDefault="00CD2DC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 xml:space="preserve">Your colleague in the operating room falsely claims to be unwell and asks you to write a sick leave certificate for the relevant </w:t>
            </w:r>
            <w:proofErr w:type="spellStart"/>
            <w:r w:rsidRPr="000A4B92">
              <w:rPr>
                <w:rFonts w:asciiTheme="majorBidi" w:eastAsia="Calibri" w:hAnsiTheme="majorBidi" w:cstheme="majorBidi"/>
                <w:sz w:val="24"/>
                <w:szCs w:val="24"/>
              </w:rPr>
              <w:t>organisation</w:t>
            </w:r>
            <w:proofErr w:type="spellEnd"/>
            <w:r w:rsidRPr="000A4B92">
              <w:rPr>
                <w:rFonts w:asciiTheme="majorBidi" w:eastAsia="Calibri" w:hAnsiTheme="majorBidi" w:cstheme="majorBidi"/>
                <w:sz w:val="24"/>
                <w:szCs w:val="24"/>
              </w:rPr>
              <w:t>. What is the legal issue here?</w:t>
            </w:r>
          </w:p>
        </w:tc>
        <w:tc>
          <w:tcPr>
            <w:tcW w:w="525" w:type="dxa"/>
            <w:vMerge w:val="restart"/>
          </w:tcPr>
          <w:p w14:paraId="32A7C9D0" w14:textId="4DFE6C1E"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5</w:t>
            </w:r>
          </w:p>
        </w:tc>
      </w:tr>
      <w:tr w:rsidR="00CD2DCE" w:rsidRPr="000A4B92" w14:paraId="16407440" w14:textId="69F5FF16" w:rsidTr="000A4B92">
        <w:trPr>
          <w:trHeight w:val="771"/>
          <w:jc w:val="center"/>
        </w:trPr>
        <w:tc>
          <w:tcPr>
            <w:tcW w:w="3960" w:type="dxa"/>
          </w:tcPr>
          <w:p w14:paraId="4BCB6270" w14:textId="476ED1C7" w:rsidR="00243140" w:rsidRPr="000A4B92" w:rsidRDefault="00CD2DCE" w:rsidP="00CD2DC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 xml:space="preserve">“Concealing the truth from the </w:t>
            </w:r>
            <w:proofErr w:type="spellStart"/>
            <w:r w:rsidRPr="000A4B92">
              <w:rPr>
                <w:rFonts w:asciiTheme="majorBidi" w:eastAsia="Calibri" w:hAnsiTheme="majorBidi" w:cstheme="majorBidi"/>
                <w:i/>
                <w:iCs/>
                <w:sz w:val="24"/>
                <w:szCs w:val="24"/>
              </w:rPr>
              <w:t>organisation</w:t>
            </w:r>
            <w:proofErr w:type="spellEnd"/>
            <w:r w:rsidRPr="000A4B92">
              <w:rPr>
                <w:rFonts w:asciiTheme="majorBidi" w:eastAsia="Calibri" w:hAnsiTheme="majorBidi" w:cstheme="majorBidi"/>
                <w:i/>
                <w:iCs/>
                <w:sz w:val="24"/>
                <w:szCs w:val="24"/>
              </w:rPr>
              <w:t>.”</w:t>
            </w:r>
          </w:p>
        </w:tc>
        <w:tc>
          <w:tcPr>
            <w:tcW w:w="270" w:type="dxa"/>
            <w:shd w:val="clear" w:color="auto" w:fill="E8E8E8" w:themeFill="background2"/>
          </w:tcPr>
          <w:p w14:paraId="548C311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1430C81"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443749A"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ADCF33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96B527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547254D" w14:textId="77777777" w:rsidR="00243140" w:rsidRPr="000A4B92" w:rsidRDefault="00243140" w:rsidP="00243140">
            <w:pPr>
              <w:rPr>
                <w:rFonts w:asciiTheme="majorBidi" w:eastAsia="Calibri" w:hAnsiTheme="majorBidi" w:cstheme="majorBidi"/>
                <w:sz w:val="24"/>
                <w:szCs w:val="24"/>
                <w:rtl/>
              </w:rPr>
            </w:pPr>
          </w:p>
        </w:tc>
        <w:tc>
          <w:tcPr>
            <w:tcW w:w="3968" w:type="dxa"/>
          </w:tcPr>
          <w:p w14:paraId="556EC9CC" w14:textId="64E056C1" w:rsidR="00243140" w:rsidRPr="000A4B92" w:rsidRDefault="00CD2DCE" w:rsidP="00CD2DC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“Providing a false report.”</w:t>
            </w:r>
          </w:p>
        </w:tc>
        <w:tc>
          <w:tcPr>
            <w:tcW w:w="525" w:type="dxa"/>
            <w:vMerge/>
          </w:tcPr>
          <w:p w14:paraId="1D47D69F" w14:textId="77777777" w:rsidR="00243140" w:rsidRPr="000A4B92" w:rsidRDefault="00243140" w:rsidP="00243140">
            <w:pPr>
              <w:rPr>
                <w:rFonts w:asciiTheme="majorBidi" w:eastAsia="Calibri" w:hAnsiTheme="majorBidi" w:cstheme="majorBidi"/>
                <w:sz w:val="24"/>
                <w:szCs w:val="24"/>
                <w:rtl/>
              </w:rPr>
            </w:pPr>
          </w:p>
        </w:tc>
      </w:tr>
      <w:tr w:rsidR="00CD2DCE" w:rsidRPr="000A4B92" w14:paraId="2B141145" w14:textId="68014D41" w:rsidTr="000A4B92">
        <w:trPr>
          <w:trHeight w:val="755"/>
          <w:jc w:val="center"/>
        </w:trPr>
        <w:tc>
          <w:tcPr>
            <w:tcW w:w="9548" w:type="dxa"/>
            <w:gridSpan w:val="8"/>
          </w:tcPr>
          <w:p w14:paraId="5A37D5DB" w14:textId="6510B8DA" w:rsidR="00243140" w:rsidRPr="000A4B92" w:rsidRDefault="008735D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 xml:space="preserve">A pregnant mother with high blood pressure comes to you requesting an abortion. After reviewing the relevant medical law regulations, which point do you </w:t>
            </w:r>
            <w:proofErr w:type="spellStart"/>
            <w:r w:rsidRPr="000A4B92">
              <w:rPr>
                <w:rFonts w:asciiTheme="majorBidi" w:eastAsia="Calibri" w:hAnsiTheme="majorBidi" w:cstheme="majorBidi"/>
                <w:sz w:val="24"/>
                <w:szCs w:val="24"/>
              </w:rPr>
              <w:t>realise</w:t>
            </w:r>
            <w:proofErr w:type="spellEnd"/>
            <w:r w:rsidRPr="000A4B92">
              <w:rPr>
                <w:rFonts w:asciiTheme="majorBidi" w:eastAsia="Calibri" w:hAnsiTheme="majorBidi" w:cstheme="majorBidi"/>
                <w:sz w:val="24"/>
                <w:szCs w:val="24"/>
              </w:rPr>
              <w:t>?</w:t>
            </w:r>
          </w:p>
        </w:tc>
        <w:tc>
          <w:tcPr>
            <w:tcW w:w="525" w:type="dxa"/>
            <w:vMerge w:val="restart"/>
          </w:tcPr>
          <w:p w14:paraId="14FD98FF" w14:textId="3DAF0A78"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6</w:t>
            </w:r>
          </w:p>
        </w:tc>
      </w:tr>
      <w:tr w:rsidR="00CD2DCE" w:rsidRPr="000A4B92" w14:paraId="4A3ACC12" w14:textId="5FE33511" w:rsidTr="000A4B92">
        <w:trPr>
          <w:trHeight w:val="755"/>
          <w:jc w:val="center"/>
        </w:trPr>
        <w:tc>
          <w:tcPr>
            <w:tcW w:w="3960" w:type="dxa"/>
          </w:tcPr>
          <w:p w14:paraId="33B479DB" w14:textId="42BE2070"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“Abortion should not be performed without the written consent of the patient or her legal guardian, unless the patient’s life is in danger.”</w:t>
            </w:r>
          </w:p>
        </w:tc>
        <w:tc>
          <w:tcPr>
            <w:tcW w:w="270" w:type="dxa"/>
            <w:shd w:val="clear" w:color="auto" w:fill="E8E8E8" w:themeFill="background2"/>
          </w:tcPr>
          <w:p w14:paraId="2DB386C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B4626F4"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D51545B"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41DE84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A6393C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928F96E" w14:textId="77777777" w:rsidR="00243140" w:rsidRPr="000A4B92" w:rsidRDefault="00243140" w:rsidP="00243140">
            <w:pPr>
              <w:rPr>
                <w:rFonts w:asciiTheme="majorBidi" w:eastAsia="Calibri" w:hAnsiTheme="majorBidi" w:cstheme="majorBidi"/>
                <w:sz w:val="24"/>
                <w:szCs w:val="24"/>
                <w:rtl/>
              </w:rPr>
            </w:pPr>
          </w:p>
        </w:tc>
        <w:tc>
          <w:tcPr>
            <w:tcW w:w="3968" w:type="dxa"/>
          </w:tcPr>
          <w:p w14:paraId="43F5DD62" w14:textId="0B69D609"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“Providing abortion equipment is a crime unless the patient’s life is in danger.”</w:t>
            </w:r>
          </w:p>
        </w:tc>
        <w:tc>
          <w:tcPr>
            <w:tcW w:w="525" w:type="dxa"/>
            <w:vMerge/>
          </w:tcPr>
          <w:p w14:paraId="2A77C37D" w14:textId="77777777" w:rsidR="00243140" w:rsidRPr="000A4B92" w:rsidRDefault="00243140" w:rsidP="00243140">
            <w:pPr>
              <w:rPr>
                <w:rFonts w:asciiTheme="majorBidi" w:eastAsia="Calibri" w:hAnsiTheme="majorBidi" w:cstheme="majorBidi"/>
                <w:sz w:val="24"/>
                <w:szCs w:val="24"/>
                <w:rtl/>
              </w:rPr>
            </w:pPr>
          </w:p>
        </w:tc>
      </w:tr>
      <w:tr w:rsidR="00CD2DCE" w:rsidRPr="000A4B92" w14:paraId="6487FE92" w14:textId="4F9364FB" w:rsidTr="000A4B92">
        <w:trPr>
          <w:trHeight w:val="377"/>
          <w:jc w:val="center"/>
        </w:trPr>
        <w:tc>
          <w:tcPr>
            <w:tcW w:w="9548" w:type="dxa"/>
            <w:gridSpan w:val="8"/>
          </w:tcPr>
          <w:p w14:paraId="254F0BE4" w14:textId="05C82929" w:rsidR="00243140" w:rsidRPr="000A4B92" w:rsidRDefault="008735D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Which of the following reflects your interpretation of the law regarding your legal responsibilities as a physician in clinical practice?</w:t>
            </w:r>
          </w:p>
        </w:tc>
        <w:tc>
          <w:tcPr>
            <w:tcW w:w="525" w:type="dxa"/>
            <w:vMerge w:val="restart"/>
          </w:tcPr>
          <w:p w14:paraId="6495D177" w14:textId="7E151216" w:rsidR="00243140" w:rsidRPr="000A4B92" w:rsidRDefault="008735DE"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7</w:t>
            </w:r>
          </w:p>
        </w:tc>
      </w:tr>
      <w:tr w:rsidR="00CD2DCE" w:rsidRPr="000A4B92" w14:paraId="04AA432E" w14:textId="6291ABBA" w:rsidTr="000A4B92">
        <w:trPr>
          <w:trHeight w:val="377"/>
          <w:jc w:val="center"/>
        </w:trPr>
        <w:tc>
          <w:tcPr>
            <w:tcW w:w="3960" w:type="dxa"/>
          </w:tcPr>
          <w:p w14:paraId="78358C91" w14:textId="285425A7"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 xml:space="preserve">“If there is no fault or negligence in my knowledge or practice, I bear </w:t>
            </w:r>
            <w:r w:rsidRPr="000A4B92">
              <w:rPr>
                <w:rFonts w:asciiTheme="majorBidi" w:eastAsia="Calibri" w:hAnsiTheme="majorBidi" w:cstheme="majorBidi"/>
                <w:i/>
                <w:iCs/>
                <w:sz w:val="24"/>
                <w:szCs w:val="24"/>
              </w:rPr>
              <w:lastRenderedPageBreak/>
              <w:t>responsibility unless I have obtained a disclaimer.”</w:t>
            </w:r>
          </w:p>
        </w:tc>
        <w:tc>
          <w:tcPr>
            <w:tcW w:w="270" w:type="dxa"/>
            <w:shd w:val="clear" w:color="auto" w:fill="E8E8E8" w:themeFill="background2"/>
          </w:tcPr>
          <w:p w14:paraId="395E982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7CFFE535"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00928AE"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7A6A499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A96106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A003248" w14:textId="77777777" w:rsidR="00243140" w:rsidRPr="000A4B92" w:rsidRDefault="00243140" w:rsidP="00243140">
            <w:pPr>
              <w:rPr>
                <w:rFonts w:asciiTheme="majorBidi" w:eastAsia="Calibri" w:hAnsiTheme="majorBidi" w:cstheme="majorBidi"/>
                <w:sz w:val="24"/>
                <w:szCs w:val="24"/>
                <w:rtl/>
              </w:rPr>
            </w:pPr>
          </w:p>
        </w:tc>
        <w:tc>
          <w:tcPr>
            <w:tcW w:w="3968" w:type="dxa"/>
          </w:tcPr>
          <w:p w14:paraId="0495DF75" w14:textId="3C65286F"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 xml:space="preserve">“If there is no fault or negligence in my knowledge or practice, I bear no </w:t>
            </w:r>
            <w:r w:rsidRPr="000A4B92">
              <w:rPr>
                <w:rFonts w:asciiTheme="majorBidi" w:eastAsia="Calibri" w:hAnsiTheme="majorBidi" w:cstheme="majorBidi"/>
                <w:b/>
                <w:bCs/>
                <w:i/>
                <w:iCs/>
                <w:sz w:val="24"/>
                <w:szCs w:val="24"/>
              </w:rPr>
              <w:lastRenderedPageBreak/>
              <w:t>responsibility, even if I have not obtained a disclaimer.”</w:t>
            </w:r>
          </w:p>
        </w:tc>
        <w:tc>
          <w:tcPr>
            <w:tcW w:w="525" w:type="dxa"/>
            <w:vMerge/>
          </w:tcPr>
          <w:p w14:paraId="0975F52F" w14:textId="77777777" w:rsidR="00243140" w:rsidRPr="000A4B92" w:rsidRDefault="00243140" w:rsidP="00243140">
            <w:pPr>
              <w:rPr>
                <w:rFonts w:asciiTheme="majorBidi" w:eastAsia="Calibri" w:hAnsiTheme="majorBidi" w:cstheme="majorBidi"/>
                <w:sz w:val="24"/>
                <w:szCs w:val="24"/>
                <w:rtl/>
              </w:rPr>
            </w:pPr>
          </w:p>
        </w:tc>
      </w:tr>
      <w:tr w:rsidR="00CD2DCE" w:rsidRPr="000A4B92" w14:paraId="6F62CCC2" w14:textId="77777777" w:rsidTr="000A4B92">
        <w:trPr>
          <w:trHeight w:val="377"/>
          <w:jc w:val="center"/>
        </w:trPr>
        <w:tc>
          <w:tcPr>
            <w:tcW w:w="9548" w:type="dxa"/>
            <w:gridSpan w:val="8"/>
          </w:tcPr>
          <w:p w14:paraId="60D9D366" w14:textId="692A91FA" w:rsidR="008735DE" w:rsidRPr="000A4B92" w:rsidRDefault="008735D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When you intend to leave the hospital during your on‑call duty, what is your interpretation of the laws on abandoning a shift?</w:t>
            </w:r>
          </w:p>
        </w:tc>
        <w:tc>
          <w:tcPr>
            <w:tcW w:w="525" w:type="dxa"/>
            <w:vMerge w:val="restart"/>
          </w:tcPr>
          <w:p w14:paraId="1F8FEC23" w14:textId="53940D14" w:rsidR="008735DE" w:rsidRPr="000A4B92" w:rsidRDefault="008735DE"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8</w:t>
            </w:r>
          </w:p>
        </w:tc>
      </w:tr>
      <w:tr w:rsidR="00CD2DCE" w:rsidRPr="000A4B92" w14:paraId="32A9B9D1" w14:textId="77777777" w:rsidTr="000A4B92">
        <w:trPr>
          <w:trHeight w:val="377"/>
          <w:jc w:val="center"/>
        </w:trPr>
        <w:tc>
          <w:tcPr>
            <w:tcW w:w="3960" w:type="dxa"/>
          </w:tcPr>
          <w:p w14:paraId="3C562AB5" w14:textId="7E02593D" w:rsidR="008735DE"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“If I abandon my legal duty and I have the ability to perform that act, the resulting legal consequences will be attributed to me.”</w:t>
            </w:r>
          </w:p>
        </w:tc>
        <w:tc>
          <w:tcPr>
            <w:tcW w:w="270" w:type="dxa"/>
            <w:shd w:val="clear" w:color="auto" w:fill="E8E8E8" w:themeFill="background2"/>
          </w:tcPr>
          <w:p w14:paraId="50B141E3" w14:textId="77777777" w:rsidR="008735DE" w:rsidRPr="000A4B92" w:rsidRDefault="008735DE" w:rsidP="00243140">
            <w:pPr>
              <w:rPr>
                <w:rFonts w:asciiTheme="majorBidi" w:eastAsia="Calibri" w:hAnsiTheme="majorBidi" w:cstheme="majorBidi"/>
                <w:sz w:val="24"/>
                <w:szCs w:val="24"/>
                <w:rtl/>
              </w:rPr>
            </w:pPr>
          </w:p>
        </w:tc>
        <w:tc>
          <w:tcPr>
            <w:tcW w:w="270" w:type="dxa"/>
            <w:shd w:val="clear" w:color="auto" w:fill="E8E8E8" w:themeFill="background2"/>
          </w:tcPr>
          <w:p w14:paraId="3B397D07" w14:textId="77777777" w:rsidR="008735DE" w:rsidRPr="000A4B92" w:rsidRDefault="008735DE" w:rsidP="00243140">
            <w:pPr>
              <w:rPr>
                <w:rFonts w:asciiTheme="majorBidi" w:eastAsia="Calibri" w:hAnsiTheme="majorBidi" w:cstheme="majorBidi"/>
                <w:sz w:val="24"/>
                <w:szCs w:val="24"/>
                <w:rtl/>
              </w:rPr>
            </w:pPr>
          </w:p>
        </w:tc>
        <w:tc>
          <w:tcPr>
            <w:tcW w:w="270" w:type="dxa"/>
            <w:shd w:val="clear" w:color="auto" w:fill="E8E8E8" w:themeFill="background2"/>
          </w:tcPr>
          <w:p w14:paraId="277E4E09" w14:textId="77777777" w:rsidR="008735DE" w:rsidRPr="000A4B92" w:rsidRDefault="008735DE" w:rsidP="00243140">
            <w:pPr>
              <w:rPr>
                <w:rFonts w:asciiTheme="majorBidi" w:eastAsia="Calibri" w:hAnsiTheme="majorBidi" w:cstheme="majorBidi"/>
                <w:sz w:val="24"/>
                <w:szCs w:val="24"/>
                <w:rtl/>
              </w:rPr>
            </w:pPr>
          </w:p>
        </w:tc>
        <w:tc>
          <w:tcPr>
            <w:tcW w:w="270" w:type="dxa"/>
            <w:shd w:val="clear" w:color="auto" w:fill="E8E8E8" w:themeFill="background2"/>
          </w:tcPr>
          <w:p w14:paraId="3384769A" w14:textId="77777777" w:rsidR="008735DE" w:rsidRPr="000A4B92" w:rsidRDefault="008735DE" w:rsidP="00243140">
            <w:pPr>
              <w:rPr>
                <w:rFonts w:asciiTheme="majorBidi" w:eastAsia="Calibri" w:hAnsiTheme="majorBidi" w:cstheme="majorBidi"/>
                <w:sz w:val="24"/>
                <w:szCs w:val="24"/>
                <w:rtl/>
              </w:rPr>
            </w:pPr>
          </w:p>
        </w:tc>
        <w:tc>
          <w:tcPr>
            <w:tcW w:w="270" w:type="dxa"/>
            <w:shd w:val="clear" w:color="auto" w:fill="E8E8E8" w:themeFill="background2"/>
          </w:tcPr>
          <w:p w14:paraId="7BC6C8C9" w14:textId="77777777" w:rsidR="008735DE" w:rsidRPr="000A4B92" w:rsidRDefault="008735DE" w:rsidP="00243140">
            <w:pPr>
              <w:rPr>
                <w:rFonts w:asciiTheme="majorBidi" w:eastAsia="Calibri" w:hAnsiTheme="majorBidi" w:cstheme="majorBidi"/>
                <w:sz w:val="24"/>
                <w:szCs w:val="24"/>
                <w:rtl/>
              </w:rPr>
            </w:pPr>
          </w:p>
        </w:tc>
        <w:tc>
          <w:tcPr>
            <w:tcW w:w="270" w:type="dxa"/>
            <w:shd w:val="clear" w:color="auto" w:fill="E8E8E8" w:themeFill="background2"/>
          </w:tcPr>
          <w:p w14:paraId="1411B4DE" w14:textId="77777777" w:rsidR="008735DE" w:rsidRPr="000A4B92" w:rsidRDefault="008735DE" w:rsidP="00243140">
            <w:pPr>
              <w:rPr>
                <w:rFonts w:asciiTheme="majorBidi" w:eastAsia="Calibri" w:hAnsiTheme="majorBidi" w:cstheme="majorBidi"/>
                <w:sz w:val="24"/>
                <w:szCs w:val="24"/>
                <w:rtl/>
              </w:rPr>
            </w:pPr>
          </w:p>
        </w:tc>
        <w:tc>
          <w:tcPr>
            <w:tcW w:w="3968" w:type="dxa"/>
          </w:tcPr>
          <w:p w14:paraId="06546738" w14:textId="11B5C459" w:rsidR="008735DE"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“If I abandon my legal duty and I do not have the ability to perform that act, the resulting legal consequences will be attributed to me.”</w:t>
            </w:r>
          </w:p>
        </w:tc>
        <w:tc>
          <w:tcPr>
            <w:tcW w:w="525" w:type="dxa"/>
            <w:vMerge/>
          </w:tcPr>
          <w:p w14:paraId="6F087627" w14:textId="77777777" w:rsidR="008735DE" w:rsidRPr="000A4B92" w:rsidRDefault="008735DE" w:rsidP="00243140">
            <w:pPr>
              <w:rPr>
                <w:rFonts w:asciiTheme="majorBidi" w:eastAsia="Calibri" w:hAnsiTheme="majorBidi" w:cstheme="majorBidi"/>
                <w:sz w:val="24"/>
                <w:szCs w:val="24"/>
                <w:rtl/>
              </w:rPr>
            </w:pPr>
          </w:p>
        </w:tc>
      </w:tr>
      <w:tr w:rsidR="00CD2DCE" w:rsidRPr="000A4B92" w14:paraId="544719DB" w14:textId="0D4BD429" w:rsidTr="000A4B92">
        <w:trPr>
          <w:trHeight w:val="325"/>
          <w:jc w:val="center"/>
        </w:trPr>
        <w:tc>
          <w:tcPr>
            <w:tcW w:w="9548" w:type="dxa"/>
            <w:gridSpan w:val="8"/>
          </w:tcPr>
          <w:p w14:paraId="33AB78D4" w14:textId="7E984248"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A 3‑year‑old child who visited the emergency department the previous day was sent home with antibiotics by the attending physician. Today, the child presents with vomiting and cannot keep the antibiotics down. On examination, you feel the child should have been admitted yesterday. Regarding informing the parents of the physician’s error, which option do you consider?</w:t>
            </w:r>
          </w:p>
        </w:tc>
        <w:tc>
          <w:tcPr>
            <w:tcW w:w="525" w:type="dxa"/>
            <w:vMerge w:val="restart"/>
          </w:tcPr>
          <w:p w14:paraId="3116D255" w14:textId="2D265CEF"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9</w:t>
            </w:r>
          </w:p>
        </w:tc>
      </w:tr>
      <w:tr w:rsidR="00CD2DCE" w:rsidRPr="000A4B92" w14:paraId="63531E48" w14:textId="538FCB83" w:rsidTr="000A4B92">
        <w:trPr>
          <w:trHeight w:val="377"/>
          <w:jc w:val="center"/>
        </w:trPr>
        <w:tc>
          <w:tcPr>
            <w:tcW w:w="3960" w:type="dxa"/>
          </w:tcPr>
          <w:p w14:paraId="15313A24" w14:textId="10C2A9B1"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“Medical practice is not an exact science. Often, physicians disagree on the most appropriate management for a particular case. Therefore, I should not tell the parents that an error was made.”</w:t>
            </w:r>
          </w:p>
        </w:tc>
        <w:tc>
          <w:tcPr>
            <w:tcW w:w="270" w:type="dxa"/>
            <w:shd w:val="clear" w:color="auto" w:fill="E8E8E8" w:themeFill="background2"/>
          </w:tcPr>
          <w:p w14:paraId="1C902769"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144A0B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0D56CF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36C1D7DC"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582D921"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7D0A865" w14:textId="77777777" w:rsidR="00243140" w:rsidRPr="000A4B92" w:rsidRDefault="00243140" w:rsidP="00243140">
            <w:pPr>
              <w:rPr>
                <w:rFonts w:asciiTheme="majorBidi" w:eastAsia="Calibri" w:hAnsiTheme="majorBidi" w:cstheme="majorBidi"/>
                <w:sz w:val="24"/>
                <w:szCs w:val="24"/>
                <w:rtl/>
              </w:rPr>
            </w:pPr>
          </w:p>
        </w:tc>
        <w:tc>
          <w:tcPr>
            <w:tcW w:w="3968" w:type="dxa"/>
          </w:tcPr>
          <w:p w14:paraId="2AD909A1" w14:textId="1FD3C05A"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“Concealing an error is a legal offence. Given the mistake that occurred, I should inform the parents of their natural right.”</w:t>
            </w:r>
          </w:p>
        </w:tc>
        <w:tc>
          <w:tcPr>
            <w:tcW w:w="525" w:type="dxa"/>
            <w:vMerge/>
          </w:tcPr>
          <w:p w14:paraId="4E7F491D" w14:textId="77777777" w:rsidR="00243140" w:rsidRPr="000A4B92" w:rsidRDefault="00243140" w:rsidP="00243140">
            <w:pPr>
              <w:rPr>
                <w:rFonts w:asciiTheme="majorBidi" w:eastAsia="Calibri" w:hAnsiTheme="majorBidi" w:cstheme="majorBidi"/>
                <w:sz w:val="24"/>
                <w:szCs w:val="24"/>
                <w:rtl/>
              </w:rPr>
            </w:pPr>
          </w:p>
        </w:tc>
      </w:tr>
      <w:tr w:rsidR="00CD2DCE" w:rsidRPr="000A4B92" w14:paraId="440CEED2" w14:textId="0424C64A" w:rsidTr="000A4B92">
        <w:trPr>
          <w:trHeight w:val="1149"/>
          <w:jc w:val="center"/>
        </w:trPr>
        <w:tc>
          <w:tcPr>
            <w:tcW w:w="9548" w:type="dxa"/>
            <w:gridSpan w:val="8"/>
          </w:tcPr>
          <w:p w14:paraId="3451E00C" w14:textId="62670B2A"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You have been asked to speak at a hospital conference. The manager of a medical equipment company, while observing conflict‑of‑interest principles, offers financial support for the conference and offers you $1,000 for your talk. What is your reasoning in this situation?</w:t>
            </w:r>
          </w:p>
        </w:tc>
        <w:tc>
          <w:tcPr>
            <w:tcW w:w="525" w:type="dxa"/>
            <w:vMerge w:val="restart"/>
          </w:tcPr>
          <w:p w14:paraId="11D7B5D0" w14:textId="041570CC"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10</w:t>
            </w:r>
          </w:p>
        </w:tc>
      </w:tr>
      <w:tr w:rsidR="00CD2DCE" w:rsidRPr="000A4B92" w14:paraId="78CCEBC4" w14:textId="1B66B77E" w:rsidTr="000A4B92">
        <w:trPr>
          <w:trHeight w:val="1149"/>
          <w:jc w:val="center"/>
        </w:trPr>
        <w:tc>
          <w:tcPr>
            <w:tcW w:w="3960" w:type="dxa"/>
          </w:tcPr>
          <w:p w14:paraId="1ADE0408" w14:textId="29EADB98"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w:t>
            </w:r>
            <w:r w:rsidR="00FA2D35" w:rsidRPr="000A4B92">
              <w:rPr>
                <w:rFonts w:asciiTheme="majorBidi" w:eastAsia="Calibri" w:hAnsiTheme="majorBidi" w:cstheme="majorBidi"/>
                <w:b/>
                <w:bCs/>
                <w:i/>
                <w:iCs/>
                <w:sz w:val="24"/>
                <w:szCs w:val="24"/>
              </w:rPr>
              <w:t>Receiving money from the medical equipment company manager, while observing the principles and laws of conflict of interest and fully disclosing the representative relationship, does not create any legal problem because transparency and impartiality are maintained and the relevant laws are followed</w:t>
            </w:r>
            <w:r w:rsidRPr="000A4B92">
              <w:rPr>
                <w:rFonts w:asciiTheme="majorBidi" w:eastAsia="Calibri" w:hAnsiTheme="majorBidi" w:cstheme="majorBidi"/>
                <w:b/>
                <w:bCs/>
                <w:i/>
                <w:iCs/>
                <w:sz w:val="24"/>
                <w:szCs w:val="24"/>
              </w:rPr>
              <w:t>.”</w:t>
            </w:r>
          </w:p>
        </w:tc>
        <w:tc>
          <w:tcPr>
            <w:tcW w:w="270" w:type="dxa"/>
            <w:shd w:val="clear" w:color="auto" w:fill="E8E8E8" w:themeFill="background2"/>
          </w:tcPr>
          <w:p w14:paraId="524D7355"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04E683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B009B69"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156E30A"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3D50BAF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D2188BE" w14:textId="77777777" w:rsidR="00243140" w:rsidRPr="000A4B92" w:rsidRDefault="00243140" w:rsidP="00243140">
            <w:pPr>
              <w:rPr>
                <w:rFonts w:asciiTheme="majorBidi" w:eastAsia="Calibri" w:hAnsiTheme="majorBidi" w:cstheme="majorBidi"/>
                <w:sz w:val="24"/>
                <w:szCs w:val="24"/>
                <w:rtl/>
              </w:rPr>
            </w:pPr>
          </w:p>
        </w:tc>
        <w:tc>
          <w:tcPr>
            <w:tcW w:w="3968" w:type="dxa"/>
          </w:tcPr>
          <w:p w14:paraId="6A87DA41" w14:textId="6590A3BB"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“Accepting money from the medical equipment company manager, even with disclosure of the representative relationship, could create legal problems because a conflict of interest may arise and my impartiality could be affected.”</w:t>
            </w:r>
          </w:p>
        </w:tc>
        <w:tc>
          <w:tcPr>
            <w:tcW w:w="525" w:type="dxa"/>
            <w:vMerge/>
          </w:tcPr>
          <w:p w14:paraId="4E9A28D3" w14:textId="77777777" w:rsidR="00243140" w:rsidRPr="000A4B92" w:rsidRDefault="00243140" w:rsidP="00243140">
            <w:pPr>
              <w:rPr>
                <w:rFonts w:asciiTheme="majorBidi" w:eastAsia="Calibri" w:hAnsiTheme="majorBidi" w:cstheme="majorBidi"/>
                <w:sz w:val="24"/>
                <w:szCs w:val="24"/>
                <w:rtl/>
              </w:rPr>
            </w:pPr>
          </w:p>
        </w:tc>
      </w:tr>
      <w:tr w:rsidR="00CD2DCE" w:rsidRPr="000A4B92" w14:paraId="10B347BC" w14:textId="0B1D0E82" w:rsidTr="000A4B92">
        <w:trPr>
          <w:trHeight w:val="818"/>
          <w:jc w:val="center"/>
        </w:trPr>
        <w:tc>
          <w:tcPr>
            <w:tcW w:w="9548" w:type="dxa"/>
            <w:gridSpan w:val="8"/>
          </w:tcPr>
          <w:p w14:paraId="3ADECEE0" w14:textId="6D81209C" w:rsidR="00243140" w:rsidRPr="000A4B92" w:rsidRDefault="004E279A"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Your patient has recently been diagnosed with HIV. They are very concerned about confidentiality, and you are the only person who knows they are HIV‑positive. They ask you: “To whom are you legally obliged to report my status?” What is your answer?</w:t>
            </w:r>
          </w:p>
        </w:tc>
        <w:tc>
          <w:tcPr>
            <w:tcW w:w="525" w:type="dxa"/>
            <w:vMerge w:val="restart"/>
          </w:tcPr>
          <w:p w14:paraId="74C23B42" w14:textId="44504D83"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11</w:t>
            </w:r>
          </w:p>
        </w:tc>
      </w:tr>
      <w:tr w:rsidR="00CD2DCE" w:rsidRPr="000A4B92" w14:paraId="34431EF5" w14:textId="5A684F5B" w:rsidTr="000A4B92">
        <w:trPr>
          <w:trHeight w:val="1149"/>
          <w:jc w:val="center"/>
        </w:trPr>
        <w:tc>
          <w:tcPr>
            <w:tcW w:w="3960" w:type="dxa"/>
          </w:tcPr>
          <w:p w14:paraId="7EAF588B" w14:textId="3106488E" w:rsidR="00243140" w:rsidRPr="000A4B92" w:rsidRDefault="004E279A"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“Patients with HIV have the right to privacy as long as they do not put others at risk. However, there is an exception, and we must take steps to notify the family, insurance company, or employer.”</w:t>
            </w:r>
          </w:p>
        </w:tc>
        <w:tc>
          <w:tcPr>
            <w:tcW w:w="270" w:type="dxa"/>
            <w:shd w:val="clear" w:color="auto" w:fill="E8E8E8" w:themeFill="background2"/>
          </w:tcPr>
          <w:p w14:paraId="27E4BB51"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CF2DEC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C5955A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A37CDF1"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79E4946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11F1FCB" w14:textId="77777777" w:rsidR="00243140" w:rsidRPr="000A4B92" w:rsidRDefault="00243140" w:rsidP="00243140">
            <w:pPr>
              <w:rPr>
                <w:rFonts w:asciiTheme="majorBidi" w:eastAsia="Calibri" w:hAnsiTheme="majorBidi" w:cstheme="majorBidi"/>
                <w:sz w:val="24"/>
                <w:szCs w:val="24"/>
                <w:rtl/>
              </w:rPr>
            </w:pPr>
          </w:p>
        </w:tc>
        <w:tc>
          <w:tcPr>
            <w:tcW w:w="3968" w:type="dxa"/>
          </w:tcPr>
          <w:p w14:paraId="321394E0" w14:textId="416AF323" w:rsidR="00243140" w:rsidRPr="000A4B92" w:rsidRDefault="004E279A"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“Patients with HIV have the right to privacy as long as they do not put others at risk. We are obliged to report the case confidentially to government health authorities, but we have no duty to notify the family, insurance company, or employer without the patient’s consent.”</w:t>
            </w:r>
          </w:p>
        </w:tc>
        <w:tc>
          <w:tcPr>
            <w:tcW w:w="525" w:type="dxa"/>
            <w:vMerge/>
          </w:tcPr>
          <w:p w14:paraId="6EB943FA" w14:textId="77777777" w:rsidR="00243140" w:rsidRPr="000A4B92" w:rsidRDefault="00243140" w:rsidP="00243140">
            <w:pPr>
              <w:rPr>
                <w:rFonts w:asciiTheme="majorBidi" w:eastAsia="Calibri" w:hAnsiTheme="majorBidi" w:cstheme="majorBidi"/>
                <w:sz w:val="24"/>
                <w:szCs w:val="24"/>
                <w:rtl/>
              </w:rPr>
            </w:pPr>
          </w:p>
        </w:tc>
      </w:tr>
      <w:tr w:rsidR="00CD2DCE" w:rsidRPr="000A4B92" w14:paraId="0B0523AD" w14:textId="5471B991" w:rsidTr="000A4B92">
        <w:trPr>
          <w:trHeight w:val="771"/>
          <w:jc w:val="center"/>
        </w:trPr>
        <w:tc>
          <w:tcPr>
            <w:tcW w:w="9548" w:type="dxa"/>
            <w:gridSpan w:val="8"/>
          </w:tcPr>
          <w:p w14:paraId="4BC977C8" w14:textId="4C06DFD8"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 xml:space="preserve">Mr. Ahmadi, 26 years old, has suffered a subdural </w:t>
            </w:r>
            <w:proofErr w:type="spellStart"/>
            <w:r w:rsidRPr="000A4B92">
              <w:rPr>
                <w:rFonts w:asciiTheme="majorBidi" w:eastAsia="Calibri" w:hAnsiTheme="majorBidi" w:cstheme="majorBidi"/>
                <w:sz w:val="24"/>
                <w:szCs w:val="24"/>
              </w:rPr>
              <w:t>haematoma</w:t>
            </w:r>
            <w:proofErr w:type="spellEnd"/>
            <w:r w:rsidRPr="000A4B92">
              <w:rPr>
                <w:rFonts w:asciiTheme="majorBidi" w:eastAsia="Calibri" w:hAnsiTheme="majorBidi" w:cstheme="majorBidi"/>
                <w:sz w:val="24"/>
                <w:szCs w:val="24"/>
              </w:rPr>
              <w:t xml:space="preserve"> and </w:t>
            </w:r>
            <w:proofErr w:type="spellStart"/>
            <w:r w:rsidRPr="000A4B92">
              <w:rPr>
                <w:rFonts w:asciiTheme="majorBidi" w:eastAsia="Calibri" w:hAnsiTheme="majorBidi" w:cstheme="majorBidi"/>
                <w:sz w:val="24"/>
                <w:szCs w:val="24"/>
              </w:rPr>
              <w:t>haemothorax</w:t>
            </w:r>
            <w:proofErr w:type="spellEnd"/>
            <w:r w:rsidRPr="000A4B92">
              <w:rPr>
                <w:rFonts w:asciiTheme="majorBidi" w:eastAsia="Calibri" w:hAnsiTheme="majorBidi" w:cstheme="majorBidi"/>
                <w:sz w:val="24"/>
                <w:szCs w:val="24"/>
              </w:rPr>
              <w:t xml:space="preserve"> in a motor vehicle accident and needs blood for surgery. His parents refuse blood transfusion based on their religious beliefs. Which of these responses do you consider?</w:t>
            </w:r>
          </w:p>
        </w:tc>
        <w:tc>
          <w:tcPr>
            <w:tcW w:w="525" w:type="dxa"/>
            <w:vMerge w:val="restart"/>
          </w:tcPr>
          <w:p w14:paraId="29E8D14F" w14:textId="28B23EE2" w:rsidR="00243140" w:rsidRPr="000A4B92" w:rsidRDefault="00243140" w:rsidP="00243140">
            <w:pPr>
              <w:rPr>
                <w:rFonts w:asciiTheme="majorBidi" w:eastAsia="Calibri" w:hAnsiTheme="majorBidi" w:cstheme="majorBidi"/>
                <w:b/>
                <w:bCs/>
                <w:sz w:val="24"/>
                <w:szCs w:val="24"/>
                <w:rtl/>
              </w:rPr>
            </w:pPr>
            <w:r w:rsidRPr="000A4B92">
              <w:rPr>
                <w:rFonts w:asciiTheme="majorBidi" w:eastAsia="Calibri" w:hAnsiTheme="majorBidi" w:cstheme="majorBidi"/>
                <w:b/>
                <w:bCs/>
                <w:sz w:val="24"/>
                <w:szCs w:val="24"/>
              </w:rPr>
              <w:t>12</w:t>
            </w:r>
          </w:p>
        </w:tc>
      </w:tr>
      <w:tr w:rsidR="00CD2DCE" w:rsidRPr="000A4B92" w14:paraId="4D4C4ABE" w14:textId="63B2912C" w:rsidTr="000A4B92">
        <w:trPr>
          <w:trHeight w:val="1799"/>
          <w:jc w:val="center"/>
        </w:trPr>
        <w:tc>
          <w:tcPr>
            <w:tcW w:w="3960" w:type="dxa"/>
          </w:tcPr>
          <w:p w14:paraId="45EE583A" w14:textId="2C23A43A"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lastRenderedPageBreak/>
              <w:t>“A fully conscious patient can refuse life</w:t>
            </w:r>
            <w:r w:rsidRPr="000A4B92">
              <w:rPr>
                <w:rFonts w:asciiTheme="majorBidi" w:eastAsia="Calibri" w:hAnsiTheme="majorBidi" w:cstheme="majorBidi"/>
                <w:i/>
                <w:iCs/>
                <w:sz w:val="24"/>
                <w:szCs w:val="24"/>
              </w:rPr>
              <w:noBreakHyphen/>
              <w:t xml:space="preserve">saving blood transfusion. Since the right to choose for an </w:t>
            </w:r>
            <w:r w:rsidR="00CD2DCE" w:rsidRPr="000A4B92">
              <w:rPr>
                <w:rFonts w:asciiTheme="majorBidi" w:eastAsia="Calibri" w:hAnsiTheme="majorBidi" w:cstheme="majorBidi"/>
                <w:i/>
                <w:iCs/>
                <w:sz w:val="24"/>
                <w:szCs w:val="24"/>
              </w:rPr>
              <w:t>unconscious patient rest</w:t>
            </w:r>
            <w:r w:rsidRPr="000A4B92">
              <w:rPr>
                <w:rFonts w:asciiTheme="majorBidi" w:eastAsia="Calibri" w:hAnsiTheme="majorBidi" w:cstheme="majorBidi"/>
                <w:i/>
                <w:iCs/>
                <w:sz w:val="24"/>
                <w:szCs w:val="24"/>
              </w:rPr>
              <w:t xml:space="preserve"> with the legal guardian, the father (as legal guardian) can refuse blood transfusion on his behalf.”</w:t>
            </w:r>
          </w:p>
        </w:tc>
        <w:tc>
          <w:tcPr>
            <w:tcW w:w="270" w:type="dxa"/>
            <w:shd w:val="clear" w:color="auto" w:fill="E8E8E8" w:themeFill="background2"/>
          </w:tcPr>
          <w:p w14:paraId="63BB7319"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93B719B"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88213E2"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141B75E"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31246B1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D2C1D74" w14:textId="77777777" w:rsidR="00243140" w:rsidRPr="000A4B92" w:rsidRDefault="00243140" w:rsidP="00243140">
            <w:pPr>
              <w:rPr>
                <w:rFonts w:asciiTheme="majorBidi" w:eastAsia="Calibri" w:hAnsiTheme="majorBidi" w:cstheme="majorBidi"/>
                <w:sz w:val="24"/>
                <w:szCs w:val="24"/>
                <w:rtl/>
              </w:rPr>
            </w:pPr>
          </w:p>
        </w:tc>
        <w:tc>
          <w:tcPr>
            <w:tcW w:w="3968" w:type="dxa"/>
          </w:tcPr>
          <w:p w14:paraId="0072C06A" w14:textId="128F9A12"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“Only a fully conscious patient can refuse life</w:t>
            </w:r>
            <w:r w:rsidRPr="000A4B92">
              <w:rPr>
                <w:rFonts w:asciiTheme="majorBidi" w:eastAsia="Calibri" w:hAnsiTheme="majorBidi" w:cstheme="majorBidi"/>
                <w:b/>
                <w:bCs/>
                <w:i/>
                <w:iCs/>
                <w:sz w:val="24"/>
                <w:szCs w:val="24"/>
              </w:rPr>
              <w:noBreakHyphen/>
              <w:t>saving blood transfusion. We have no direct evidence of the patient’s own wishes. We cannot assume that what the parents say is what he would have wanted.”</w:t>
            </w:r>
          </w:p>
        </w:tc>
        <w:tc>
          <w:tcPr>
            <w:tcW w:w="525" w:type="dxa"/>
            <w:vMerge/>
          </w:tcPr>
          <w:p w14:paraId="54783E24" w14:textId="77777777" w:rsidR="00243140" w:rsidRPr="000A4B92" w:rsidRDefault="00243140" w:rsidP="00243140">
            <w:pPr>
              <w:rPr>
                <w:rFonts w:asciiTheme="majorBidi" w:eastAsia="Calibri" w:hAnsiTheme="majorBidi" w:cstheme="majorBidi"/>
                <w:sz w:val="24"/>
                <w:szCs w:val="24"/>
                <w:rtl/>
              </w:rPr>
            </w:pPr>
          </w:p>
        </w:tc>
      </w:tr>
      <w:tr w:rsidR="00CD2DCE" w:rsidRPr="000A4B92" w14:paraId="65EF9986" w14:textId="77777777" w:rsidTr="000A4B92">
        <w:trPr>
          <w:trHeight w:val="495"/>
          <w:jc w:val="center"/>
        </w:trPr>
        <w:tc>
          <w:tcPr>
            <w:tcW w:w="9548" w:type="dxa"/>
            <w:gridSpan w:val="8"/>
          </w:tcPr>
          <w:p w14:paraId="5DBE16A5" w14:textId="0CE0C9B6"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Your contract with the hospital requires you to perform 40 consultations between 8:00 and 10:00. By 9:00, you have already completed all 40. Four additional patients come to you. You consider arbitrarily choosing two to see and not seeing the others, but suddenly you have doubts. What do you think about to resolve this issue?</w:t>
            </w:r>
          </w:p>
        </w:tc>
        <w:tc>
          <w:tcPr>
            <w:tcW w:w="525" w:type="dxa"/>
            <w:vMerge w:val="restart"/>
          </w:tcPr>
          <w:p w14:paraId="60779081" w14:textId="569BCED6"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13</w:t>
            </w:r>
          </w:p>
        </w:tc>
      </w:tr>
      <w:tr w:rsidR="00CD2DCE" w:rsidRPr="000A4B92" w14:paraId="363F70A2" w14:textId="77777777" w:rsidTr="000A4B92">
        <w:trPr>
          <w:trHeight w:val="1290"/>
          <w:jc w:val="center"/>
        </w:trPr>
        <w:tc>
          <w:tcPr>
            <w:tcW w:w="3960" w:type="dxa"/>
          </w:tcPr>
          <w:p w14:paraId="3DC0120D" w14:textId="7A7E6B19"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“It is true that my contractual obligations have been fulfilled and I could choose not to see additional patients. However, discriminating between patients leads to treatment injustice, and from a human rights perspective, I would be acting illegally.”</w:t>
            </w:r>
          </w:p>
        </w:tc>
        <w:tc>
          <w:tcPr>
            <w:tcW w:w="270" w:type="dxa"/>
            <w:shd w:val="clear" w:color="auto" w:fill="E8E8E8" w:themeFill="background2"/>
          </w:tcPr>
          <w:p w14:paraId="0C815BE3"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9AEBAC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F41322D"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32EAAD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05BA575"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6E766AC" w14:textId="77777777" w:rsidR="00243140" w:rsidRPr="000A4B92" w:rsidRDefault="00243140" w:rsidP="00243140">
            <w:pPr>
              <w:rPr>
                <w:rFonts w:asciiTheme="majorBidi" w:eastAsia="Calibri" w:hAnsiTheme="majorBidi" w:cstheme="majorBidi"/>
                <w:sz w:val="24"/>
                <w:szCs w:val="24"/>
                <w:rtl/>
              </w:rPr>
            </w:pPr>
          </w:p>
        </w:tc>
        <w:tc>
          <w:tcPr>
            <w:tcW w:w="3968" w:type="dxa"/>
          </w:tcPr>
          <w:p w14:paraId="565AC746" w14:textId="056C95DA"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“Because I have already completed the 40 consultations, I have no obligation to accept new patients. If I choose to accept some patients based on personal preference and reject others for the same reason, it is not illegal.”</w:t>
            </w:r>
          </w:p>
        </w:tc>
        <w:tc>
          <w:tcPr>
            <w:tcW w:w="525" w:type="dxa"/>
            <w:vMerge/>
          </w:tcPr>
          <w:p w14:paraId="739BACC1" w14:textId="77777777" w:rsidR="00243140" w:rsidRPr="000A4B92" w:rsidRDefault="00243140" w:rsidP="00243140">
            <w:pPr>
              <w:rPr>
                <w:rFonts w:asciiTheme="majorBidi" w:eastAsia="Calibri" w:hAnsiTheme="majorBidi" w:cstheme="majorBidi"/>
                <w:sz w:val="24"/>
                <w:szCs w:val="24"/>
              </w:rPr>
            </w:pPr>
          </w:p>
        </w:tc>
      </w:tr>
      <w:tr w:rsidR="00CD2DCE" w:rsidRPr="000A4B92" w14:paraId="2FFB172C" w14:textId="77777777" w:rsidTr="000A4B92">
        <w:trPr>
          <w:trHeight w:val="509"/>
          <w:jc w:val="center"/>
        </w:trPr>
        <w:tc>
          <w:tcPr>
            <w:tcW w:w="9548" w:type="dxa"/>
            <w:gridSpan w:val="8"/>
          </w:tcPr>
          <w:p w14:paraId="14505DFE" w14:textId="573F1252"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You have evaluated a 96‑year‑old patient with a history of three CVAs and, suspecting pneumonia, you have requested a Percutaneous Endoscopic Gastrostomy (PEG). The patient’s son believes his father will die in a few days and that nasogastric (NG) tubes can meet his nutritional needs. What action do you take?</w:t>
            </w:r>
          </w:p>
        </w:tc>
        <w:tc>
          <w:tcPr>
            <w:tcW w:w="525" w:type="dxa"/>
            <w:vMerge w:val="restart"/>
          </w:tcPr>
          <w:p w14:paraId="6A328A93" w14:textId="71760863"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14</w:t>
            </w:r>
          </w:p>
        </w:tc>
      </w:tr>
      <w:tr w:rsidR="00CD2DCE" w:rsidRPr="000A4B92" w14:paraId="00AA05BA" w14:textId="77777777" w:rsidTr="000A4B92">
        <w:trPr>
          <w:trHeight w:val="1275"/>
          <w:jc w:val="center"/>
        </w:trPr>
        <w:tc>
          <w:tcPr>
            <w:tcW w:w="3960" w:type="dxa"/>
          </w:tcPr>
          <w:p w14:paraId="654EA038" w14:textId="170EF5F9"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“I complete the legal documentation to order PEG placement.”</w:t>
            </w:r>
          </w:p>
        </w:tc>
        <w:tc>
          <w:tcPr>
            <w:tcW w:w="270" w:type="dxa"/>
            <w:shd w:val="clear" w:color="auto" w:fill="E8E8E8" w:themeFill="background2"/>
          </w:tcPr>
          <w:p w14:paraId="14657BEF"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4502F6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337695E"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FD22B04"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CC9199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9E66C5F" w14:textId="77777777" w:rsidR="00243140" w:rsidRPr="000A4B92" w:rsidRDefault="00243140" w:rsidP="00243140">
            <w:pPr>
              <w:rPr>
                <w:rFonts w:asciiTheme="majorBidi" w:eastAsia="Calibri" w:hAnsiTheme="majorBidi" w:cstheme="majorBidi"/>
                <w:sz w:val="24"/>
                <w:szCs w:val="24"/>
                <w:rtl/>
              </w:rPr>
            </w:pPr>
          </w:p>
        </w:tc>
        <w:tc>
          <w:tcPr>
            <w:tcW w:w="3968" w:type="dxa"/>
          </w:tcPr>
          <w:p w14:paraId="47D86828" w14:textId="387CDA2F"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“I obtain written refusal of consent from the patient’s son.”</w:t>
            </w:r>
          </w:p>
        </w:tc>
        <w:tc>
          <w:tcPr>
            <w:tcW w:w="525" w:type="dxa"/>
            <w:vMerge/>
          </w:tcPr>
          <w:p w14:paraId="542092BB" w14:textId="77777777" w:rsidR="00243140" w:rsidRPr="000A4B92" w:rsidRDefault="00243140" w:rsidP="00243140">
            <w:pPr>
              <w:rPr>
                <w:rFonts w:asciiTheme="majorBidi" w:eastAsia="Calibri" w:hAnsiTheme="majorBidi" w:cstheme="majorBidi"/>
                <w:sz w:val="24"/>
                <w:szCs w:val="24"/>
              </w:rPr>
            </w:pPr>
          </w:p>
        </w:tc>
      </w:tr>
      <w:tr w:rsidR="00CD2DCE" w:rsidRPr="000A4B92" w14:paraId="3D3EC454" w14:textId="77777777" w:rsidTr="000A4B92">
        <w:trPr>
          <w:trHeight w:val="600"/>
          <w:jc w:val="center"/>
        </w:trPr>
        <w:tc>
          <w:tcPr>
            <w:tcW w:w="9548" w:type="dxa"/>
            <w:gridSpan w:val="8"/>
          </w:tcPr>
          <w:p w14:paraId="5F616C9C" w14:textId="4CAD2AE4"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 xml:space="preserve">You have a patient with advanced, progressive, severe multiple sclerosis who now develops renal failure due to diabetes. The patient is conscious and has signed and fingerprinted a DNR (Do Not Resuscitate) consent and disclaimer. The patient’s potassium level is now significantly elevated to 8 </w:t>
            </w:r>
            <w:proofErr w:type="spellStart"/>
            <w:r w:rsidRPr="000A4B92">
              <w:rPr>
                <w:rFonts w:asciiTheme="majorBidi" w:eastAsia="Calibri" w:hAnsiTheme="majorBidi" w:cstheme="majorBidi"/>
                <w:sz w:val="24"/>
                <w:szCs w:val="24"/>
              </w:rPr>
              <w:t>mEq</w:t>
            </w:r>
            <w:proofErr w:type="spellEnd"/>
            <w:r w:rsidRPr="000A4B92">
              <w:rPr>
                <w:rFonts w:asciiTheme="majorBidi" w:eastAsia="Calibri" w:hAnsiTheme="majorBidi" w:cstheme="majorBidi"/>
                <w:sz w:val="24"/>
                <w:szCs w:val="24"/>
              </w:rPr>
              <w:t>/L. What is your decision?</w:t>
            </w:r>
          </w:p>
        </w:tc>
        <w:tc>
          <w:tcPr>
            <w:tcW w:w="525" w:type="dxa"/>
            <w:vMerge w:val="restart"/>
          </w:tcPr>
          <w:p w14:paraId="37907E01" w14:textId="2FB4AF3A"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15</w:t>
            </w:r>
          </w:p>
        </w:tc>
      </w:tr>
      <w:tr w:rsidR="00CD2DCE" w:rsidRPr="000A4B92" w14:paraId="439F576A" w14:textId="77777777" w:rsidTr="000A4B92">
        <w:trPr>
          <w:trHeight w:val="1185"/>
          <w:jc w:val="center"/>
        </w:trPr>
        <w:tc>
          <w:tcPr>
            <w:tcW w:w="3960" w:type="dxa"/>
          </w:tcPr>
          <w:p w14:paraId="4EC4F7EA" w14:textId="3974931D"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“I should continue the legal protocols for dialysis and ignore the DNR order.”</w:t>
            </w:r>
          </w:p>
        </w:tc>
        <w:tc>
          <w:tcPr>
            <w:tcW w:w="270" w:type="dxa"/>
            <w:shd w:val="clear" w:color="auto" w:fill="E8E8E8" w:themeFill="background2"/>
          </w:tcPr>
          <w:p w14:paraId="7567B4E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6940D83"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18D71D5B"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F8DD97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4FDC86EB"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5A30B34C" w14:textId="77777777" w:rsidR="00243140" w:rsidRPr="000A4B92" w:rsidRDefault="00243140" w:rsidP="00243140">
            <w:pPr>
              <w:rPr>
                <w:rFonts w:asciiTheme="majorBidi" w:eastAsia="Calibri" w:hAnsiTheme="majorBidi" w:cstheme="majorBidi"/>
                <w:sz w:val="24"/>
                <w:szCs w:val="24"/>
                <w:rtl/>
              </w:rPr>
            </w:pPr>
          </w:p>
        </w:tc>
        <w:tc>
          <w:tcPr>
            <w:tcW w:w="3968" w:type="dxa"/>
          </w:tcPr>
          <w:p w14:paraId="195B40DB" w14:textId="25CDB2F6"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“I should have the legality of the DNR order reviewed by the legal medicine commission.”</w:t>
            </w:r>
          </w:p>
        </w:tc>
        <w:tc>
          <w:tcPr>
            <w:tcW w:w="525" w:type="dxa"/>
            <w:vMerge/>
          </w:tcPr>
          <w:p w14:paraId="5CD3C7A8" w14:textId="77777777" w:rsidR="00243140" w:rsidRPr="000A4B92" w:rsidRDefault="00243140" w:rsidP="00243140">
            <w:pPr>
              <w:rPr>
                <w:rFonts w:asciiTheme="majorBidi" w:eastAsia="Calibri" w:hAnsiTheme="majorBidi" w:cstheme="majorBidi"/>
                <w:sz w:val="24"/>
                <w:szCs w:val="24"/>
              </w:rPr>
            </w:pPr>
          </w:p>
        </w:tc>
      </w:tr>
      <w:tr w:rsidR="00CD2DCE" w:rsidRPr="000A4B92" w14:paraId="1F031862" w14:textId="77777777" w:rsidTr="000A4B92">
        <w:trPr>
          <w:trHeight w:val="555"/>
          <w:jc w:val="center"/>
        </w:trPr>
        <w:tc>
          <w:tcPr>
            <w:tcW w:w="9548" w:type="dxa"/>
            <w:gridSpan w:val="8"/>
          </w:tcPr>
          <w:p w14:paraId="2B094413" w14:textId="527CB2A1" w:rsidR="00243140" w:rsidRPr="000A4B92" w:rsidRDefault="00A34B8A"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An unidentified man is brought to the emergency department immediately after an accident, on a ventilator, by pre‑hospital emergency services. He meets all the criteria for brain death. He has a valid organ donor card with the official stamp of the Organ Donation Association in his wallet, indicating his consent to donate. The ward nurse informs you of this. What order do you give?</w:t>
            </w:r>
          </w:p>
        </w:tc>
        <w:tc>
          <w:tcPr>
            <w:tcW w:w="525" w:type="dxa"/>
            <w:vMerge w:val="restart"/>
          </w:tcPr>
          <w:p w14:paraId="1D855463" w14:textId="591E1088"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16</w:t>
            </w:r>
          </w:p>
        </w:tc>
      </w:tr>
      <w:tr w:rsidR="00CD2DCE" w:rsidRPr="000A4B92" w14:paraId="5A0D5B26" w14:textId="77777777" w:rsidTr="000A4B92">
        <w:trPr>
          <w:trHeight w:val="1230"/>
          <w:jc w:val="center"/>
        </w:trPr>
        <w:tc>
          <w:tcPr>
            <w:tcW w:w="3960" w:type="dxa"/>
          </w:tcPr>
          <w:p w14:paraId="77070E72" w14:textId="3213215E" w:rsidR="00243140" w:rsidRPr="000A4B92"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“Do not proceed with organ donation.”</w:t>
            </w:r>
          </w:p>
        </w:tc>
        <w:tc>
          <w:tcPr>
            <w:tcW w:w="270" w:type="dxa"/>
            <w:shd w:val="clear" w:color="auto" w:fill="E8E8E8" w:themeFill="background2"/>
          </w:tcPr>
          <w:p w14:paraId="64C226BE"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075546A1"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D834EC6"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171FC49"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6CE86E2F"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E8E8E8" w:themeFill="background2"/>
          </w:tcPr>
          <w:p w14:paraId="2BD7EFF8" w14:textId="77777777" w:rsidR="00243140" w:rsidRPr="000A4B92" w:rsidRDefault="00243140" w:rsidP="00243140">
            <w:pPr>
              <w:rPr>
                <w:rFonts w:asciiTheme="majorBidi" w:eastAsia="Calibri" w:hAnsiTheme="majorBidi" w:cstheme="majorBidi"/>
                <w:sz w:val="24"/>
                <w:szCs w:val="24"/>
                <w:rtl/>
              </w:rPr>
            </w:pPr>
          </w:p>
        </w:tc>
        <w:tc>
          <w:tcPr>
            <w:tcW w:w="3968" w:type="dxa"/>
          </w:tcPr>
          <w:p w14:paraId="161DD058" w14:textId="5FD2691E"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“Proceed with organ donation.”</w:t>
            </w:r>
          </w:p>
        </w:tc>
        <w:tc>
          <w:tcPr>
            <w:tcW w:w="525" w:type="dxa"/>
            <w:vMerge/>
          </w:tcPr>
          <w:p w14:paraId="10CE6BE1" w14:textId="77777777" w:rsidR="00243140" w:rsidRPr="000A4B92" w:rsidRDefault="00243140" w:rsidP="00243140">
            <w:pPr>
              <w:rPr>
                <w:rFonts w:asciiTheme="majorBidi" w:eastAsia="Calibri" w:hAnsiTheme="majorBidi" w:cstheme="majorBidi"/>
                <w:sz w:val="24"/>
                <w:szCs w:val="24"/>
              </w:rPr>
            </w:pPr>
          </w:p>
        </w:tc>
      </w:tr>
      <w:tr w:rsidR="00CD2DCE" w:rsidRPr="000A4B92" w14:paraId="0902C933" w14:textId="77777777" w:rsidTr="000A4B92">
        <w:trPr>
          <w:trHeight w:val="569"/>
          <w:jc w:val="center"/>
        </w:trPr>
        <w:tc>
          <w:tcPr>
            <w:tcW w:w="9548" w:type="dxa"/>
            <w:gridSpan w:val="8"/>
          </w:tcPr>
          <w:p w14:paraId="5F3C0048" w14:textId="67048137" w:rsidR="00243140" w:rsidRPr="000A4B92" w:rsidRDefault="00243140" w:rsidP="00243140">
            <w:pPr>
              <w:rPr>
                <w:rFonts w:asciiTheme="majorBidi" w:eastAsia="Calibri" w:hAnsiTheme="majorBidi" w:cstheme="majorBidi"/>
                <w:sz w:val="24"/>
                <w:szCs w:val="24"/>
                <w:rtl/>
              </w:rPr>
            </w:pPr>
            <w:r w:rsidRPr="000A4B92">
              <w:rPr>
                <w:rFonts w:asciiTheme="majorBidi" w:eastAsia="Calibri" w:hAnsiTheme="majorBidi" w:cstheme="majorBidi"/>
                <w:sz w:val="24"/>
                <w:szCs w:val="24"/>
              </w:rPr>
              <w:t xml:space="preserve">A woman with COVID‑19 is </w:t>
            </w:r>
            <w:proofErr w:type="spellStart"/>
            <w:r w:rsidRPr="000A4B92">
              <w:rPr>
                <w:rFonts w:asciiTheme="majorBidi" w:eastAsia="Calibri" w:hAnsiTheme="majorBidi" w:cstheme="majorBidi"/>
                <w:sz w:val="24"/>
                <w:szCs w:val="24"/>
              </w:rPr>
              <w:t>hospitalised</w:t>
            </w:r>
            <w:proofErr w:type="spellEnd"/>
            <w:r w:rsidRPr="000A4B92">
              <w:rPr>
                <w:rFonts w:asciiTheme="majorBidi" w:eastAsia="Calibri" w:hAnsiTheme="majorBidi" w:cstheme="majorBidi"/>
                <w:sz w:val="24"/>
                <w:szCs w:val="24"/>
              </w:rPr>
              <w:t xml:space="preserve"> in your ward. The disease is transmissible to children and very severe. A man comes to you and says he divorced this woman several years ago and </w:t>
            </w:r>
            <w:r w:rsidRPr="000A4B92">
              <w:rPr>
                <w:rFonts w:asciiTheme="majorBidi" w:eastAsia="Calibri" w:hAnsiTheme="majorBidi" w:cstheme="majorBidi"/>
                <w:sz w:val="24"/>
                <w:szCs w:val="24"/>
              </w:rPr>
              <w:lastRenderedPageBreak/>
              <w:t>has custody of their two children. His documents are correct. He asks you to disclose whether the patient has a contagious disease. The patient has previously requested that you not reveal her secrets under any circumstances, otherwise she will file a complaint. What is your decision?</w:t>
            </w:r>
          </w:p>
        </w:tc>
        <w:tc>
          <w:tcPr>
            <w:tcW w:w="525" w:type="dxa"/>
            <w:vMerge w:val="restart"/>
          </w:tcPr>
          <w:p w14:paraId="1BE3B0CF" w14:textId="7F16EC16" w:rsidR="00243140" w:rsidRPr="000A4B92" w:rsidRDefault="00243140" w:rsidP="00243140">
            <w:pPr>
              <w:rPr>
                <w:rFonts w:asciiTheme="majorBidi" w:eastAsia="Calibri" w:hAnsiTheme="majorBidi" w:cstheme="majorBidi"/>
                <w:sz w:val="24"/>
                <w:szCs w:val="24"/>
              </w:rPr>
            </w:pPr>
            <w:r w:rsidRPr="000A4B92">
              <w:rPr>
                <w:rFonts w:asciiTheme="majorBidi" w:eastAsia="Calibri" w:hAnsiTheme="majorBidi" w:cstheme="majorBidi"/>
                <w:sz w:val="24"/>
                <w:szCs w:val="24"/>
              </w:rPr>
              <w:lastRenderedPageBreak/>
              <w:t>17</w:t>
            </w:r>
          </w:p>
        </w:tc>
      </w:tr>
      <w:tr w:rsidR="00CD2DCE" w:rsidRPr="00CD2DCE" w14:paraId="4CE2DD3E" w14:textId="77777777" w:rsidTr="000A4B92">
        <w:trPr>
          <w:trHeight w:val="1215"/>
          <w:jc w:val="center"/>
        </w:trPr>
        <w:tc>
          <w:tcPr>
            <w:tcW w:w="3960" w:type="dxa"/>
          </w:tcPr>
          <w:p w14:paraId="65595499" w14:textId="0472EB17" w:rsidR="00243140" w:rsidRPr="000A4B92" w:rsidRDefault="008735DE" w:rsidP="008735DE">
            <w:pPr>
              <w:rPr>
                <w:rFonts w:asciiTheme="majorBidi" w:eastAsia="Calibri" w:hAnsiTheme="majorBidi" w:cstheme="majorBidi"/>
                <w:sz w:val="24"/>
                <w:szCs w:val="24"/>
                <w:rtl/>
              </w:rPr>
            </w:pPr>
            <w:r w:rsidRPr="000A4B92">
              <w:rPr>
                <w:rFonts w:asciiTheme="majorBidi" w:eastAsia="Calibri" w:hAnsiTheme="majorBidi" w:cstheme="majorBidi"/>
                <w:i/>
                <w:iCs/>
                <w:sz w:val="24"/>
                <w:szCs w:val="24"/>
              </w:rPr>
              <w:t>“I should request assistance from the judicial authorities to inform the patient’s ex</w:t>
            </w:r>
            <w:r w:rsidRPr="000A4B92">
              <w:rPr>
                <w:rFonts w:asciiTheme="majorBidi" w:eastAsia="Calibri" w:hAnsiTheme="majorBidi" w:cstheme="majorBidi"/>
                <w:i/>
                <w:iCs/>
                <w:sz w:val="24"/>
                <w:szCs w:val="24"/>
              </w:rPr>
              <w:noBreakHyphen/>
              <w:t>husband.”</w:t>
            </w:r>
          </w:p>
        </w:tc>
        <w:tc>
          <w:tcPr>
            <w:tcW w:w="270" w:type="dxa"/>
            <w:shd w:val="clear" w:color="auto" w:fill="D9D9D9"/>
          </w:tcPr>
          <w:p w14:paraId="2F0F5157"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D9D9D9"/>
          </w:tcPr>
          <w:p w14:paraId="79B055B0"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D9D9D9"/>
          </w:tcPr>
          <w:p w14:paraId="7CD42E08"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D9D9D9"/>
          </w:tcPr>
          <w:p w14:paraId="72F6D4BA"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D9D9D9"/>
          </w:tcPr>
          <w:p w14:paraId="024BCC19" w14:textId="77777777" w:rsidR="00243140" w:rsidRPr="000A4B92" w:rsidRDefault="00243140" w:rsidP="00243140">
            <w:pPr>
              <w:rPr>
                <w:rFonts w:asciiTheme="majorBidi" w:eastAsia="Calibri" w:hAnsiTheme="majorBidi" w:cstheme="majorBidi"/>
                <w:sz w:val="24"/>
                <w:szCs w:val="24"/>
                <w:rtl/>
              </w:rPr>
            </w:pPr>
          </w:p>
        </w:tc>
        <w:tc>
          <w:tcPr>
            <w:tcW w:w="270" w:type="dxa"/>
            <w:shd w:val="clear" w:color="auto" w:fill="D9D9D9"/>
          </w:tcPr>
          <w:p w14:paraId="30E19D8B" w14:textId="77777777" w:rsidR="00243140" w:rsidRPr="000A4B92" w:rsidRDefault="00243140" w:rsidP="00243140">
            <w:pPr>
              <w:rPr>
                <w:rFonts w:asciiTheme="majorBidi" w:eastAsia="Calibri" w:hAnsiTheme="majorBidi" w:cstheme="majorBidi"/>
                <w:sz w:val="24"/>
                <w:szCs w:val="24"/>
                <w:rtl/>
              </w:rPr>
            </w:pPr>
          </w:p>
        </w:tc>
        <w:tc>
          <w:tcPr>
            <w:tcW w:w="3968" w:type="dxa"/>
          </w:tcPr>
          <w:p w14:paraId="5A65BBC2" w14:textId="32AA3383" w:rsidR="00243140" w:rsidRPr="00B20293" w:rsidRDefault="008735DE" w:rsidP="008735DE">
            <w:pPr>
              <w:rPr>
                <w:rFonts w:asciiTheme="majorBidi" w:eastAsia="Calibri" w:hAnsiTheme="majorBidi" w:cstheme="majorBidi"/>
                <w:b/>
                <w:bCs/>
                <w:sz w:val="24"/>
                <w:szCs w:val="24"/>
                <w:rtl/>
              </w:rPr>
            </w:pPr>
            <w:r w:rsidRPr="000A4B92">
              <w:rPr>
                <w:rFonts w:asciiTheme="majorBidi" w:eastAsia="Calibri" w:hAnsiTheme="majorBidi" w:cstheme="majorBidi"/>
                <w:b/>
                <w:bCs/>
                <w:i/>
                <w:iCs/>
                <w:sz w:val="24"/>
                <w:szCs w:val="24"/>
              </w:rPr>
              <w:t>“I should inform the patient’s ex</w:t>
            </w:r>
            <w:r w:rsidRPr="000A4B92">
              <w:rPr>
                <w:rFonts w:asciiTheme="majorBidi" w:eastAsia="Calibri" w:hAnsiTheme="majorBidi" w:cstheme="majorBidi"/>
                <w:b/>
                <w:bCs/>
                <w:i/>
                <w:iCs/>
                <w:sz w:val="24"/>
                <w:szCs w:val="24"/>
              </w:rPr>
              <w:noBreakHyphen/>
              <w:t>husband about the danger to the children.”</w:t>
            </w:r>
          </w:p>
        </w:tc>
        <w:tc>
          <w:tcPr>
            <w:tcW w:w="525" w:type="dxa"/>
            <w:vMerge/>
          </w:tcPr>
          <w:p w14:paraId="0BE0DF4A" w14:textId="77777777" w:rsidR="00243140" w:rsidRPr="00CD2DCE" w:rsidRDefault="00243140" w:rsidP="00243140">
            <w:pPr>
              <w:rPr>
                <w:rFonts w:asciiTheme="majorBidi" w:eastAsia="Calibri" w:hAnsiTheme="majorBidi" w:cstheme="majorBidi"/>
                <w:sz w:val="24"/>
                <w:szCs w:val="24"/>
              </w:rPr>
            </w:pPr>
          </w:p>
        </w:tc>
      </w:tr>
    </w:tbl>
    <w:p w14:paraId="31C40409" w14:textId="67FDBD87" w:rsidR="00496B4B" w:rsidRPr="00734935" w:rsidRDefault="008735DE" w:rsidP="008735DE">
      <w:pPr>
        <w:rPr>
          <w:rFonts w:asciiTheme="majorBidi" w:hAnsiTheme="majorBidi" w:cstheme="majorBidi"/>
          <w:rtl/>
        </w:rPr>
      </w:pPr>
      <w:r w:rsidRPr="00734935">
        <w:rPr>
          <w:rFonts w:asciiTheme="majorBidi" w:hAnsiTheme="majorBidi" w:cstheme="majorBidi"/>
          <w:b/>
          <w:bCs/>
        </w:rPr>
        <w:t>Note:</w:t>
      </w:r>
      <w:r w:rsidRPr="00734935">
        <w:rPr>
          <w:rFonts w:asciiTheme="majorBidi" w:hAnsiTheme="majorBidi" w:cstheme="majorBidi"/>
        </w:rPr>
        <w:t xml:space="preserve"> For each item, the respondent places an X on a continuous line (grey area) between the two anchor statements. The original Persian version uses a visual analogue scale. The anchors are presented left and right as shown above.</w:t>
      </w:r>
    </w:p>
    <w:p w14:paraId="50A899E8" w14:textId="77777777" w:rsidR="00243140" w:rsidRDefault="00243140">
      <w:pPr>
        <w:rPr>
          <w:rtl/>
        </w:rPr>
      </w:pPr>
    </w:p>
    <w:p w14:paraId="5CFD4AD8" w14:textId="77777777" w:rsidR="000A4B92" w:rsidRPr="000A4B92" w:rsidRDefault="000A4B92" w:rsidP="000A4B92">
      <w:pPr>
        <w:shd w:val="clear" w:color="auto" w:fill="000000" w:themeFill="text1"/>
        <w:spacing w:before="100" w:beforeAutospacing="1" w:after="100" w:afterAutospacing="1" w:line="240" w:lineRule="auto"/>
        <w:outlineLvl w:val="1"/>
        <w:rPr>
          <w:rFonts w:asciiTheme="majorBidi" w:eastAsia="Times New Roman" w:hAnsiTheme="majorBidi" w:cstheme="majorBidi"/>
          <w:b/>
          <w:bCs/>
          <w:kern w:val="0"/>
          <w:sz w:val="32"/>
          <w:szCs w:val="32"/>
          <w14:ligatures w14:val="none"/>
        </w:rPr>
      </w:pPr>
      <w:r w:rsidRPr="000A4B92">
        <w:rPr>
          <w:rFonts w:asciiTheme="majorBidi" w:eastAsia="Times New Roman" w:hAnsiTheme="majorBidi" w:cstheme="majorBidi"/>
          <w:b/>
          <w:bCs/>
          <w:kern w:val="0"/>
          <w:sz w:val="32"/>
          <w:szCs w:val="32"/>
          <w14:ligatures w14:val="none"/>
        </w:rPr>
        <w:t>Scoring Guide for the Medical Law Reasoning Skills Test (MLRST)</w:t>
      </w:r>
    </w:p>
    <w:p w14:paraId="7C2D22EC" w14:textId="77777777" w:rsidR="000A4B92" w:rsidRPr="000A4B92" w:rsidRDefault="000A4B92" w:rsidP="000A4B92">
      <w:pPr>
        <w:spacing w:before="100" w:beforeAutospacing="1" w:after="100" w:afterAutospacing="1" w:line="240" w:lineRule="auto"/>
        <w:outlineLvl w:val="2"/>
        <w:rPr>
          <w:rFonts w:asciiTheme="majorBidi" w:eastAsia="Times New Roman" w:hAnsiTheme="majorBidi" w:cstheme="majorBidi"/>
          <w:b/>
          <w:bCs/>
          <w:kern w:val="0"/>
          <w:sz w:val="27"/>
          <w:szCs w:val="27"/>
          <w14:ligatures w14:val="none"/>
        </w:rPr>
      </w:pPr>
      <w:r w:rsidRPr="000A4B92">
        <w:rPr>
          <w:rFonts w:asciiTheme="majorBidi" w:eastAsia="Times New Roman" w:hAnsiTheme="majorBidi" w:cstheme="majorBidi"/>
          <w:b/>
          <w:bCs/>
          <w:kern w:val="0"/>
          <w:sz w:val="27"/>
          <w:szCs w:val="27"/>
          <w14:ligatures w14:val="none"/>
        </w:rPr>
        <w:t>1. Scoring procedure</w:t>
      </w:r>
    </w:p>
    <w:p w14:paraId="6AA1AB7F" w14:textId="77777777" w:rsidR="000A4B92" w:rsidRPr="000A4B92" w:rsidRDefault="000A4B92" w:rsidP="000A4B92">
      <w:p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For each of the 17 items, the respondent places a cross (</w:t>
      </w:r>
      <w:r w:rsidRPr="000A4B92">
        <w:rPr>
          <w:rFonts w:asciiTheme="majorBidi" w:eastAsia="Times New Roman" w:hAnsiTheme="majorBidi" w:cstheme="majorBidi"/>
          <w:kern w:val="0"/>
          <w:sz w:val="20"/>
          <w:szCs w:val="20"/>
          <w14:ligatures w14:val="none"/>
        </w:rPr>
        <w:t>X</w:t>
      </w:r>
      <w:r w:rsidRPr="000A4B92">
        <w:rPr>
          <w:rFonts w:asciiTheme="majorBidi" w:eastAsia="Times New Roman" w:hAnsiTheme="majorBidi" w:cstheme="majorBidi"/>
          <w:kern w:val="0"/>
          <w14:ligatures w14:val="none"/>
        </w:rPr>
        <w:t xml:space="preserve">) on a 60 mm visual analogue continuum between two anchor statements. Measure the distance (in mm) from the </w:t>
      </w:r>
      <w:r w:rsidRPr="000A4B92">
        <w:rPr>
          <w:rFonts w:asciiTheme="majorBidi" w:eastAsia="Times New Roman" w:hAnsiTheme="majorBidi" w:cstheme="majorBidi"/>
          <w:b/>
          <w:bCs/>
          <w:kern w:val="0"/>
          <w14:ligatures w14:val="none"/>
        </w:rPr>
        <w:t>correct anchor</w:t>
      </w:r>
      <w:r w:rsidRPr="000A4B92">
        <w:rPr>
          <w:rFonts w:asciiTheme="majorBidi" w:eastAsia="Times New Roman" w:hAnsiTheme="majorBidi" w:cstheme="majorBidi"/>
          <w:kern w:val="0"/>
          <w14:ligatures w14:val="none"/>
        </w:rPr>
        <w:t xml:space="preserve"> (see Table 1) to the cross. The score for the item is calculated as:</w:t>
      </w:r>
    </w:p>
    <w:p w14:paraId="573D1967" w14:textId="4B7B2CFF" w:rsidR="000A4B92" w:rsidRPr="000A4B92" w:rsidRDefault="000A4B92" w:rsidP="000A4B92">
      <w:p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b/>
          <w:bCs/>
          <w:kern w:val="0"/>
          <w14:ligatures w14:val="none"/>
        </w:rPr>
        <w:t xml:space="preserve">Score = 6 − </w:t>
      </w:r>
      <w:r w:rsidRPr="000A4B92">
        <w:rPr>
          <w:rFonts w:asciiTheme="majorBidi" w:eastAsia="Times New Roman" w:hAnsiTheme="majorBidi" w:cstheme="majorBidi"/>
          <w:b/>
          <w:bCs/>
          <w:kern w:val="0"/>
          <w14:ligatures w14:val="none"/>
        </w:rPr>
        <w:t>round (5</w:t>
      </w:r>
      <w:r w:rsidRPr="000A4B92">
        <w:rPr>
          <w:rFonts w:asciiTheme="majorBidi" w:eastAsia="Times New Roman" w:hAnsiTheme="majorBidi" w:cstheme="majorBidi"/>
          <w:b/>
          <w:bCs/>
          <w:kern w:val="0"/>
          <w14:ligatures w14:val="none"/>
        </w:rPr>
        <w:t xml:space="preserve"> × distance / total </w:t>
      </w:r>
      <w:r w:rsidRPr="000A4B92">
        <w:rPr>
          <w:rFonts w:asciiTheme="majorBidi" w:eastAsia="Times New Roman" w:hAnsiTheme="majorBidi" w:cstheme="majorBidi"/>
          <w:b/>
          <w:bCs/>
          <w:kern w:val="0"/>
          <w14:ligatures w14:val="none"/>
        </w:rPr>
        <w:t>length)</w:t>
      </w:r>
      <w:r w:rsidRPr="000A4B92">
        <w:rPr>
          <w:rFonts w:asciiTheme="majorBidi" w:eastAsia="Times New Roman" w:hAnsiTheme="majorBidi" w:cstheme="majorBidi"/>
          <w:kern w:val="0"/>
          <w14:ligatures w14:val="none"/>
        </w:rPr>
        <w:br/>
        <w:t>with the following conditions:</w:t>
      </w:r>
    </w:p>
    <w:p w14:paraId="5E045E55" w14:textId="77777777" w:rsidR="000A4B92" w:rsidRPr="000A4B92" w:rsidRDefault="000A4B92" w:rsidP="000A4B9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Total continuum length = 60 mm (or </w:t>
      </w:r>
      <w:proofErr w:type="spellStart"/>
      <w:r w:rsidRPr="000A4B92">
        <w:rPr>
          <w:rFonts w:asciiTheme="majorBidi" w:eastAsia="Times New Roman" w:hAnsiTheme="majorBidi" w:cstheme="majorBidi"/>
          <w:kern w:val="0"/>
          <w14:ligatures w14:val="none"/>
        </w:rPr>
        <w:t>normalise</w:t>
      </w:r>
      <w:proofErr w:type="spellEnd"/>
      <w:r w:rsidRPr="000A4B92">
        <w:rPr>
          <w:rFonts w:asciiTheme="majorBidi" w:eastAsia="Times New Roman" w:hAnsiTheme="majorBidi" w:cstheme="majorBidi"/>
          <w:kern w:val="0"/>
          <w14:ligatures w14:val="none"/>
        </w:rPr>
        <w:t xml:space="preserve"> to 60 mm).</w:t>
      </w:r>
    </w:p>
    <w:p w14:paraId="68A3BB84" w14:textId="77777777" w:rsidR="000A4B92" w:rsidRPr="000A4B92" w:rsidRDefault="000A4B92" w:rsidP="000A4B9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Distance is measured from the correct anchor toward the opposite anchor (0 mm = exactly at the correct anchor).</w:t>
      </w:r>
    </w:p>
    <w:p w14:paraId="6C5DB295" w14:textId="77777777" w:rsidR="000A4B92" w:rsidRPr="000A4B92" w:rsidRDefault="000A4B92" w:rsidP="000A4B9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The resulting score is a whole number from </w:t>
      </w:r>
      <w:r w:rsidRPr="000A4B92">
        <w:rPr>
          <w:rFonts w:asciiTheme="majorBidi" w:eastAsia="Times New Roman" w:hAnsiTheme="majorBidi" w:cstheme="majorBidi"/>
          <w:b/>
          <w:bCs/>
          <w:kern w:val="0"/>
          <w14:ligatures w14:val="none"/>
        </w:rPr>
        <w:t>1</w:t>
      </w:r>
      <w:r w:rsidRPr="000A4B92">
        <w:rPr>
          <w:rFonts w:asciiTheme="majorBidi" w:eastAsia="Times New Roman" w:hAnsiTheme="majorBidi" w:cstheme="majorBidi"/>
          <w:kern w:val="0"/>
          <w14:ligatures w14:val="none"/>
        </w:rPr>
        <w:t xml:space="preserve"> (farthest from correct) to </w:t>
      </w:r>
      <w:r w:rsidRPr="000A4B92">
        <w:rPr>
          <w:rFonts w:asciiTheme="majorBidi" w:eastAsia="Times New Roman" w:hAnsiTheme="majorBidi" w:cstheme="majorBidi"/>
          <w:b/>
          <w:bCs/>
          <w:kern w:val="0"/>
          <w14:ligatures w14:val="none"/>
        </w:rPr>
        <w:t>6</w:t>
      </w:r>
      <w:r w:rsidRPr="000A4B92">
        <w:rPr>
          <w:rFonts w:asciiTheme="majorBidi" w:eastAsia="Times New Roman" w:hAnsiTheme="majorBidi" w:cstheme="majorBidi"/>
          <w:kern w:val="0"/>
          <w14:ligatures w14:val="none"/>
        </w:rPr>
        <w:t xml:space="preserve"> (closest to correct).</w:t>
      </w:r>
    </w:p>
    <w:p w14:paraId="6198F317" w14:textId="77777777" w:rsidR="000A4B92" w:rsidRPr="000A4B92" w:rsidRDefault="000A4B92" w:rsidP="000A4B9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If the cross is placed exactly at the midpoint, assign a score of </w:t>
      </w:r>
      <w:r w:rsidRPr="000A4B92">
        <w:rPr>
          <w:rFonts w:asciiTheme="majorBidi" w:eastAsia="Times New Roman" w:hAnsiTheme="majorBidi" w:cstheme="majorBidi"/>
          <w:b/>
          <w:bCs/>
          <w:kern w:val="0"/>
          <w14:ligatures w14:val="none"/>
        </w:rPr>
        <w:t>3</w:t>
      </w:r>
      <w:r w:rsidRPr="000A4B92">
        <w:rPr>
          <w:rFonts w:asciiTheme="majorBidi" w:eastAsia="Times New Roman" w:hAnsiTheme="majorBidi" w:cstheme="majorBidi"/>
          <w:kern w:val="0"/>
          <w14:ligatures w14:val="none"/>
        </w:rPr>
        <w:t>.</w:t>
      </w:r>
    </w:p>
    <w:p w14:paraId="43B2A806" w14:textId="77777777" w:rsidR="000A4B92" w:rsidRPr="000A4B92" w:rsidRDefault="000A4B92" w:rsidP="000A4B92">
      <w:p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b/>
          <w:bCs/>
          <w:kern w:val="0"/>
          <w14:ligatures w14:val="none"/>
        </w:rPr>
        <w:t>Practical alternative:</w:t>
      </w:r>
      <w:r w:rsidRPr="000A4B92">
        <w:rPr>
          <w:rFonts w:asciiTheme="majorBidi" w:eastAsia="Times New Roman" w:hAnsiTheme="majorBidi" w:cstheme="majorBidi"/>
          <w:kern w:val="0"/>
          <w14:ligatures w14:val="none"/>
        </w:rPr>
        <w:t xml:space="preserve"> Divide the line into six equal zones (10 mm each) – zone 1 (adjacent to correct anchor) gives a score of 6, zone 6 (opposite end) gives a score of 1.</w:t>
      </w:r>
    </w:p>
    <w:p w14:paraId="37E4D2E2" w14:textId="77777777" w:rsidR="000A4B92" w:rsidRPr="000A4B92" w:rsidRDefault="000A4B92" w:rsidP="000A4B92">
      <w:p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The </w:t>
      </w:r>
      <w:r w:rsidRPr="000A4B92">
        <w:rPr>
          <w:rFonts w:asciiTheme="majorBidi" w:eastAsia="Times New Roman" w:hAnsiTheme="majorBidi" w:cstheme="majorBidi"/>
          <w:b/>
          <w:bCs/>
          <w:kern w:val="0"/>
          <w14:ligatures w14:val="none"/>
        </w:rPr>
        <w:t>total MLRST score</w:t>
      </w:r>
      <w:r w:rsidRPr="000A4B92">
        <w:rPr>
          <w:rFonts w:asciiTheme="majorBidi" w:eastAsia="Times New Roman" w:hAnsiTheme="majorBidi" w:cstheme="majorBidi"/>
          <w:kern w:val="0"/>
          <w14:ligatures w14:val="none"/>
        </w:rPr>
        <w:t xml:space="preserve"> is the sum of the 17 item scores, ranging from </w:t>
      </w:r>
      <w:r w:rsidRPr="000A4B92">
        <w:rPr>
          <w:rFonts w:asciiTheme="majorBidi" w:eastAsia="Times New Roman" w:hAnsiTheme="majorBidi" w:cstheme="majorBidi"/>
          <w:b/>
          <w:bCs/>
          <w:kern w:val="0"/>
          <w14:ligatures w14:val="none"/>
        </w:rPr>
        <w:t>17 (lowest)</w:t>
      </w:r>
      <w:r w:rsidRPr="000A4B92">
        <w:rPr>
          <w:rFonts w:asciiTheme="majorBidi" w:eastAsia="Times New Roman" w:hAnsiTheme="majorBidi" w:cstheme="majorBidi"/>
          <w:kern w:val="0"/>
          <w14:ligatures w14:val="none"/>
        </w:rPr>
        <w:t xml:space="preserve"> to </w:t>
      </w:r>
      <w:r w:rsidRPr="000A4B92">
        <w:rPr>
          <w:rFonts w:asciiTheme="majorBidi" w:eastAsia="Times New Roman" w:hAnsiTheme="majorBidi" w:cstheme="majorBidi"/>
          <w:b/>
          <w:bCs/>
          <w:kern w:val="0"/>
          <w14:ligatures w14:val="none"/>
        </w:rPr>
        <w:t>102 (highest)</w:t>
      </w:r>
      <w:r w:rsidRPr="000A4B92">
        <w:rPr>
          <w:rFonts w:asciiTheme="majorBidi" w:eastAsia="Times New Roman" w:hAnsiTheme="majorBidi" w:cstheme="majorBidi"/>
          <w:kern w:val="0"/>
          <w14:ligatures w14:val="none"/>
        </w:rPr>
        <w:t>.</w:t>
      </w:r>
    </w:p>
    <w:p w14:paraId="607B06BC" w14:textId="3E288541" w:rsidR="000A4B92" w:rsidRDefault="000A4B92" w:rsidP="000A4B92">
      <w:pPr>
        <w:spacing w:after="0" w:line="240" w:lineRule="auto"/>
        <w:rPr>
          <w:rFonts w:asciiTheme="majorBidi" w:eastAsia="Times New Roman" w:hAnsiTheme="majorBidi" w:cstheme="majorBidi"/>
          <w:kern w:val="0"/>
          <w:rtl/>
          <w14:ligatures w14:val="none"/>
        </w:rPr>
      </w:pPr>
    </w:p>
    <w:p w14:paraId="1AE99737" w14:textId="77777777" w:rsidR="000A4B92" w:rsidRDefault="000A4B92" w:rsidP="000A4B92">
      <w:pPr>
        <w:spacing w:after="0" w:line="240" w:lineRule="auto"/>
        <w:rPr>
          <w:rFonts w:asciiTheme="majorBidi" w:eastAsia="Times New Roman" w:hAnsiTheme="majorBidi" w:cstheme="majorBidi"/>
          <w:kern w:val="0"/>
          <w:rtl/>
          <w14:ligatures w14:val="none"/>
        </w:rPr>
      </w:pPr>
    </w:p>
    <w:p w14:paraId="4ECF5A3E" w14:textId="77777777" w:rsidR="000A4B92" w:rsidRDefault="000A4B92" w:rsidP="000A4B92">
      <w:pPr>
        <w:spacing w:after="0" w:line="240" w:lineRule="auto"/>
        <w:rPr>
          <w:rFonts w:asciiTheme="majorBidi" w:eastAsia="Times New Roman" w:hAnsiTheme="majorBidi" w:cstheme="majorBidi"/>
          <w:kern w:val="0"/>
          <w:rtl/>
          <w14:ligatures w14:val="none"/>
        </w:rPr>
      </w:pPr>
    </w:p>
    <w:p w14:paraId="56814DAF" w14:textId="77777777" w:rsidR="000A4B92" w:rsidRDefault="000A4B92" w:rsidP="000A4B92">
      <w:pPr>
        <w:spacing w:after="0" w:line="240" w:lineRule="auto"/>
        <w:rPr>
          <w:rFonts w:asciiTheme="majorBidi" w:eastAsia="Times New Roman" w:hAnsiTheme="majorBidi" w:cstheme="majorBidi"/>
          <w:kern w:val="0"/>
          <w:rtl/>
          <w14:ligatures w14:val="none"/>
        </w:rPr>
      </w:pPr>
    </w:p>
    <w:p w14:paraId="185F9D1D" w14:textId="77777777" w:rsidR="000A4B92" w:rsidRDefault="000A4B92" w:rsidP="000A4B92">
      <w:pPr>
        <w:spacing w:after="0" w:line="240" w:lineRule="auto"/>
        <w:rPr>
          <w:rFonts w:asciiTheme="majorBidi" w:eastAsia="Times New Roman" w:hAnsiTheme="majorBidi" w:cstheme="majorBidi"/>
          <w:kern w:val="0"/>
          <w:rtl/>
          <w14:ligatures w14:val="none"/>
        </w:rPr>
      </w:pPr>
    </w:p>
    <w:p w14:paraId="5934F565" w14:textId="77777777" w:rsidR="000A4B92" w:rsidRDefault="000A4B92" w:rsidP="000A4B92">
      <w:pPr>
        <w:spacing w:after="0" w:line="240" w:lineRule="auto"/>
        <w:rPr>
          <w:rFonts w:asciiTheme="majorBidi" w:eastAsia="Times New Roman" w:hAnsiTheme="majorBidi" w:cstheme="majorBidi"/>
          <w:kern w:val="0"/>
          <w:rtl/>
          <w14:ligatures w14:val="none"/>
        </w:rPr>
      </w:pPr>
    </w:p>
    <w:p w14:paraId="0915287F" w14:textId="77777777" w:rsidR="000A4B92" w:rsidRPr="000A4B92" w:rsidRDefault="000A4B92" w:rsidP="000A4B92">
      <w:pPr>
        <w:spacing w:after="0" w:line="240" w:lineRule="auto"/>
        <w:rPr>
          <w:rFonts w:asciiTheme="majorBidi" w:eastAsia="Times New Roman" w:hAnsiTheme="majorBidi" w:cstheme="majorBidi"/>
          <w:kern w:val="0"/>
          <w14:ligatures w14:val="none"/>
        </w:rPr>
      </w:pPr>
    </w:p>
    <w:p w14:paraId="6ABE43F2" w14:textId="77777777" w:rsidR="000A4B92" w:rsidRPr="000A4B92" w:rsidRDefault="000A4B92" w:rsidP="000A4B92">
      <w:pPr>
        <w:spacing w:before="100" w:beforeAutospacing="1" w:after="100" w:afterAutospacing="1" w:line="240" w:lineRule="auto"/>
        <w:outlineLvl w:val="2"/>
        <w:rPr>
          <w:rFonts w:asciiTheme="majorBidi" w:eastAsia="Times New Roman" w:hAnsiTheme="majorBidi" w:cstheme="majorBidi"/>
          <w:b/>
          <w:bCs/>
          <w:kern w:val="0"/>
          <w:sz w:val="27"/>
          <w:szCs w:val="27"/>
          <w14:ligatures w14:val="none"/>
        </w:rPr>
      </w:pPr>
      <w:r w:rsidRPr="000A4B92">
        <w:rPr>
          <w:rFonts w:asciiTheme="majorBidi" w:eastAsia="Times New Roman" w:hAnsiTheme="majorBidi" w:cstheme="majorBidi"/>
          <w:b/>
          <w:bCs/>
          <w:kern w:val="0"/>
          <w:sz w:val="27"/>
          <w:szCs w:val="27"/>
          <w14:ligatures w14:val="none"/>
        </w:rPr>
        <w:lastRenderedPageBreak/>
        <w:t>2. Correct anchor per item</w:t>
      </w:r>
    </w:p>
    <w:tbl>
      <w:tblPr>
        <w:tblStyle w:val="TableGrid49"/>
        <w:tblW w:w="0" w:type="auto"/>
        <w:tblLook w:val="04A0" w:firstRow="1" w:lastRow="0" w:firstColumn="1" w:lastColumn="0" w:noHBand="0" w:noVBand="1"/>
      </w:tblPr>
      <w:tblGrid>
        <w:gridCol w:w="656"/>
        <w:gridCol w:w="1299"/>
        <w:gridCol w:w="7395"/>
      </w:tblGrid>
      <w:tr w:rsidR="000A4B92" w:rsidRPr="000A4B92" w14:paraId="21087722" w14:textId="77777777" w:rsidTr="000A4B92">
        <w:tc>
          <w:tcPr>
            <w:tcW w:w="0" w:type="auto"/>
            <w:hideMark/>
          </w:tcPr>
          <w:p w14:paraId="2041791A" w14:textId="77777777" w:rsidR="000A4B92" w:rsidRPr="000A4B92" w:rsidRDefault="000A4B92" w:rsidP="000A4B92">
            <w:pPr>
              <w:jc w:val="center"/>
              <w:rPr>
                <w:rFonts w:asciiTheme="majorBidi" w:eastAsia="Times New Roman" w:hAnsiTheme="majorBidi" w:cstheme="majorBidi"/>
                <w:b/>
                <w:bCs/>
              </w:rPr>
            </w:pPr>
            <w:r w:rsidRPr="000A4B92">
              <w:rPr>
                <w:rFonts w:asciiTheme="majorBidi" w:eastAsia="Times New Roman" w:hAnsiTheme="majorBidi" w:cstheme="majorBidi"/>
                <w:b/>
                <w:bCs/>
              </w:rPr>
              <w:t>Item</w:t>
            </w:r>
          </w:p>
        </w:tc>
        <w:tc>
          <w:tcPr>
            <w:tcW w:w="0" w:type="auto"/>
            <w:hideMark/>
          </w:tcPr>
          <w:p w14:paraId="0ACF9A4A" w14:textId="77777777" w:rsidR="000A4B92" w:rsidRPr="000A4B92" w:rsidRDefault="000A4B92" w:rsidP="000A4B92">
            <w:pPr>
              <w:jc w:val="center"/>
              <w:rPr>
                <w:rFonts w:asciiTheme="majorBidi" w:eastAsia="Times New Roman" w:hAnsiTheme="majorBidi" w:cstheme="majorBidi"/>
                <w:b/>
                <w:bCs/>
              </w:rPr>
            </w:pPr>
            <w:r w:rsidRPr="000A4B92">
              <w:rPr>
                <w:rFonts w:asciiTheme="majorBidi" w:eastAsia="Times New Roman" w:hAnsiTheme="majorBidi" w:cstheme="majorBidi"/>
                <w:b/>
                <w:bCs/>
              </w:rPr>
              <w:t>Correct anchor position</w:t>
            </w:r>
          </w:p>
        </w:tc>
        <w:tc>
          <w:tcPr>
            <w:tcW w:w="0" w:type="auto"/>
            <w:hideMark/>
          </w:tcPr>
          <w:p w14:paraId="595EB311" w14:textId="77777777" w:rsidR="000A4B92" w:rsidRPr="000A4B92" w:rsidRDefault="000A4B92" w:rsidP="000A4B92">
            <w:pPr>
              <w:jc w:val="center"/>
              <w:rPr>
                <w:rFonts w:asciiTheme="majorBidi" w:eastAsia="Times New Roman" w:hAnsiTheme="majorBidi" w:cstheme="majorBidi"/>
                <w:b/>
                <w:bCs/>
              </w:rPr>
            </w:pPr>
            <w:r w:rsidRPr="000A4B92">
              <w:rPr>
                <w:rFonts w:asciiTheme="majorBidi" w:eastAsia="Times New Roman" w:hAnsiTheme="majorBidi" w:cstheme="majorBidi"/>
                <w:b/>
                <w:bCs/>
              </w:rPr>
              <w:t>Anchor text (correct answer)</w:t>
            </w:r>
          </w:p>
        </w:tc>
      </w:tr>
      <w:tr w:rsidR="000A4B92" w:rsidRPr="000A4B92" w14:paraId="7D637DC6" w14:textId="77777777" w:rsidTr="000A4B92">
        <w:tc>
          <w:tcPr>
            <w:tcW w:w="0" w:type="auto"/>
            <w:hideMark/>
          </w:tcPr>
          <w:p w14:paraId="5CCF12AA"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w:t>
            </w:r>
          </w:p>
        </w:tc>
        <w:tc>
          <w:tcPr>
            <w:tcW w:w="0" w:type="auto"/>
            <w:hideMark/>
          </w:tcPr>
          <w:p w14:paraId="0F0BF042"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580CC80D"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“The patient's legal representative may lack the authority.”</w:t>
            </w:r>
          </w:p>
        </w:tc>
      </w:tr>
      <w:tr w:rsidR="000A4B92" w:rsidRPr="000A4B92" w14:paraId="79FD2C7B" w14:textId="77777777" w:rsidTr="000A4B92">
        <w:tc>
          <w:tcPr>
            <w:tcW w:w="0" w:type="auto"/>
            <w:hideMark/>
          </w:tcPr>
          <w:p w14:paraId="6CDD1A13"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2</w:t>
            </w:r>
          </w:p>
        </w:tc>
        <w:tc>
          <w:tcPr>
            <w:tcW w:w="0" w:type="auto"/>
            <w:hideMark/>
          </w:tcPr>
          <w:p w14:paraId="793E428F"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648C6B4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“Refusal to perform the consultation requested by Hospital B.”</w:t>
            </w:r>
          </w:p>
        </w:tc>
      </w:tr>
      <w:tr w:rsidR="000A4B92" w:rsidRPr="000A4B92" w14:paraId="28BEE20E" w14:textId="77777777" w:rsidTr="000A4B92">
        <w:tc>
          <w:tcPr>
            <w:tcW w:w="0" w:type="auto"/>
            <w:hideMark/>
          </w:tcPr>
          <w:p w14:paraId="00A05DC7"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3</w:t>
            </w:r>
          </w:p>
        </w:tc>
        <w:tc>
          <w:tcPr>
            <w:tcW w:w="0" w:type="auto"/>
            <w:hideMark/>
          </w:tcPr>
          <w:p w14:paraId="233A4EC5"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0EECAD3E"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“Failure to adhere to scientific standards.”</w:t>
            </w:r>
          </w:p>
        </w:tc>
      </w:tr>
      <w:tr w:rsidR="000A4B92" w:rsidRPr="000A4B92" w14:paraId="5E505C8F" w14:textId="77777777" w:rsidTr="000A4B92">
        <w:tc>
          <w:tcPr>
            <w:tcW w:w="0" w:type="auto"/>
            <w:hideMark/>
          </w:tcPr>
          <w:p w14:paraId="3DF2E999"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4</w:t>
            </w:r>
          </w:p>
        </w:tc>
        <w:tc>
          <w:tcPr>
            <w:tcW w:w="0" w:type="auto"/>
            <w:hideMark/>
          </w:tcPr>
          <w:p w14:paraId="2AF85EC0"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1557A48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“Distinguishing between therapeutic and non</w:t>
            </w:r>
            <w:r w:rsidRPr="000A4B92">
              <w:rPr>
                <w:rFonts w:asciiTheme="majorBidi" w:eastAsia="Times New Roman" w:hAnsiTheme="majorBidi" w:cstheme="majorBidi"/>
                <w:i/>
                <w:iCs/>
              </w:rPr>
              <w:noBreakHyphen/>
              <w:t>therapeutic procedures.”</w:t>
            </w:r>
          </w:p>
        </w:tc>
      </w:tr>
      <w:tr w:rsidR="000A4B92" w:rsidRPr="000A4B92" w14:paraId="00318410" w14:textId="77777777" w:rsidTr="000A4B92">
        <w:tc>
          <w:tcPr>
            <w:tcW w:w="0" w:type="auto"/>
            <w:hideMark/>
          </w:tcPr>
          <w:p w14:paraId="4BFBC1A6"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5</w:t>
            </w:r>
          </w:p>
        </w:tc>
        <w:tc>
          <w:tcPr>
            <w:tcW w:w="0" w:type="auto"/>
            <w:hideMark/>
          </w:tcPr>
          <w:p w14:paraId="1440E622"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18C95E40"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“Providing a false report.”</w:t>
            </w:r>
          </w:p>
        </w:tc>
      </w:tr>
      <w:tr w:rsidR="000A4B92" w:rsidRPr="000A4B92" w14:paraId="418C96FA" w14:textId="77777777" w:rsidTr="000A4B92">
        <w:tc>
          <w:tcPr>
            <w:tcW w:w="0" w:type="auto"/>
            <w:hideMark/>
          </w:tcPr>
          <w:p w14:paraId="06A3FFE1"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6</w:t>
            </w:r>
          </w:p>
        </w:tc>
        <w:tc>
          <w:tcPr>
            <w:tcW w:w="0" w:type="auto"/>
            <w:hideMark/>
          </w:tcPr>
          <w:p w14:paraId="5C9C18B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6B6CA1E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“Providing abortion equipment is a crime unless the patient's life is in danger.”</w:t>
            </w:r>
          </w:p>
        </w:tc>
      </w:tr>
      <w:tr w:rsidR="000A4B92" w:rsidRPr="000A4B92" w14:paraId="2A8E90F5" w14:textId="77777777" w:rsidTr="000A4B92">
        <w:tc>
          <w:tcPr>
            <w:tcW w:w="0" w:type="auto"/>
            <w:hideMark/>
          </w:tcPr>
          <w:p w14:paraId="4988D028"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7</w:t>
            </w:r>
          </w:p>
        </w:tc>
        <w:tc>
          <w:tcPr>
            <w:tcW w:w="0" w:type="auto"/>
            <w:hideMark/>
          </w:tcPr>
          <w:p w14:paraId="20A6787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2D68DA61"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“If there is no fault or negligence in my knowledge or practice, I bear no responsibility, even if I have not obtained a disclaimer.”</w:t>
            </w:r>
          </w:p>
        </w:tc>
      </w:tr>
      <w:tr w:rsidR="000A4B92" w:rsidRPr="000A4B92" w14:paraId="5CA8CACE" w14:textId="77777777" w:rsidTr="000A4B92">
        <w:tc>
          <w:tcPr>
            <w:tcW w:w="0" w:type="auto"/>
            <w:hideMark/>
          </w:tcPr>
          <w:p w14:paraId="3A5BD90D"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8</w:t>
            </w:r>
          </w:p>
        </w:tc>
        <w:tc>
          <w:tcPr>
            <w:tcW w:w="0" w:type="auto"/>
            <w:hideMark/>
          </w:tcPr>
          <w:p w14:paraId="70A29D96"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298489D7"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“If I abandon my legal duty and I have the ability to perform that act, the resulting legal consequences will be attributed to me.”</w:t>
            </w:r>
          </w:p>
        </w:tc>
      </w:tr>
      <w:tr w:rsidR="000A4B92" w:rsidRPr="000A4B92" w14:paraId="0A1EDE7F" w14:textId="77777777" w:rsidTr="000A4B92">
        <w:tc>
          <w:tcPr>
            <w:tcW w:w="0" w:type="auto"/>
            <w:hideMark/>
          </w:tcPr>
          <w:p w14:paraId="52792889"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9</w:t>
            </w:r>
          </w:p>
        </w:tc>
        <w:tc>
          <w:tcPr>
            <w:tcW w:w="0" w:type="auto"/>
            <w:hideMark/>
          </w:tcPr>
          <w:p w14:paraId="0D14F899"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7891BD7A"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“Concealing an error is a legal offence. Given the mistake that occurred, I should inform the parents of their natural right.”</w:t>
            </w:r>
          </w:p>
        </w:tc>
      </w:tr>
      <w:tr w:rsidR="000A4B92" w:rsidRPr="000A4B92" w14:paraId="4A3B0793" w14:textId="77777777" w:rsidTr="000A4B92">
        <w:tc>
          <w:tcPr>
            <w:tcW w:w="0" w:type="auto"/>
            <w:hideMark/>
          </w:tcPr>
          <w:p w14:paraId="5D4A5446"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10</w:t>
            </w:r>
          </w:p>
        </w:tc>
        <w:tc>
          <w:tcPr>
            <w:tcW w:w="0" w:type="auto"/>
            <w:hideMark/>
          </w:tcPr>
          <w:p w14:paraId="078FECB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3779799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“Receiving money from the medical equipment company manager, while observing the principles and laws of conflict of interest and fully disclosing the representative relationship, does not create any legal problem because transparency and impartiality are maintained and the relevant laws are followed.”</w:t>
            </w:r>
          </w:p>
        </w:tc>
      </w:tr>
      <w:tr w:rsidR="000A4B92" w:rsidRPr="000A4B92" w14:paraId="37C365F9" w14:textId="77777777" w:rsidTr="000A4B92">
        <w:tc>
          <w:tcPr>
            <w:tcW w:w="0" w:type="auto"/>
            <w:hideMark/>
          </w:tcPr>
          <w:p w14:paraId="559E6B31"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11</w:t>
            </w:r>
          </w:p>
        </w:tc>
        <w:tc>
          <w:tcPr>
            <w:tcW w:w="0" w:type="auto"/>
            <w:hideMark/>
          </w:tcPr>
          <w:p w14:paraId="39831A02"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75898515"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“Patients with HIV have the right to privacy as long as they do not put others at risk. We are obliged to report the case confidentially to government health authorities, but we have no duty to notify the family, insurance company, or employer without the patient's consent.”</w:t>
            </w:r>
          </w:p>
        </w:tc>
      </w:tr>
      <w:tr w:rsidR="000A4B92" w:rsidRPr="000A4B92" w14:paraId="3C135BF9" w14:textId="77777777" w:rsidTr="000A4B92">
        <w:tc>
          <w:tcPr>
            <w:tcW w:w="0" w:type="auto"/>
            <w:hideMark/>
          </w:tcPr>
          <w:p w14:paraId="5E2BD84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12</w:t>
            </w:r>
          </w:p>
        </w:tc>
        <w:tc>
          <w:tcPr>
            <w:tcW w:w="0" w:type="auto"/>
            <w:hideMark/>
          </w:tcPr>
          <w:p w14:paraId="5315C97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05DE4BE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“Only a fully conscious patient can refuse life</w:t>
            </w:r>
            <w:r w:rsidRPr="000A4B92">
              <w:rPr>
                <w:rFonts w:asciiTheme="majorBidi" w:eastAsia="Times New Roman" w:hAnsiTheme="majorBidi" w:cstheme="majorBidi"/>
                <w:i/>
                <w:iCs/>
              </w:rPr>
              <w:noBreakHyphen/>
              <w:t>saving blood transfusion. We have no direct evidence of the patient's own wishes. We cannot assume that what the parents say is what he would have wanted.”</w:t>
            </w:r>
          </w:p>
        </w:tc>
      </w:tr>
      <w:tr w:rsidR="000A4B92" w:rsidRPr="000A4B92" w14:paraId="33C299B8" w14:textId="77777777" w:rsidTr="000A4B92">
        <w:tc>
          <w:tcPr>
            <w:tcW w:w="0" w:type="auto"/>
            <w:hideMark/>
          </w:tcPr>
          <w:p w14:paraId="4DBC44F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13</w:t>
            </w:r>
          </w:p>
        </w:tc>
        <w:tc>
          <w:tcPr>
            <w:tcW w:w="0" w:type="auto"/>
            <w:hideMark/>
          </w:tcPr>
          <w:p w14:paraId="4AAF561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43872C7D"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“It is true that my contractual obligations have been fulfilled and I could choose not to see additional patients. However, discriminating between patients leads to treatment injustice, and from a human rights perspective, I would be acting illegally.”</w:t>
            </w:r>
          </w:p>
        </w:tc>
      </w:tr>
      <w:tr w:rsidR="000A4B92" w:rsidRPr="000A4B92" w14:paraId="5F9CB4A5" w14:textId="77777777" w:rsidTr="000A4B92">
        <w:tc>
          <w:tcPr>
            <w:tcW w:w="0" w:type="auto"/>
            <w:hideMark/>
          </w:tcPr>
          <w:p w14:paraId="4B8FE74F"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14</w:t>
            </w:r>
          </w:p>
        </w:tc>
        <w:tc>
          <w:tcPr>
            <w:tcW w:w="0" w:type="auto"/>
            <w:hideMark/>
          </w:tcPr>
          <w:p w14:paraId="6AA995C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06E378C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 obtain written refusal of consent from the patient's son.”</w:t>
            </w:r>
          </w:p>
        </w:tc>
      </w:tr>
      <w:tr w:rsidR="000A4B92" w:rsidRPr="000A4B92" w14:paraId="26378CD5" w14:textId="77777777" w:rsidTr="000A4B92">
        <w:tc>
          <w:tcPr>
            <w:tcW w:w="0" w:type="auto"/>
            <w:hideMark/>
          </w:tcPr>
          <w:p w14:paraId="19CAF5AF"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15</w:t>
            </w:r>
          </w:p>
        </w:tc>
        <w:tc>
          <w:tcPr>
            <w:tcW w:w="0" w:type="auto"/>
            <w:hideMark/>
          </w:tcPr>
          <w:p w14:paraId="1A4008F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25A42BF8"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 should continue the legal protocols for dialysis and ignore the DNR order.”</w:t>
            </w:r>
          </w:p>
        </w:tc>
      </w:tr>
      <w:tr w:rsidR="000A4B92" w:rsidRPr="000A4B92" w14:paraId="50564EF7" w14:textId="77777777" w:rsidTr="000A4B92">
        <w:tc>
          <w:tcPr>
            <w:tcW w:w="0" w:type="auto"/>
            <w:hideMark/>
          </w:tcPr>
          <w:p w14:paraId="3C2282A6"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16</w:t>
            </w:r>
          </w:p>
        </w:tc>
        <w:tc>
          <w:tcPr>
            <w:tcW w:w="0" w:type="auto"/>
            <w:hideMark/>
          </w:tcPr>
          <w:p w14:paraId="12FAE7C9"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Left</w:t>
            </w:r>
          </w:p>
        </w:tc>
        <w:tc>
          <w:tcPr>
            <w:tcW w:w="0" w:type="auto"/>
            <w:hideMark/>
          </w:tcPr>
          <w:p w14:paraId="3E9AB674"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“Do not proceed with organ donation.”</w:t>
            </w:r>
          </w:p>
        </w:tc>
      </w:tr>
      <w:tr w:rsidR="000A4B92" w:rsidRPr="000A4B92" w14:paraId="6B8C165F" w14:textId="77777777" w:rsidTr="000A4B92">
        <w:tc>
          <w:tcPr>
            <w:tcW w:w="0" w:type="auto"/>
            <w:hideMark/>
          </w:tcPr>
          <w:p w14:paraId="1A2036DE"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17</w:t>
            </w:r>
          </w:p>
        </w:tc>
        <w:tc>
          <w:tcPr>
            <w:tcW w:w="0" w:type="auto"/>
            <w:hideMark/>
          </w:tcPr>
          <w:p w14:paraId="60E5B405"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Right</w:t>
            </w:r>
          </w:p>
        </w:tc>
        <w:tc>
          <w:tcPr>
            <w:tcW w:w="0" w:type="auto"/>
            <w:hideMark/>
          </w:tcPr>
          <w:p w14:paraId="673807B2"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i/>
                <w:iCs/>
              </w:rPr>
              <w:t>“I should inform the patient's ex</w:t>
            </w:r>
            <w:r w:rsidRPr="000A4B92">
              <w:rPr>
                <w:rFonts w:asciiTheme="majorBidi" w:eastAsia="Times New Roman" w:hAnsiTheme="majorBidi" w:cstheme="majorBidi"/>
                <w:i/>
                <w:iCs/>
              </w:rPr>
              <w:noBreakHyphen/>
              <w:t>husband about the danger to the children.”</w:t>
            </w:r>
          </w:p>
        </w:tc>
      </w:tr>
    </w:tbl>
    <w:p w14:paraId="78432B20" w14:textId="7BFBE2BA" w:rsidR="000A4B92" w:rsidRPr="000A4B92" w:rsidRDefault="000A4B92" w:rsidP="000A4B92">
      <w:pPr>
        <w:spacing w:after="0" w:line="240" w:lineRule="auto"/>
        <w:rPr>
          <w:rFonts w:asciiTheme="majorBidi" w:eastAsia="Times New Roman" w:hAnsiTheme="majorBidi" w:cstheme="majorBidi"/>
          <w:kern w:val="0"/>
          <w14:ligatures w14:val="none"/>
        </w:rPr>
      </w:pPr>
    </w:p>
    <w:p w14:paraId="43DA6B21" w14:textId="77777777" w:rsidR="000A4B92" w:rsidRPr="000A4B92" w:rsidRDefault="000A4B92" w:rsidP="000A4B92">
      <w:pPr>
        <w:spacing w:before="240" w:after="0" w:line="240" w:lineRule="auto"/>
        <w:outlineLvl w:val="2"/>
        <w:rPr>
          <w:rFonts w:asciiTheme="majorBidi" w:eastAsia="Times New Roman" w:hAnsiTheme="majorBidi" w:cstheme="majorBidi"/>
          <w:b/>
          <w:bCs/>
          <w:kern w:val="0"/>
          <w:sz w:val="27"/>
          <w:szCs w:val="27"/>
          <w14:ligatures w14:val="none"/>
        </w:rPr>
      </w:pPr>
      <w:r w:rsidRPr="000A4B92">
        <w:rPr>
          <w:rFonts w:asciiTheme="majorBidi" w:eastAsia="Times New Roman" w:hAnsiTheme="majorBidi" w:cstheme="majorBidi"/>
          <w:b/>
          <w:bCs/>
          <w:kern w:val="0"/>
          <w:sz w:val="27"/>
          <w:szCs w:val="27"/>
          <w14:ligatures w14:val="none"/>
        </w:rPr>
        <w:t>3. Total score interpretation (proficiency levels)</w:t>
      </w:r>
    </w:p>
    <w:p w14:paraId="2D4C983F" w14:textId="77777777" w:rsidR="000A4B92" w:rsidRPr="000A4B92" w:rsidRDefault="000A4B92" w:rsidP="000A4B92">
      <w:pPr>
        <w:spacing w:after="0"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Using the </w:t>
      </w:r>
      <w:r w:rsidRPr="000A4B92">
        <w:rPr>
          <w:rFonts w:asciiTheme="majorBidi" w:eastAsia="Times New Roman" w:hAnsiTheme="majorBidi" w:cstheme="majorBidi"/>
          <w:b/>
          <w:bCs/>
          <w:kern w:val="0"/>
          <w14:ligatures w14:val="none"/>
        </w:rPr>
        <w:t>equal</w:t>
      </w:r>
      <w:r w:rsidRPr="000A4B92">
        <w:rPr>
          <w:rFonts w:asciiTheme="majorBidi" w:eastAsia="Times New Roman" w:hAnsiTheme="majorBidi" w:cstheme="majorBidi"/>
          <w:b/>
          <w:bCs/>
          <w:kern w:val="0"/>
          <w14:ligatures w14:val="none"/>
        </w:rPr>
        <w:noBreakHyphen/>
        <w:t>interval method</w:t>
      </w:r>
      <w:r w:rsidRPr="000A4B92">
        <w:rPr>
          <w:rFonts w:asciiTheme="majorBidi" w:eastAsia="Times New Roman" w:hAnsiTheme="majorBidi" w:cstheme="majorBidi"/>
          <w:kern w:val="0"/>
          <w14:ligatures w14:val="none"/>
        </w:rPr>
        <w:t xml:space="preserve"> (total range 85 points divided into 5 intervals of 17 points each), the following cut</w:t>
      </w:r>
      <w:r w:rsidRPr="000A4B92">
        <w:rPr>
          <w:rFonts w:asciiTheme="majorBidi" w:eastAsia="Times New Roman" w:hAnsiTheme="majorBidi" w:cstheme="majorBidi"/>
          <w:kern w:val="0"/>
          <w14:ligatures w14:val="none"/>
        </w:rPr>
        <w:noBreakHyphen/>
        <w:t>offs are proposed:</w:t>
      </w:r>
    </w:p>
    <w:tbl>
      <w:tblPr>
        <w:tblStyle w:val="TableGrid49"/>
        <w:tblW w:w="0" w:type="auto"/>
        <w:jc w:val="center"/>
        <w:tblLook w:val="04A0" w:firstRow="1" w:lastRow="0" w:firstColumn="1" w:lastColumn="0" w:noHBand="0" w:noVBand="1"/>
      </w:tblPr>
      <w:tblGrid>
        <w:gridCol w:w="1261"/>
        <w:gridCol w:w="1762"/>
      </w:tblGrid>
      <w:tr w:rsidR="000A4B92" w:rsidRPr="000A4B92" w14:paraId="28F07F88" w14:textId="77777777" w:rsidTr="000A4B92">
        <w:trPr>
          <w:jc w:val="center"/>
        </w:trPr>
        <w:tc>
          <w:tcPr>
            <w:tcW w:w="0" w:type="auto"/>
            <w:hideMark/>
          </w:tcPr>
          <w:p w14:paraId="6E7978C2" w14:textId="77777777" w:rsidR="000A4B92" w:rsidRPr="000A4B92" w:rsidRDefault="000A4B92" w:rsidP="000A4B92">
            <w:pPr>
              <w:jc w:val="center"/>
              <w:rPr>
                <w:rFonts w:asciiTheme="majorBidi" w:eastAsia="Times New Roman" w:hAnsiTheme="majorBidi" w:cstheme="majorBidi"/>
                <w:b/>
                <w:bCs/>
              </w:rPr>
            </w:pPr>
            <w:r w:rsidRPr="000A4B92">
              <w:rPr>
                <w:rFonts w:asciiTheme="majorBidi" w:eastAsia="Times New Roman" w:hAnsiTheme="majorBidi" w:cstheme="majorBidi"/>
                <w:b/>
                <w:bCs/>
              </w:rPr>
              <w:t>Total score</w:t>
            </w:r>
          </w:p>
        </w:tc>
        <w:tc>
          <w:tcPr>
            <w:tcW w:w="0" w:type="auto"/>
            <w:hideMark/>
          </w:tcPr>
          <w:p w14:paraId="451A9C71" w14:textId="77777777" w:rsidR="000A4B92" w:rsidRPr="000A4B92" w:rsidRDefault="000A4B92" w:rsidP="000A4B92">
            <w:pPr>
              <w:jc w:val="center"/>
              <w:rPr>
                <w:rFonts w:asciiTheme="majorBidi" w:eastAsia="Times New Roman" w:hAnsiTheme="majorBidi" w:cstheme="majorBidi"/>
                <w:b/>
                <w:bCs/>
              </w:rPr>
            </w:pPr>
            <w:r w:rsidRPr="000A4B92">
              <w:rPr>
                <w:rFonts w:asciiTheme="majorBidi" w:eastAsia="Times New Roman" w:hAnsiTheme="majorBidi" w:cstheme="majorBidi"/>
                <w:b/>
                <w:bCs/>
              </w:rPr>
              <w:t>Proficiency level</w:t>
            </w:r>
          </w:p>
        </w:tc>
      </w:tr>
      <w:tr w:rsidR="000A4B92" w:rsidRPr="000A4B92" w14:paraId="5A7220D8" w14:textId="77777777" w:rsidTr="000A4B92">
        <w:trPr>
          <w:jc w:val="center"/>
        </w:trPr>
        <w:tc>
          <w:tcPr>
            <w:tcW w:w="0" w:type="auto"/>
            <w:hideMark/>
          </w:tcPr>
          <w:p w14:paraId="2D594E23"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17 – 34</w:t>
            </w:r>
          </w:p>
        </w:tc>
        <w:tc>
          <w:tcPr>
            <w:tcW w:w="0" w:type="auto"/>
            <w:hideMark/>
          </w:tcPr>
          <w:p w14:paraId="5617645D"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Very weak</w:t>
            </w:r>
          </w:p>
        </w:tc>
      </w:tr>
      <w:tr w:rsidR="000A4B92" w:rsidRPr="000A4B92" w14:paraId="3A3E4872" w14:textId="77777777" w:rsidTr="000A4B92">
        <w:trPr>
          <w:jc w:val="center"/>
        </w:trPr>
        <w:tc>
          <w:tcPr>
            <w:tcW w:w="0" w:type="auto"/>
            <w:hideMark/>
          </w:tcPr>
          <w:p w14:paraId="6762EF3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35 – 51</w:t>
            </w:r>
          </w:p>
        </w:tc>
        <w:tc>
          <w:tcPr>
            <w:tcW w:w="0" w:type="auto"/>
            <w:hideMark/>
          </w:tcPr>
          <w:p w14:paraId="5980B8CC"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Weak</w:t>
            </w:r>
          </w:p>
        </w:tc>
      </w:tr>
      <w:tr w:rsidR="000A4B92" w:rsidRPr="000A4B92" w14:paraId="49A63384" w14:textId="77777777" w:rsidTr="000A4B92">
        <w:trPr>
          <w:jc w:val="center"/>
        </w:trPr>
        <w:tc>
          <w:tcPr>
            <w:tcW w:w="0" w:type="auto"/>
            <w:hideMark/>
          </w:tcPr>
          <w:p w14:paraId="026E0B32"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52 – 68</w:t>
            </w:r>
          </w:p>
        </w:tc>
        <w:tc>
          <w:tcPr>
            <w:tcW w:w="0" w:type="auto"/>
            <w:hideMark/>
          </w:tcPr>
          <w:p w14:paraId="52B01F1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Moderate</w:t>
            </w:r>
          </w:p>
        </w:tc>
      </w:tr>
      <w:tr w:rsidR="000A4B92" w:rsidRPr="000A4B92" w14:paraId="7BAA20AC" w14:textId="77777777" w:rsidTr="000A4B92">
        <w:trPr>
          <w:jc w:val="center"/>
        </w:trPr>
        <w:tc>
          <w:tcPr>
            <w:tcW w:w="0" w:type="auto"/>
            <w:hideMark/>
          </w:tcPr>
          <w:p w14:paraId="08131E3B"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69 – 85</w:t>
            </w:r>
          </w:p>
        </w:tc>
        <w:tc>
          <w:tcPr>
            <w:tcW w:w="0" w:type="auto"/>
            <w:hideMark/>
          </w:tcPr>
          <w:p w14:paraId="607B77A7"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Strong</w:t>
            </w:r>
          </w:p>
        </w:tc>
      </w:tr>
      <w:tr w:rsidR="000A4B92" w:rsidRPr="000A4B92" w14:paraId="4DB7D300" w14:textId="77777777" w:rsidTr="000A4B92">
        <w:trPr>
          <w:jc w:val="center"/>
        </w:trPr>
        <w:tc>
          <w:tcPr>
            <w:tcW w:w="0" w:type="auto"/>
            <w:hideMark/>
          </w:tcPr>
          <w:p w14:paraId="48B472FA"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86 – 102</w:t>
            </w:r>
          </w:p>
        </w:tc>
        <w:tc>
          <w:tcPr>
            <w:tcW w:w="0" w:type="auto"/>
            <w:hideMark/>
          </w:tcPr>
          <w:p w14:paraId="4DABAA79" w14:textId="77777777" w:rsidR="000A4B92" w:rsidRPr="000A4B92" w:rsidRDefault="000A4B92" w:rsidP="000A4B92">
            <w:pPr>
              <w:rPr>
                <w:rFonts w:asciiTheme="majorBidi" w:eastAsia="Times New Roman" w:hAnsiTheme="majorBidi" w:cstheme="majorBidi"/>
              </w:rPr>
            </w:pPr>
            <w:r w:rsidRPr="000A4B92">
              <w:rPr>
                <w:rFonts w:asciiTheme="majorBidi" w:eastAsia="Times New Roman" w:hAnsiTheme="majorBidi" w:cstheme="majorBidi"/>
              </w:rPr>
              <w:t>Very strong</w:t>
            </w:r>
          </w:p>
        </w:tc>
      </w:tr>
    </w:tbl>
    <w:p w14:paraId="2026882F" w14:textId="77777777" w:rsidR="000A4B92" w:rsidRPr="000A4B92" w:rsidRDefault="000A4B92" w:rsidP="000A4B92">
      <w:p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lastRenderedPageBreak/>
        <w:t>These cut</w:t>
      </w:r>
      <w:r w:rsidRPr="000A4B92">
        <w:rPr>
          <w:rFonts w:asciiTheme="majorBidi" w:eastAsia="Times New Roman" w:hAnsiTheme="majorBidi" w:cstheme="majorBidi"/>
          <w:kern w:val="0"/>
          <w14:ligatures w14:val="none"/>
        </w:rPr>
        <w:noBreakHyphen/>
        <w:t>offs are provisional. Future studies with larger normative samples may refine them using receiver operating characteristic (ROC) analysis against an external criterion (e.g., expert judgement).</w:t>
      </w:r>
    </w:p>
    <w:p w14:paraId="01433D1C" w14:textId="6BEFACFB" w:rsidR="000A4B92" w:rsidRPr="000A4B92" w:rsidRDefault="000A4B92" w:rsidP="000A4B92">
      <w:pPr>
        <w:spacing w:after="0" w:line="240" w:lineRule="auto"/>
        <w:rPr>
          <w:rFonts w:asciiTheme="majorBidi" w:eastAsia="Times New Roman" w:hAnsiTheme="majorBidi" w:cstheme="majorBidi"/>
          <w:kern w:val="0"/>
          <w14:ligatures w14:val="none"/>
        </w:rPr>
      </w:pPr>
    </w:p>
    <w:p w14:paraId="0B8BF9F9" w14:textId="77777777" w:rsidR="000A4B92" w:rsidRPr="000A4B92" w:rsidRDefault="000A4B92" w:rsidP="000A4B92">
      <w:pPr>
        <w:spacing w:before="100" w:beforeAutospacing="1" w:after="100" w:afterAutospacing="1" w:line="240" w:lineRule="auto"/>
        <w:outlineLvl w:val="2"/>
        <w:rPr>
          <w:rFonts w:asciiTheme="majorBidi" w:eastAsia="Times New Roman" w:hAnsiTheme="majorBidi" w:cstheme="majorBidi"/>
          <w:b/>
          <w:bCs/>
          <w:kern w:val="0"/>
          <w:sz w:val="27"/>
          <w:szCs w:val="27"/>
          <w14:ligatures w14:val="none"/>
        </w:rPr>
      </w:pPr>
      <w:r w:rsidRPr="000A4B92">
        <w:rPr>
          <w:rFonts w:asciiTheme="majorBidi" w:eastAsia="Times New Roman" w:hAnsiTheme="majorBidi" w:cstheme="majorBidi"/>
          <w:b/>
          <w:bCs/>
          <w:kern w:val="0"/>
          <w:sz w:val="27"/>
          <w:szCs w:val="27"/>
          <w14:ligatures w14:val="none"/>
        </w:rPr>
        <w:t>4. Important notes</w:t>
      </w:r>
    </w:p>
    <w:p w14:paraId="14016BAD" w14:textId="77777777" w:rsidR="000A4B92" w:rsidRPr="000A4B92" w:rsidRDefault="000A4B92" w:rsidP="000A4B92">
      <w:pPr>
        <w:numPr>
          <w:ilvl w:val="0"/>
          <w:numId w:val="3"/>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 xml:space="preserve">This scoring guide assumes that the </w:t>
      </w:r>
      <w:r w:rsidRPr="000A4B92">
        <w:rPr>
          <w:rFonts w:asciiTheme="majorBidi" w:eastAsia="Times New Roman" w:hAnsiTheme="majorBidi" w:cstheme="majorBidi"/>
          <w:b/>
          <w:bCs/>
          <w:kern w:val="0"/>
          <w14:ligatures w14:val="none"/>
        </w:rPr>
        <w:t>correct anchor</w:t>
      </w:r>
      <w:r w:rsidRPr="000A4B92">
        <w:rPr>
          <w:rFonts w:asciiTheme="majorBidi" w:eastAsia="Times New Roman" w:hAnsiTheme="majorBidi" w:cstheme="majorBidi"/>
          <w:kern w:val="0"/>
          <w14:ligatures w14:val="none"/>
        </w:rPr>
        <w:t xml:space="preserve"> is the legally and ethically appropriate conclusion based on international medical</w:t>
      </w:r>
      <w:r w:rsidRPr="000A4B92">
        <w:rPr>
          <w:rFonts w:asciiTheme="majorBidi" w:eastAsia="Times New Roman" w:hAnsiTheme="majorBidi" w:cstheme="majorBidi"/>
          <w:kern w:val="0"/>
          <w14:ligatures w14:val="none"/>
        </w:rPr>
        <w:noBreakHyphen/>
        <w:t>legal standards and the Iranian legal context as discussed in the main text.</w:t>
      </w:r>
    </w:p>
    <w:p w14:paraId="158C7CE4" w14:textId="77777777" w:rsidR="000A4B92" w:rsidRPr="000A4B92" w:rsidRDefault="000A4B92" w:rsidP="000A4B92">
      <w:pPr>
        <w:numPr>
          <w:ilvl w:val="0"/>
          <w:numId w:val="3"/>
        </w:numPr>
        <w:spacing w:before="100" w:beforeAutospacing="1" w:after="100" w:afterAutospacing="1" w:line="240" w:lineRule="auto"/>
        <w:rPr>
          <w:rFonts w:asciiTheme="majorBidi" w:eastAsia="Times New Roman" w:hAnsiTheme="majorBidi" w:cstheme="majorBidi"/>
          <w:kern w:val="0"/>
          <w14:ligatures w14:val="none"/>
        </w:rPr>
      </w:pPr>
      <w:r w:rsidRPr="000A4B92">
        <w:rPr>
          <w:rFonts w:asciiTheme="majorBidi" w:eastAsia="Times New Roman" w:hAnsiTheme="majorBidi" w:cstheme="majorBidi"/>
          <w:kern w:val="0"/>
          <w14:ligatures w14:val="none"/>
        </w:rPr>
        <w:t>For research purposes, the total score can be used as a continuous variable. The categorical levels are provided for educational feedback and descriptive comparisons.</w:t>
      </w:r>
    </w:p>
    <w:p w14:paraId="499FF907" w14:textId="1B3F7171" w:rsidR="000A4B92" w:rsidRPr="000A4B92" w:rsidRDefault="000A4B92" w:rsidP="000A4B92">
      <w:pPr>
        <w:spacing w:after="0" w:line="240" w:lineRule="auto"/>
        <w:rPr>
          <w:rFonts w:asciiTheme="majorBidi" w:eastAsia="Times New Roman" w:hAnsiTheme="majorBidi" w:cstheme="majorBidi"/>
          <w:kern w:val="0"/>
          <w14:ligatures w14:val="none"/>
        </w:rPr>
      </w:pPr>
    </w:p>
    <w:p w14:paraId="03042878" w14:textId="77777777" w:rsidR="00243140" w:rsidRDefault="00243140">
      <w:pPr>
        <w:rPr>
          <w:rtl/>
        </w:rPr>
      </w:pPr>
    </w:p>
    <w:p w14:paraId="4BE074DE" w14:textId="77777777" w:rsidR="00243140" w:rsidRDefault="00243140">
      <w:pPr>
        <w:rPr>
          <w:rtl/>
        </w:rPr>
      </w:pPr>
    </w:p>
    <w:p w14:paraId="282AE779" w14:textId="77777777" w:rsidR="00243140" w:rsidRDefault="00243140"/>
    <w:sectPr w:rsidR="00243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8161E"/>
    <w:multiLevelType w:val="multilevel"/>
    <w:tmpl w:val="464A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AB4769"/>
    <w:multiLevelType w:val="multilevel"/>
    <w:tmpl w:val="96B4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70397E"/>
    <w:multiLevelType w:val="hybridMultilevel"/>
    <w:tmpl w:val="942831EC"/>
    <w:lvl w:ilvl="0" w:tplc="7CEE303C">
      <w:start w:val="1"/>
      <w:numFmt w:val="decimal"/>
      <w:lvlText w:val="%1."/>
      <w:lvlJc w:val="left"/>
      <w:pPr>
        <w:ind w:left="360" w:hanging="360"/>
      </w:pPr>
      <w:rPr>
        <w:rFonts w:cs="B Nazanin"/>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395302">
    <w:abstractNumId w:val="2"/>
  </w:num>
  <w:num w:numId="2" w16cid:durableId="50273963">
    <w:abstractNumId w:val="1"/>
  </w:num>
  <w:num w:numId="3" w16cid:durableId="125274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40"/>
    <w:rsid w:val="00090138"/>
    <w:rsid w:val="000A4B92"/>
    <w:rsid w:val="000E1CAF"/>
    <w:rsid w:val="00123EBA"/>
    <w:rsid w:val="00147BFD"/>
    <w:rsid w:val="00243140"/>
    <w:rsid w:val="00496B4B"/>
    <w:rsid w:val="004A65A6"/>
    <w:rsid w:val="004E279A"/>
    <w:rsid w:val="0064152C"/>
    <w:rsid w:val="00734935"/>
    <w:rsid w:val="008735DE"/>
    <w:rsid w:val="00A34B8A"/>
    <w:rsid w:val="00AF2345"/>
    <w:rsid w:val="00B20293"/>
    <w:rsid w:val="00C36DD7"/>
    <w:rsid w:val="00CD2DCE"/>
    <w:rsid w:val="00FA2D35"/>
    <w:rsid w:val="00FA6522"/>
    <w:rsid w:val="00FC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B612"/>
  <w15:chartTrackingRefBased/>
  <w15:docId w15:val="{A7C2E9CA-6B83-4381-BE0B-77247529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140"/>
    <w:rPr>
      <w:rFonts w:eastAsiaTheme="majorEastAsia" w:cstheme="majorBidi"/>
      <w:color w:val="272727" w:themeColor="text1" w:themeTint="D8"/>
    </w:rPr>
  </w:style>
  <w:style w:type="paragraph" w:styleId="Title">
    <w:name w:val="Title"/>
    <w:basedOn w:val="Normal"/>
    <w:next w:val="Normal"/>
    <w:link w:val="TitleChar"/>
    <w:uiPriority w:val="10"/>
    <w:qFormat/>
    <w:rsid w:val="00243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140"/>
    <w:pPr>
      <w:spacing w:before="160"/>
      <w:jc w:val="center"/>
    </w:pPr>
    <w:rPr>
      <w:i/>
      <w:iCs/>
      <w:color w:val="404040" w:themeColor="text1" w:themeTint="BF"/>
    </w:rPr>
  </w:style>
  <w:style w:type="character" w:customStyle="1" w:styleId="QuoteChar">
    <w:name w:val="Quote Char"/>
    <w:basedOn w:val="DefaultParagraphFont"/>
    <w:link w:val="Quote"/>
    <w:uiPriority w:val="29"/>
    <w:rsid w:val="00243140"/>
    <w:rPr>
      <w:i/>
      <w:iCs/>
      <w:color w:val="404040" w:themeColor="text1" w:themeTint="BF"/>
    </w:rPr>
  </w:style>
  <w:style w:type="paragraph" w:styleId="ListParagraph">
    <w:name w:val="List Paragraph"/>
    <w:basedOn w:val="Normal"/>
    <w:uiPriority w:val="34"/>
    <w:qFormat/>
    <w:rsid w:val="00243140"/>
    <w:pPr>
      <w:ind w:left="720"/>
      <w:contextualSpacing/>
    </w:pPr>
  </w:style>
  <w:style w:type="character" w:styleId="IntenseEmphasis">
    <w:name w:val="Intense Emphasis"/>
    <w:basedOn w:val="DefaultParagraphFont"/>
    <w:uiPriority w:val="21"/>
    <w:qFormat/>
    <w:rsid w:val="00243140"/>
    <w:rPr>
      <w:i/>
      <w:iCs/>
      <w:color w:val="0F4761" w:themeColor="accent1" w:themeShade="BF"/>
    </w:rPr>
  </w:style>
  <w:style w:type="paragraph" w:styleId="IntenseQuote">
    <w:name w:val="Intense Quote"/>
    <w:basedOn w:val="Normal"/>
    <w:next w:val="Normal"/>
    <w:link w:val="IntenseQuoteChar"/>
    <w:uiPriority w:val="30"/>
    <w:qFormat/>
    <w:rsid w:val="00243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140"/>
    <w:rPr>
      <w:i/>
      <w:iCs/>
      <w:color w:val="0F4761" w:themeColor="accent1" w:themeShade="BF"/>
    </w:rPr>
  </w:style>
  <w:style w:type="character" w:styleId="IntenseReference">
    <w:name w:val="Intense Reference"/>
    <w:basedOn w:val="DefaultParagraphFont"/>
    <w:uiPriority w:val="32"/>
    <w:qFormat/>
    <w:rsid w:val="00243140"/>
    <w:rPr>
      <w:b/>
      <w:bCs/>
      <w:smallCaps/>
      <w:color w:val="0F4761" w:themeColor="accent1" w:themeShade="BF"/>
      <w:spacing w:val="5"/>
    </w:rPr>
  </w:style>
  <w:style w:type="table" w:customStyle="1" w:styleId="TableGrid49">
    <w:name w:val="Table Grid49"/>
    <w:basedOn w:val="TableNormal"/>
    <w:next w:val="TableGrid"/>
    <w:uiPriority w:val="39"/>
    <w:rsid w:val="00243140"/>
    <w:pPr>
      <w:spacing w:after="0" w:line="240" w:lineRule="auto"/>
    </w:pPr>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8069">
      <w:bodyDiv w:val="1"/>
      <w:marLeft w:val="0"/>
      <w:marRight w:val="0"/>
      <w:marTop w:val="0"/>
      <w:marBottom w:val="0"/>
      <w:divBdr>
        <w:top w:val="none" w:sz="0" w:space="0" w:color="auto"/>
        <w:left w:val="none" w:sz="0" w:space="0" w:color="auto"/>
        <w:bottom w:val="none" w:sz="0" w:space="0" w:color="auto"/>
        <w:right w:val="none" w:sz="0" w:space="0" w:color="auto"/>
      </w:divBdr>
    </w:div>
    <w:div w:id="1184243905">
      <w:bodyDiv w:val="1"/>
      <w:marLeft w:val="0"/>
      <w:marRight w:val="0"/>
      <w:marTop w:val="0"/>
      <w:marBottom w:val="0"/>
      <w:divBdr>
        <w:top w:val="none" w:sz="0" w:space="0" w:color="auto"/>
        <w:left w:val="none" w:sz="0" w:space="0" w:color="auto"/>
        <w:bottom w:val="none" w:sz="0" w:space="0" w:color="auto"/>
        <w:right w:val="none" w:sz="0" w:space="0" w:color="auto"/>
      </w:divBdr>
      <w:divsChild>
        <w:div w:id="1033842220">
          <w:marLeft w:val="0"/>
          <w:marRight w:val="0"/>
          <w:marTop w:val="0"/>
          <w:marBottom w:val="0"/>
          <w:divBdr>
            <w:top w:val="none" w:sz="0" w:space="0" w:color="auto"/>
            <w:left w:val="none" w:sz="0" w:space="0" w:color="auto"/>
            <w:bottom w:val="none" w:sz="0" w:space="0" w:color="auto"/>
            <w:right w:val="none" w:sz="0" w:space="0" w:color="auto"/>
          </w:divBdr>
        </w:div>
        <w:div w:id="852114277">
          <w:marLeft w:val="0"/>
          <w:marRight w:val="0"/>
          <w:marTop w:val="0"/>
          <w:marBottom w:val="0"/>
          <w:divBdr>
            <w:top w:val="none" w:sz="0" w:space="0" w:color="auto"/>
            <w:left w:val="none" w:sz="0" w:space="0" w:color="auto"/>
            <w:bottom w:val="none" w:sz="0" w:space="0" w:color="auto"/>
            <w:right w:val="none" w:sz="0" w:space="0" w:color="auto"/>
          </w:divBdr>
        </w:div>
      </w:divsChild>
    </w:div>
    <w:div w:id="185934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2026-05-03T15:08:00Z</dcterms:created>
  <dcterms:modified xsi:type="dcterms:W3CDTF">2026-05-04T18:22:00Z</dcterms:modified>
</cp:coreProperties>
</file>