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B49B1">
      <w:pPr>
        <w:keepNext/>
        <w:keepLines/>
        <w:spacing w:before="240" w:after="240" w:line="276" w:lineRule="auto"/>
        <w:jc w:val="both"/>
        <w:outlineLvl w:val="0"/>
        <w:rPr>
          <w:rFonts w:ascii="Times New Roman" w:hAnsi="Times New Roman" w:cs="Times New Roman" w:eastAsiaTheme="majorEastAsia"/>
          <w:b/>
          <w:bCs/>
          <w:i/>
          <w:iCs/>
          <w:color w:val="000000" w:themeColor="text1"/>
          <w14:textFill>
            <w14:solidFill>
              <w14:schemeClr w14:val="tx1"/>
            </w14:solidFill>
          </w14:textFill>
        </w:rPr>
      </w:pPr>
      <w:r>
        <w:rPr>
          <w:rFonts w:ascii="Times New Roman" w:hAnsi="Times New Roman" w:cs="Times New Roman" w:eastAsiaTheme="majorEastAsia"/>
          <w:b/>
          <w:bCs/>
          <w:color w:val="000000" w:themeColor="text1"/>
          <w14:textFill>
            <w14:solidFill>
              <w14:schemeClr w14:val="tx1"/>
            </w14:solidFill>
          </w14:textFill>
        </w:rPr>
        <w:t>Volatile-mediated microbiome recruitment by</w:t>
      </w:r>
      <w:r>
        <w:rPr>
          <w:rFonts w:ascii="Times New Roman" w:hAnsi="Times New Roman" w:cs="Times New Roman" w:eastAsiaTheme="majorEastAsia"/>
          <w:b/>
          <w:bCs/>
          <w:i/>
          <w:iCs/>
          <w:color w:val="000000" w:themeColor="text1"/>
          <w14:textFill>
            <w14:solidFill>
              <w14:schemeClr w14:val="tx1"/>
            </w14:solidFill>
          </w14:textFill>
        </w:rPr>
        <w:t xml:space="preserve"> Streptomyces albidoflavus </w:t>
      </w:r>
      <w:r>
        <w:rPr>
          <w:rFonts w:ascii="Times New Roman" w:hAnsi="Times New Roman" w:cs="Times New Roman" w:eastAsiaTheme="majorEastAsia"/>
          <w:b/>
          <w:bCs/>
          <w:color w:val="000000" w:themeColor="text1"/>
          <w14:textFill>
            <w14:solidFill>
              <w14:schemeClr w14:val="tx1"/>
            </w14:solidFill>
          </w14:textFill>
        </w:rPr>
        <w:t>G1 enhances suppression of apple ring rot pathogen</w:t>
      </w:r>
      <w:r>
        <w:rPr>
          <w:rFonts w:ascii="Times New Roman" w:hAnsi="Times New Roman" w:cs="Times New Roman" w:eastAsiaTheme="majorEastAsia"/>
          <w:b/>
          <w:bCs/>
          <w:i/>
          <w:iCs/>
          <w:color w:val="000000" w:themeColor="text1"/>
          <w14:textFill>
            <w14:solidFill>
              <w14:schemeClr w14:val="tx1"/>
            </w14:solidFill>
          </w14:textFill>
        </w:rPr>
        <w:t xml:space="preserve"> Botryosphaeria dothidea</w:t>
      </w:r>
    </w:p>
    <w:p w14:paraId="17824DF8">
      <w:pPr>
        <w:spacing w:before="120" w:line="360" w:lineRule="auto"/>
        <w:jc w:val="both"/>
        <w:rPr>
          <w:rFonts w:hint="eastAsia" w:ascii="Times New Roman" w:hAnsi="Times New Roman" w:cs="Times New Roman"/>
        </w:rPr>
      </w:pPr>
      <w:r>
        <w:rPr>
          <w:rFonts w:hint="eastAsia" w:ascii="Times New Roman" w:hAnsi="Times New Roman" w:cs="Times New Roman"/>
        </w:rPr>
        <w:t>Shengzhi Guo</w:t>
      </w:r>
      <w:r>
        <w:rPr>
          <w:rFonts w:hint="eastAsia" w:ascii="Times New Roman" w:hAnsi="Times New Roman" w:cs="Times New Roman"/>
          <w:vertAlign w:val="superscript"/>
        </w:rPr>
        <w:t>1†</w:t>
      </w:r>
      <w:r>
        <w:rPr>
          <w:rFonts w:hint="eastAsia" w:ascii="Times New Roman" w:hAnsi="Times New Roman" w:cs="Times New Roman"/>
        </w:rPr>
        <w:t>, Arneeb Tariq</w:t>
      </w:r>
      <w:r>
        <w:rPr>
          <w:rFonts w:hint="eastAsia" w:ascii="Times New Roman" w:hAnsi="Times New Roman" w:cs="Times New Roman"/>
          <w:vertAlign w:val="superscript"/>
        </w:rPr>
        <w:t>1</w:t>
      </w:r>
      <w:r>
        <w:rPr>
          <w:rFonts w:hint="eastAsia" w:ascii="Times New Roman" w:hAnsi="Times New Roman" w:cs="Times New Roman"/>
        </w:rPr>
        <w:t>†, Yarong Luo</w:t>
      </w:r>
      <w:r>
        <w:rPr>
          <w:rFonts w:hint="eastAsia" w:ascii="Times New Roman" w:hAnsi="Times New Roman" w:cs="Times New Roman"/>
          <w:vertAlign w:val="superscript"/>
        </w:rPr>
        <w:t>1</w:t>
      </w:r>
      <w:r>
        <w:rPr>
          <w:rFonts w:hint="eastAsia" w:ascii="Times New Roman" w:hAnsi="Times New Roman" w:cs="Times New Roman"/>
        </w:rPr>
        <w:t>, Xianyu Li</w:t>
      </w:r>
      <w:r>
        <w:rPr>
          <w:rFonts w:hint="eastAsia" w:ascii="Times New Roman" w:hAnsi="Times New Roman" w:cs="Times New Roman"/>
          <w:vertAlign w:val="superscript"/>
        </w:rPr>
        <w:t>1</w:t>
      </w:r>
      <w:r>
        <w:rPr>
          <w:rFonts w:hint="eastAsia" w:ascii="Times New Roman" w:hAnsi="Times New Roman" w:cs="Times New Roman"/>
        </w:rPr>
        <w:t>, Zixu Wang</w:t>
      </w:r>
      <w:r>
        <w:rPr>
          <w:rFonts w:hint="eastAsia" w:ascii="Times New Roman" w:hAnsi="Times New Roman" w:cs="Times New Roman"/>
          <w:vertAlign w:val="superscript"/>
        </w:rPr>
        <w:t>1</w:t>
      </w:r>
      <w:r>
        <w:rPr>
          <w:rFonts w:hint="eastAsia" w:ascii="Times New Roman" w:hAnsi="Times New Roman" w:cs="Times New Roman"/>
        </w:rPr>
        <w:t>, Zhinan Du</w:t>
      </w:r>
      <w:r>
        <w:rPr>
          <w:rFonts w:hint="eastAsia" w:ascii="Times New Roman" w:hAnsi="Times New Roman" w:cs="Times New Roman"/>
          <w:vertAlign w:val="superscript"/>
        </w:rPr>
        <w:t>1</w:t>
      </w:r>
      <w:r>
        <w:rPr>
          <w:rFonts w:hint="eastAsia" w:ascii="Times New Roman" w:hAnsi="Times New Roman" w:cs="Times New Roman"/>
        </w:rPr>
        <w:t>, Qi Cheng</w:t>
      </w:r>
      <w:r>
        <w:rPr>
          <w:rFonts w:hint="eastAsia" w:ascii="Times New Roman" w:hAnsi="Times New Roman" w:cs="Times New Roman"/>
          <w:vertAlign w:val="superscript"/>
        </w:rPr>
        <w:t>1</w:t>
      </w:r>
      <w:r>
        <w:rPr>
          <w:rFonts w:hint="eastAsia" w:ascii="Times New Roman" w:hAnsi="Times New Roman" w:cs="Times New Roman"/>
        </w:rPr>
        <w:t>, Jiangbo Qi</w:t>
      </w:r>
      <w:r>
        <w:rPr>
          <w:rFonts w:hint="eastAsia" w:ascii="Times New Roman" w:hAnsi="Times New Roman" w:cs="Times New Roman"/>
          <w:vertAlign w:val="superscript"/>
        </w:rPr>
        <w:t>1</w:t>
      </w:r>
      <w:r>
        <w:rPr>
          <w:rFonts w:hint="eastAsia" w:ascii="Times New Roman" w:hAnsi="Times New Roman" w:cs="Times New Roman"/>
        </w:rPr>
        <w:t>, Junfeng Pan</w:t>
      </w:r>
      <w:r>
        <w:rPr>
          <w:rFonts w:hint="eastAsia" w:ascii="Times New Roman" w:hAnsi="Times New Roman" w:cs="Times New Roman"/>
          <w:vertAlign w:val="superscript"/>
        </w:rPr>
        <w:t>1</w:t>
      </w:r>
      <w:r>
        <w:rPr>
          <w:rFonts w:hint="eastAsia" w:ascii="Times New Roman" w:hAnsi="Times New Roman" w:cs="Times New Roman"/>
        </w:rPr>
        <w:t>, Lingfang Zhu</w:t>
      </w:r>
      <w:r>
        <w:rPr>
          <w:rFonts w:hint="eastAsia" w:ascii="Times New Roman" w:hAnsi="Times New Roman" w:cs="Times New Roman"/>
          <w:vertAlign w:val="superscript"/>
        </w:rPr>
        <w:t>1*</w:t>
      </w:r>
      <w:r>
        <w:rPr>
          <w:rFonts w:hint="eastAsia" w:ascii="Times New Roman" w:hAnsi="Times New Roman" w:cs="Times New Roman"/>
        </w:rPr>
        <w:t>, Xihui Shen</w:t>
      </w:r>
      <w:r>
        <w:rPr>
          <w:rFonts w:hint="eastAsia" w:ascii="Times New Roman" w:hAnsi="Times New Roman" w:cs="Times New Roman"/>
          <w:vertAlign w:val="superscript"/>
        </w:rPr>
        <w:t>1*</w:t>
      </w:r>
      <w:r>
        <w:rPr>
          <w:rFonts w:hint="eastAsia" w:ascii="Times New Roman" w:hAnsi="Times New Roman" w:cs="Times New Roman"/>
        </w:rPr>
        <w:t xml:space="preserve"> </w:t>
      </w:r>
    </w:p>
    <w:p w14:paraId="396D7955">
      <w:pPr>
        <w:spacing w:before="120" w:line="360" w:lineRule="auto"/>
        <w:jc w:val="both"/>
        <w:rPr>
          <w:rFonts w:hint="eastAsia" w:ascii="Times New Roman" w:hAnsi="Times New Roman" w:cs="Times New Roman"/>
        </w:rPr>
      </w:pPr>
      <w:r>
        <w:rPr>
          <w:rFonts w:hint="eastAsia" w:ascii="Times New Roman" w:hAnsi="Times New Roman" w:cs="Times New Roman"/>
        </w:rPr>
        <w:t>1 State Key Laboratory for Crop Stress Resistance and High-Efficiency Production, Shaanxi Key Laboratory of Agricultural and Environmental Microbiology, College of Life Sciences, Northwest A&amp;F University, Yangling, Shaanxi 712100, China</w:t>
      </w:r>
    </w:p>
    <w:p w14:paraId="4BE863C0">
      <w:pPr>
        <w:spacing w:before="120" w:line="360" w:lineRule="auto"/>
        <w:jc w:val="both"/>
        <w:rPr>
          <w:rFonts w:hint="eastAsia" w:ascii="Times New Roman" w:hAnsi="Times New Roman" w:cs="Times New Roman"/>
        </w:rPr>
      </w:pPr>
      <w:r>
        <w:rPr>
          <w:rFonts w:hint="eastAsia" w:ascii="Times New Roman" w:hAnsi="Times New Roman" w:cs="Times New Roman"/>
        </w:rPr>
        <w:t>* Corresponding author:</w:t>
      </w:r>
    </w:p>
    <w:p w14:paraId="658F8F6E">
      <w:pPr>
        <w:spacing w:before="120" w:line="360" w:lineRule="auto"/>
        <w:jc w:val="both"/>
        <w:rPr>
          <w:rFonts w:hint="eastAsia" w:ascii="Times New Roman" w:hAnsi="Times New Roman" w:cs="Times New Roman"/>
        </w:rPr>
      </w:pPr>
      <w:r>
        <w:rPr>
          <w:rFonts w:hint="eastAsia" w:ascii="Times New Roman" w:hAnsi="Times New Roman" w:cs="Times New Roman"/>
        </w:rPr>
        <w:t>Lingfang Zhu (E-mail: lingfangzhu@nwafu.edu.cn)</w:t>
      </w:r>
    </w:p>
    <w:p w14:paraId="36E11018">
      <w:pPr>
        <w:spacing w:before="120" w:line="360" w:lineRule="auto"/>
        <w:jc w:val="both"/>
        <w:rPr>
          <w:rFonts w:hint="eastAsia" w:ascii="Times New Roman" w:hAnsi="Times New Roman" w:cs="Times New Roman"/>
        </w:rPr>
      </w:pPr>
      <w:r>
        <w:rPr>
          <w:rFonts w:hint="eastAsia" w:ascii="Times New Roman" w:hAnsi="Times New Roman" w:cs="Times New Roman"/>
        </w:rPr>
        <w:t>Xihui Shen (E-mail: xihuishen@nwafu.edu.cn)</w:t>
      </w:r>
      <w:bookmarkStart w:id="0" w:name="_GoBack"/>
      <w:bookmarkEnd w:id="0"/>
    </w:p>
    <w:p w14:paraId="6AD5BF59">
      <w:pPr>
        <w:spacing w:before="120" w:line="360" w:lineRule="auto"/>
        <w:jc w:val="both"/>
        <w:rPr>
          <w:rFonts w:hint="eastAsia" w:ascii="Times New Roman" w:hAnsi="Times New Roman" w:cs="Times New Roman"/>
        </w:rPr>
      </w:pPr>
    </w:p>
    <w:p w14:paraId="7CE45292">
      <w:pPr>
        <w:spacing w:before="120" w:line="360" w:lineRule="auto"/>
        <w:jc w:val="both"/>
        <w:rPr>
          <w:rFonts w:ascii="Times New Roman" w:hAnsi="Times New Roman" w:cs="Times New Roman"/>
        </w:rPr>
      </w:pPr>
      <w:r>
        <w:rPr>
          <w:rFonts w:hint="eastAsia" w:ascii="Times New Roman" w:hAnsi="Times New Roman" w:cs="Times New Roman"/>
        </w:rPr>
        <w:t>†Shengzhi Guo and Arneeb Tariq contributed equally to this work.</w:t>
      </w:r>
    </w:p>
    <w:p w14:paraId="0A6997FE">
      <w:pPr>
        <w:spacing w:before="120" w:line="360" w:lineRule="auto"/>
        <w:jc w:val="both"/>
        <w:rPr>
          <w:rFonts w:ascii="Times New Roman" w:hAnsi="Times New Roman" w:cs="Times New Roman"/>
        </w:rPr>
      </w:pPr>
    </w:p>
    <w:p w14:paraId="278EA772">
      <w:pPr>
        <w:rPr>
          <w:rFonts w:ascii="Times New Roman" w:hAnsi="Times New Roman" w:cs="Times New Roman"/>
          <w:b/>
          <w:bCs/>
        </w:rPr>
      </w:pPr>
      <w:r>
        <w:rPr>
          <w:rFonts w:ascii="Times New Roman" w:hAnsi="Times New Roman" w:cs="Times New Roman"/>
          <w:b/>
          <w:bCs/>
        </w:rPr>
        <w:br w:type="page"/>
      </w:r>
    </w:p>
    <w:p w14:paraId="1B36BD16">
      <w:pPr>
        <w:spacing w:line="276" w:lineRule="auto"/>
        <w:jc w:val="both"/>
        <w:rPr>
          <w:rFonts w:ascii="Times New Roman" w:hAnsi="Times New Roman" w:cs="Times New Roman"/>
          <w:b/>
          <w:bCs/>
        </w:rPr>
      </w:pPr>
      <w:r>
        <w:rPr>
          <w:rFonts w:ascii="Times New Roman" w:hAnsi="Times New Roman" w:cs="Times New Roman"/>
          <w:b/>
          <w:bCs/>
        </w:rPr>
        <w:t>S1:</w:t>
      </w:r>
      <w:r>
        <w:rPr>
          <w:rFonts w:ascii="Times New Roman" w:hAnsi="Times New Roman" w:cs="Times New Roman"/>
          <w:b/>
          <w:bCs/>
        </w:rPr>
        <w:tab/>
      </w:r>
      <w:r>
        <w:rPr>
          <w:rFonts w:ascii="Times New Roman" w:hAnsi="Times New Roman" w:cs="Times New Roman"/>
          <w:b/>
          <w:bCs/>
        </w:rPr>
        <w:t>Whole genome sequencing</w:t>
      </w:r>
    </w:p>
    <w:p w14:paraId="1E00A313">
      <w:pPr>
        <w:spacing w:before="240" w:after="240"/>
        <w:jc w:val="both"/>
        <w:rPr>
          <w:rFonts w:ascii="Times New Roman" w:hAnsi="Times New Roman" w:cs="Times New Roman"/>
        </w:rPr>
      </w:pPr>
      <w:r>
        <w:rPr>
          <w:rFonts w:ascii="Times New Roman" w:hAnsi="Times New Roman" w:cs="Times New Roman"/>
        </w:rPr>
        <w:t>A pure culture of G1 was grown overnight in ISP2 media for 96 h at 30</w:t>
      </w:r>
      <w:r>
        <w:rPr>
          <w:rFonts w:ascii="Times New Roman" w:hAnsi="Times New Roman" w:cs="Times New Roman"/>
          <w:vertAlign w:val="superscript"/>
        </w:rPr>
        <w:t>◦</w:t>
      </w:r>
      <w:r>
        <w:rPr>
          <w:rFonts w:ascii="Times New Roman" w:hAnsi="Times New Roman" w:cs="Times New Roman"/>
        </w:rPr>
        <w:t xml:space="preserve">C in a shaker at 180 rpm. Following incubation, the tube was centrifuged for 10 min at 4500 rpm. The resulting supernatant was discarded, and the bacterial cells were sent to Magigene Biotechnology for DNA extraction, sequencing library preparation, and whole-genome shotgun sequencing (WGS) using their protocol. Genomic DNA was extracted with a commercial TIANamp Bacteria DNA Kit (Tiangen Biotech Co., Beijing, China). Whole-genome sequencing was conducted by Magigene (Guangdong), employing Illumina and Nanopore technologies. Subsequent data, encompassing reads from both second- and third-generation sequences, were processed for assembly using Unicycler v.0.4.8. Coding gene prediction was executed through Glimmer 3. Non-coding tRNA and rRNA were identified through the application of tRNAscan SE 2.0 and rRNAmmer-1.2, respectively. For sRNA prediction, initial alignment to the Rfam database was followed by further refinement via the cmsearch program. The presence of prophages was assessed via the PHAST software. Genome sequence annotation was performed through RAST (http://rast.nmpdr.org/). The prediction of antibiotic resistance and carbohydrate-active enzymes drew upon public resources such as the Comprehensive Antibiotic Resistance Database (CARD) and the Carbohydrate-Active Enzymes Database (CAZy). The identification of secondary metabolite biosynthetic gene clusters was accomplished through antiSMASH 7.0. The construction of a phylogenomic tree based on complete genomes was reconstructed using the CVTree v.4 method. ANI was employed to determine the average nucleotide identity among selected species within the </w:t>
      </w:r>
      <w:r>
        <w:rPr>
          <w:rFonts w:ascii="Times New Roman" w:hAnsi="Times New Roman" w:cs="Times New Roman"/>
          <w:i/>
          <w:iCs/>
        </w:rPr>
        <w:t>Paenibacillus</w:t>
      </w:r>
      <w:r>
        <w:rPr>
          <w:rFonts w:ascii="Times New Roman" w:hAnsi="Times New Roman" w:cs="Times New Roman"/>
        </w:rPr>
        <w:t xml:space="preserve"> genus by EZ BioCloud ANI calculator.  All the databases were accessed in March 2025. The final genome assembly was deposited in NCBI under accession number JBWCIU000000000.</w:t>
      </w:r>
    </w:p>
    <w:p w14:paraId="64C6C491">
      <w:pPr>
        <w:rPr>
          <w:rFonts w:ascii="Times New Roman" w:hAnsi="Times New Roman" w:cs="Times New Roman"/>
          <w:b/>
          <w:bCs/>
        </w:rPr>
      </w:pPr>
      <w:r>
        <w:rPr>
          <w:rFonts w:ascii="Times New Roman" w:hAnsi="Times New Roman" w:cs="Times New Roman"/>
          <w:b/>
          <w:bCs/>
        </w:rPr>
        <w:t>S2:</w:t>
      </w:r>
      <w:r>
        <w:rPr>
          <w:rFonts w:ascii="Times New Roman" w:hAnsi="Times New Roman" w:cs="Times New Roman"/>
          <w:b/>
          <w:bCs/>
        </w:rPr>
        <w:tab/>
      </w:r>
      <w:r>
        <w:rPr>
          <w:rFonts w:ascii="Times New Roman" w:hAnsi="Times New Roman" w:cs="Times New Roman"/>
          <w:b/>
          <w:bCs/>
        </w:rPr>
        <w:t>Assessment of apple quality parameters</w:t>
      </w:r>
    </w:p>
    <w:p w14:paraId="3EF97FC0">
      <w:pPr>
        <w:spacing w:line="276" w:lineRule="auto"/>
        <w:jc w:val="both"/>
        <w:rPr>
          <w:rFonts w:ascii="Times New Roman" w:hAnsi="Times New Roman" w:cs="Times New Roman"/>
        </w:rPr>
      </w:pPr>
      <w:r>
        <w:rPr>
          <w:rFonts w:ascii="Times New Roman" w:hAnsi="Times New Roman" w:cs="Times New Roman"/>
        </w:rPr>
        <w:t>Change in fresh weight was determined by measuring fruit weight before and after incubation. The color difference in apples of different treatment groups was measured using a PCE-CSM 1 colorimeter (PCE Instruments, UK). Fruit hardness, chewiness, springiness, and fracturability were measured using a TA.XTPlusC texture analyzer (Stable Micro Systems, UK). Titratable acidity (TA) of apple juice was determined by titration with a standardized NaOH solution and expressed as the percentage of malic acid calculated using the formula:</w:t>
      </w:r>
      <w:r>
        <w:rPr>
          <w:rFonts w:ascii="Times New Roman" w:hAnsi="Times New Roman" w:cs="Times New Roman"/>
        </w:rPr>
        <w:br w:type="textWrapping"/>
      </w:r>
      <w:r>
        <w:rPr>
          <w:rFonts w:ascii="Times New Roman" w:hAnsi="Times New Roman" w:cs="Times New Roman"/>
        </w:rPr>
        <w:t>TA (g/100 mL) = V × C × 0.67,</w:t>
      </w:r>
      <w:r>
        <w:rPr>
          <w:rFonts w:ascii="Times New Roman" w:hAnsi="Times New Roman" w:cs="Times New Roman"/>
        </w:rPr>
        <w:br w:type="textWrapping"/>
      </w:r>
      <w:r>
        <w:rPr>
          <w:rFonts w:ascii="Times New Roman" w:hAnsi="Times New Roman" w:cs="Times New Roman"/>
        </w:rPr>
        <w:t>where V is the volume difference between the initial and endpoint. Total soluble solids (TSS) were quantified in Brix using a digital refractometer (BM04-Nohawk, Shenzhen, China) after extracting juice from apple tissues. Aroma-related changes associated with ripening and treatment effects were evaluated using an electronic nose system (PEN3, Airsense, Germany). The e-nose was used to generate volatile fingerprint profiles, and multivariate analyses were applied to distinguish differences among treatments.</w:t>
      </w:r>
    </w:p>
    <w:p w14:paraId="7FC7CC02">
      <w:pPr>
        <w:spacing w:line="276" w:lineRule="auto"/>
        <w:jc w:val="both"/>
        <w:rPr>
          <w:rFonts w:ascii="Times New Roman" w:hAnsi="Times New Roman" w:cs="Times New Roman"/>
        </w:rPr>
      </w:pPr>
    </w:p>
    <w:p w14:paraId="3E74F461">
      <w:pPr>
        <w:rPr>
          <w:rFonts w:ascii="Times New Roman" w:hAnsi="Times New Roman" w:cs="Times New Roman"/>
        </w:rPr>
      </w:pPr>
      <w:r>
        <w:rPr>
          <w:rFonts w:ascii="Times New Roman" w:hAnsi="Times New Roman" w:cs="Times New Roman"/>
        </w:rPr>
        <w:br w:type="page"/>
      </w:r>
    </w:p>
    <w:p w14:paraId="5DC879DB">
      <w:pPr>
        <w:rPr>
          <w:rFonts w:ascii="Times New Roman" w:hAnsi="Times New Roman" w:cs="Times New Roman"/>
        </w:rPr>
      </w:pPr>
    </w:p>
    <w:p w14:paraId="24F70BEE">
      <w:pPr>
        <w:jc w:val="center"/>
        <w:rPr>
          <w:rFonts w:ascii="Times New Roman" w:hAnsi="Times New Roman" w:cs="Times New Roman"/>
        </w:rPr>
      </w:pPr>
      <w:r>
        <w:rPr>
          <w:rFonts w:ascii="Times New Roman" w:hAnsi="Times New Roman" w:cs="Times New Roman"/>
        </w:rPr>
        <w:drawing>
          <wp:inline distT="0" distB="0" distL="0" distR="0">
            <wp:extent cx="3167380" cy="2348865"/>
            <wp:effectExtent l="0" t="0" r="0" b="0"/>
            <wp:docPr id="175075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55308"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67380" cy="2348865"/>
                    </a:xfrm>
                    <a:prstGeom prst="rect">
                      <a:avLst/>
                    </a:prstGeom>
                    <a:noFill/>
                    <a:ln>
                      <a:noFill/>
                    </a:ln>
                  </pic:spPr>
                </pic:pic>
              </a:graphicData>
            </a:graphic>
          </wp:inline>
        </w:drawing>
      </w:r>
    </w:p>
    <w:p w14:paraId="02D35F4F">
      <w:pPr>
        <w:jc w:val="both"/>
        <w:rPr>
          <w:rFonts w:ascii="Times New Roman" w:hAnsi="Times New Roman" w:cs="Times New Roman"/>
        </w:rPr>
      </w:pPr>
      <w:r>
        <w:rPr>
          <w:rFonts w:ascii="Times New Roman" w:hAnsi="Times New Roman" w:cs="Times New Roman"/>
          <w:b/>
          <w:bCs/>
        </w:rPr>
        <w:t xml:space="preserve">Fig. S1: Standard curve for the absolute quantification of </w:t>
      </w:r>
      <w:r>
        <w:rPr>
          <w:rFonts w:ascii="Times New Roman" w:hAnsi="Times New Roman" w:cs="Times New Roman"/>
          <w:b/>
          <w:bCs/>
          <w:i/>
          <w:iCs/>
        </w:rPr>
        <w:t>Botryosphaeria dothidea</w:t>
      </w:r>
      <w:r>
        <w:rPr>
          <w:rFonts w:ascii="Times New Roman" w:hAnsi="Times New Roman" w:cs="Times New Roman"/>
          <w:b/>
          <w:bCs/>
        </w:rPr>
        <w:t xml:space="preserve"> via qPCR.</w:t>
      </w:r>
      <w:r>
        <w:rPr>
          <w:rFonts w:ascii="Times New Roman" w:hAnsi="Times New Roman" w:cs="Times New Roman"/>
        </w:rPr>
        <w:t xml:space="preserve"> The linear relationship between the cycle threshold (C</w:t>
      </w:r>
      <w:r>
        <w:rPr>
          <w:rFonts w:ascii="Times New Roman" w:hAnsi="Times New Roman" w:cs="Times New Roman"/>
          <w:vertAlign w:val="subscript"/>
        </w:rPr>
        <w:t>t</w:t>
      </w:r>
      <w:r>
        <w:rPr>
          <w:rFonts w:ascii="Times New Roman" w:hAnsi="Times New Roman" w:cs="Times New Roman"/>
        </w:rPr>
        <w:t>) values and the log10 of the plasmid copy number is shown. The regression equation is Y = -2.768X + 25.56, with a coefficient of determination (R</w:t>
      </w:r>
      <w:r>
        <w:rPr>
          <w:rFonts w:ascii="Times New Roman" w:hAnsi="Times New Roman" w:cs="Times New Roman"/>
          <w:vertAlign w:val="superscript"/>
        </w:rPr>
        <w:t>2</w:t>
      </w:r>
      <w:r>
        <w:rPr>
          <w:rFonts w:ascii="Times New Roman" w:hAnsi="Times New Roman" w:cs="Times New Roman"/>
        </w:rPr>
        <w:t xml:space="preserve">) of 0.9999, indicating high amplification efficiency and technical reliability for quantifying pathogen load in apple samples. </w:t>
      </w:r>
    </w:p>
    <w:p w14:paraId="4534C68D">
      <w:pPr>
        <w:rPr>
          <w:rFonts w:ascii="Times New Roman" w:hAnsi="Times New Roman" w:cs="Times New Roman"/>
        </w:rPr>
      </w:pPr>
    </w:p>
    <w:p w14:paraId="538FA502">
      <w:pPr>
        <w:rPr>
          <w:rFonts w:ascii="Times New Roman" w:hAnsi="Times New Roman" w:cs="Times New Roman"/>
        </w:rPr>
      </w:pPr>
      <w:r>
        <w:rPr>
          <w:rFonts w:ascii="Times New Roman" w:hAnsi="Times New Roman" w:cs="Times New Roman"/>
        </w:rPr>
        <w:br w:type="page"/>
      </w:r>
      <w:r>
        <w:rPr>
          <w:rFonts w:ascii="Times New Roman" w:hAnsi="Times New Roman" w:cs="Times New Roman"/>
        </w:rPr>
        <w:drawing>
          <wp:inline distT="0" distB="0" distL="0" distR="0">
            <wp:extent cx="5731510" cy="4428490"/>
            <wp:effectExtent l="0" t="0" r="2540" b="0"/>
            <wp:docPr id="1376969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69026"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31510" cy="4428490"/>
                    </a:xfrm>
                    <a:prstGeom prst="rect">
                      <a:avLst/>
                    </a:prstGeom>
                    <a:noFill/>
                    <a:ln>
                      <a:noFill/>
                    </a:ln>
                  </pic:spPr>
                </pic:pic>
              </a:graphicData>
            </a:graphic>
          </wp:inline>
        </w:drawing>
      </w:r>
    </w:p>
    <w:p w14:paraId="2B575B43">
      <w:pPr>
        <w:jc w:val="both"/>
        <w:rPr>
          <w:rFonts w:ascii="Times New Roman" w:hAnsi="Times New Roman" w:cs="Times New Roman"/>
        </w:rPr>
      </w:pPr>
      <w:r>
        <w:rPr>
          <w:rFonts w:ascii="Times New Roman" w:hAnsi="Times New Roman" w:cs="Times New Roman"/>
          <w:b/>
          <w:bCs/>
        </w:rPr>
        <w:t>Fig. S2: Comprehensive assessment of apple fruit quality and VOC profiles across treatment groups.</w:t>
      </w:r>
      <w:r>
        <w:rPr>
          <w:rFonts w:ascii="Times New Roman" w:hAnsi="Times New Roman" w:cs="Times New Roman"/>
        </w:rPr>
        <w:t xml:space="preserve"> </w:t>
      </w:r>
      <w:r>
        <w:rPr>
          <w:rFonts w:ascii="Times New Roman" w:hAnsi="Times New Roman" w:cs="Times New Roman"/>
          <w:b/>
          <w:bCs/>
        </w:rPr>
        <w:t>(A–C)</w:t>
      </w:r>
      <w:r>
        <w:rPr>
          <w:rFonts w:ascii="Times New Roman" w:hAnsi="Times New Roman" w:cs="Times New Roman"/>
        </w:rPr>
        <w:t xml:space="preserve"> Colorimetric analysis indicating variations in lightness, red-green, and yellow-blue coordinates. </w:t>
      </w:r>
      <w:r>
        <w:rPr>
          <w:rFonts w:ascii="Times New Roman" w:hAnsi="Times New Roman" w:cs="Times New Roman"/>
          <w:b/>
          <w:bCs/>
        </w:rPr>
        <w:t>(D)</w:t>
      </w:r>
      <w:r>
        <w:rPr>
          <w:rFonts w:ascii="Times New Roman" w:hAnsi="Times New Roman" w:cs="Times New Roman"/>
        </w:rPr>
        <w:t xml:space="preserve"> Total color difference (</w:t>
      </w:r>
      <w:r>
        <w:rPr>
          <w:rFonts w:ascii="Times New Roman" w:hAnsi="Times New Roman" w:cs="Times New Roman"/>
          <w:i/>
          <w:iCs/>
        </w:rPr>
        <w:t>ΔE</w:t>
      </w:r>
      <w:r>
        <w:rPr>
          <w:rFonts w:ascii="Times New Roman" w:hAnsi="Times New Roman" w:cs="Times New Roman"/>
        </w:rPr>
        <w:t xml:space="preserve">) relative to the WM group, showing significant shifts in BG and BM groups. </w:t>
      </w:r>
      <w:r>
        <w:rPr>
          <w:rFonts w:ascii="Times New Roman" w:hAnsi="Times New Roman" w:cs="Times New Roman"/>
          <w:b/>
          <w:bCs/>
        </w:rPr>
        <w:t>(E–G)</w:t>
      </w:r>
      <w:r>
        <w:rPr>
          <w:rFonts w:ascii="Times New Roman" w:hAnsi="Times New Roman" w:cs="Times New Roman"/>
        </w:rPr>
        <w:t xml:space="preserve"> Texture profile analysis measurements including chewiness, fracturability, and springiness. </w:t>
      </w:r>
      <w:r>
        <w:rPr>
          <w:rFonts w:ascii="Times New Roman" w:hAnsi="Times New Roman" w:cs="Times New Roman"/>
          <w:b/>
          <w:bCs/>
        </w:rPr>
        <w:t>(H–I)</w:t>
      </w:r>
      <w:r>
        <w:rPr>
          <w:rFonts w:ascii="Times New Roman" w:hAnsi="Times New Roman" w:cs="Times New Roman"/>
        </w:rPr>
        <w:t xml:space="preserve"> Biochemical evaluation of titratable acidity and soluble solid content. </w:t>
      </w:r>
      <w:r>
        <w:rPr>
          <w:rFonts w:ascii="Times New Roman" w:hAnsi="Times New Roman" w:cs="Times New Roman"/>
          <w:b/>
          <w:bCs/>
        </w:rPr>
        <w:t>(J)</w:t>
      </w:r>
      <w:r>
        <w:rPr>
          <w:rFonts w:ascii="Times New Roman" w:hAnsi="Times New Roman" w:cs="Times New Roman"/>
        </w:rPr>
        <w:t xml:space="preserve"> Principal Component Analysis (PCA) of VOC profiles, illustrating distinct clustering based on treatment. </w:t>
      </w:r>
      <w:r>
        <w:rPr>
          <w:rFonts w:ascii="Times New Roman" w:hAnsi="Times New Roman" w:cs="Times New Roman"/>
          <w:b/>
          <w:bCs/>
        </w:rPr>
        <w:t>(K)</w:t>
      </w:r>
      <w:r>
        <w:rPr>
          <w:rFonts w:ascii="Times New Roman" w:hAnsi="Times New Roman" w:cs="Times New Roman"/>
        </w:rPr>
        <w:t xml:space="preserve"> Radar plot of electronic nose sensor responses, highlighting differences in volatile emission patterns. Data are presented as mean SD; p-values indicate significant differences determined by ANOVA or Student’s t-test.</w:t>
      </w:r>
    </w:p>
    <w:p w14:paraId="28F60A9F">
      <w:pPr>
        <w:rPr>
          <w:rFonts w:ascii="Times New Roman" w:hAnsi="Times New Roman" w:cs="Times New Roman"/>
        </w:rPr>
      </w:pPr>
    </w:p>
    <w:p w14:paraId="6C8E0DBE">
      <w:pPr>
        <w:rPr>
          <w:rFonts w:ascii="Times New Roman" w:hAnsi="Times New Roman" w:cs="Times New Roman"/>
        </w:rPr>
      </w:pPr>
      <w:r>
        <w:rPr>
          <w:rFonts w:ascii="Times New Roman" w:hAnsi="Times New Roman" w:cs="Times New Roman"/>
        </w:rPr>
        <w:drawing>
          <wp:inline distT="0" distB="0" distL="0" distR="0">
            <wp:extent cx="5731510" cy="5736590"/>
            <wp:effectExtent l="0" t="0" r="2540" b="0"/>
            <wp:docPr id="1938806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0675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31510" cy="5736590"/>
                    </a:xfrm>
                    <a:prstGeom prst="rect">
                      <a:avLst/>
                    </a:prstGeom>
                    <a:noFill/>
                    <a:ln>
                      <a:noFill/>
                    </a:ln>
                  </pic:spPr>
                </pic:pic>
              </a:graphicData>
            </a:graphic>
          </wp:inline>
        </w:drawing>
      </w:r>
    </w:p>
    <w:p w14:paraId="20B230BB">
      <w:pPr>
        <w:jc w:val="both"/>
        <w:rPr>
          <w:rFonts w:ascii="Times New Roman" w:hAnsi="Times New Roman" w:cs="Times New Roman"/>
        </w:rPr>
      </w:pPr>
      <w:r>
        <w:rPr>
          <w:rFonts w:ascii="Times New Roman" w:hAnsi="Times New Roman" w:cs="Times New Roman"/>
          <w:b/>
          <w:bCs/>
        </w:rPr>
        <w:t>Fig. S3: Whole-genome-based phylogenetic analysis of strain G1.</w:t>
      </w:r>
      <w:r>
        <w:rPr>
          <w:rFonts w:ascii="Times New Roman" w:hAnsi="Times New Roman" w:cs="Times New Roman"/>
        </w:rPr>
        <w:t xml:space="preserve"> The phylogenetic tree illustrates the taxonomic positioning of G1 within the genus </w:t>
      </w:r>
      <w:r>
        <w:rPr>
          <w:rFonts w:ascii="Times New Roman" w:hAnsi="Times New Roman" w:cs="Times New Roman"/>
          <w:i/>
          <w:iCs/>
        </w:rPr>
        <w:t>Streptomyces</w:t>
      </w:r>
      <w:r>
        <w:rPr>
          <w:rFonts w:ascii="Times New Roman" w:hAnsi="Times New Roman" w:cs="Times New Roman"/>
        </w:rPr>
        <w:t xml:space="preserve">. Strain G1 clusters closely with </w:t>
      </w:r>
      <w:r>
        <w:rPr>
          <w:rFonts w:ascii="Times New Roman" w:hAnsi="Times New Roman" w:cs="Times New Roman"/>
          <w:i/>
          <w:iCs/>
        </w:rPr>
        <w:t>Streptomyces albidoflavus</w:t>
      </w:r>
      <w:r>
        <w:rPr>
          <w:rFonts w:ascii="Times New Roman" w:hAnsi="Times New Roman" w:cs="Times New Roman"/>
        </w:rPr>
        <w:t xml:space="preserve"> NRRL-B-1271ᵀ, supporting its identification through high sequence homology. </w:t>
      </w:r>
      <w:r>
        <w:rPr>
          <w:rFonts w:ascii="Times New Roman" w:hAnsi="Times New Roman" w:cs="Times New Roman"/>
          <w:i/>
          <w:iCs/>
        </w:rPr>
        <w:t>Pseudomonas kribbensis</w:t>
      </w:r>
      <w:r>
        <w:rPr>
          <w:rFonts w:ascii="Times New Roman" w:hAnsi="Times New Roman" w:cs="Times New Roman"/>
        </w:rPr>
        <w:t xml:space="preserve"> 46-2ᵀ is included as the outgroup. GenBank accession numbers for the genome assemblies are provided in parentheses.</w:t>
      </w:r>
    </w:p>
    <w:p w14:paraId="335A58FB">
      <w:pPr>
        <w:rPr>
          <w:rFonts w:ascii="Times New Roman" w:hAnsi="Times New Roman" w:cs="Times New Roman"/>
        </w:rPr>
      </w:pPr>
    </w:p>
    <w:p w14:paraId="3F59BC7A">
      <w:pPr>
        <w:rPr>
          <w:rFonts w:ascii="Times New Roman" w:hAnsi="Times New Roman" w:cs="Times New Roman"/>
        </w:rPr>
      </w:pPr>
      <w:r>
        <w:rPr>
          <w:rFonts w:ascii="Times New Roman" w:hAnsi="Times New Roman" w:cs="Times New Roman"/>
        </w:rPr>
        <w:drawing>
          <wp:inline distT="0" distB="0" distL="0" distR="0">
            <wp:extent cx="5731510" cy="2289810"/>
            <wp:effectExtent l="0" t="0" r="2540" b="0"/>
            <wp:docPr id="142493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3395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731510" cy="2289810"/>
                    </a:xfrm>
                    <a:prstGeom prst="rect">
                      <a:avLst/>
                    </a:prstGeom>
                    <a:noFill/>
                    <a:ln>
                      <a:noFill/>
                    </a:ln>
                  </pic:spPr>
                </pic:pic>
              </a:graphicData>
            </a:graphic>
          </wp:inline>
        </w:drawing>
      </w:r>
    </w:p>
    <w:p w14:paraId="2698A458">
      <w:pPr>
        <w:jc w:val="both"/>
        <w:rPr>
          <w:rFonts w:ascii="Times New Roman" w:hAnsi="Times New Roman" w:cs="Times New Roman"/>
        </w:rPr>
      </w:pPr>
      <w:r>
        <w:rPr>
          <w:rFonts w:ascii="Times New Roman" w:hAnsi="Times New Roman" w:cs="Times New Roman"/>
          <w:b/>
          <w:bCs/>
        </w:rPr>
        <w:t>Fig. S4: Taxonomic distribution and abundance of the apple fruit microbiome at the genus level.</w:t>
      </w:r>
      <w:r>
        <w:rPr>
          <w:rFonts w:ascii="Times New Roman" w:hAnsi="Times New Roman" w:cs="Times New Roman"/>
        </w:rPr>
        <w:t xml:space="preserve"> Bubble plot displaying the relative abundance of dominant bacterial genera. Circle size corresponds to abundance, with taxa color-coded by phylum. Proteobacteria (e.g., </w:t>
      </w:r>
      <w:r>
        <w:rPr>
          <w:rFonts w:ascii="Times New Roman" w:hAnsi="Times New Roman" w:cs="Times New Roman"/>
          <w:i/>
          <w:iCs/>
        </w:rPr>
        <w:t>Pseudomonas, Pantoea</w:t>
      </w:r>
      <w:r>
        <w:rPr>
          <w:rFonts w:ascii="Times New Roman" w:hAnsi="Times New Roman" w:cs="Times New Roman"/>
        </w:rPr>
        <w:t xml:space="preserve">) and Firmicutes (e.g., </w:t>
      </w:r>
      <w:r>
        <w:rPr>
          <w:rFonts w:ascii="Times New Roman" w:hAnsi="Times New Roman" w:cs="Times New Roman"/>
          <w:i/>
          <w:iCs/>
        </w:rPr>
        <w:t>Bacillus, Staphylococcus</w:t>
      </w:r>
      <w:r>
        <w:rPr>
          <w:rFonts w:ascii="Times New Roman" w:hAnsi="Times New Roman" w:cs="Times New Roman"/>
        </w:rPr>
        <w:t>) represent the most prevalent phyla within the microbial community.</w:t>
      </w:r>
    </w:p>
    <w:p w14:paraId="736D2598">
      <w:pPr>
        <w:jc w:val="both"/>
        <w:rPr>
          <w:rFonts w:ascii="Times New Roman" w:hAnsi="Times New Roman" w:cs="Times New Roman"/>
        </w:rPr>
      </w:pPr>
    </w:p>
    <w:p w14:paraId="16B7B843">
      <w:pPr>
        <w:jc w:val="both"/>
        <w:rPr>
          <w:rFonts w:ascii="Times New Roman" w:hAnsi="Times New Roman" w:cs="Times New Roman"/>
        </w:rPr>
      </w:pPr>
    </w:p>
    <w:p w14:paraId="4D0A4321">
      <w:pPr>
        <w:jc w:val="center"/>
        <w:rPr>
          <w:rFonts w:ascii="Times New Roman" w:hAnsi="Times New Roman" w:cs="Times New Roman"/>
        </w:rPr>
      </w:pPr>
      <w:r>
        <w:rPr>
          <w:rFonts w:ascii="Times New Roman" w:hAnsi="Times New Roman" w:cs="Times New Roman"/>
        </w:rPr>
        <w:drawing>
          <wp:inline distT="0" distB="0" distL="0" distR="0">
            <wp:extent cx="3149600" cy="2331085"/>
            <wp:effectExtent l="0" t="0" r="0" b="0"/>
            <wp:docPr id="158922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23004"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49600" cy="2331085"/>
                    </a:xfrm>
                    <a:prstGeom prst="rect">
                      <a:avLst/>
                    </a:prstGeom>
                    <a:noFill/>
                    <a:ln>
                      <a:noFill/>
                    </a:ln>
                  </pic:spPr>
                </pic:pic>
              </a:graphicData>
            </a:graphic>
          </wp:inline>
        </w:drawing>
      </w:r>
    </w:p>
    <w:p w14:paraId="04B7EE06">
      <w:pPr>
        <w:jc w:val="both"/>
        <w:rPr>
          <w:rFonts w:ascii="Times New Roman" w:hAnsi="Times New Roman" w:cs="Times New Roman"/>
        </w:rPr>
      </w:pPr>
      <w:r>
        <w:rPr>
          <w:rFonts w:ascii="Times New Roman" w:hAnsi="Times New Roman" w:cs="Times New Roman"/>
          <w:b/>
          <w:bCs/>
        </w:rPr>
        <w:t xml:space="preserve">Fig. S5: Plasmid-based standard curve for the absolute quantification of </w:t>
      </w:r>
      <w:r>
        <w:rPr>
          <w:rFonts w:ascii="Times New Roman" w:hAnsi="Times New Roman" w:cs="Times New Roman"/>
          <w:b/>
          <w:bCs/>
          <w:i/>
          <w:iCs/>
        </w:rPr>
        <w:t>Pseudomonas</w:t>
      </w:r>
      <w:r>
        <w:rPr>
          <w:rFonts w:ascii="Times New Roman" w:hAnsi="Times New Roman" w:cs="Times New Roman"/>
          <w:b/>
          <w:bCs/>
        </w:rPr>
        <w:t xml:space="preserve"> in apple samples via qPCR. </w:t>
      </w:r>
      <w:r>
        <w:rPr>
          <w:rFonts w:ascii="Times New Roman" w:hAnsi="Times New Roman" w:cs="Times New Roman"/>
        </w:rPr>
        <w:t>The linear regression demonstrates the relationship between cycle threshold (Ct) values and the log10 of the plasmid copy number. The equation Y = -2.947X + 22.70 with an R</w:t>
      </w:r>
      <w:r>
        <w:rPr>
          <w:rFonts w:ascii="Times New Roman" w:hAnsi="Times New Roman" w:cs="Times New Roman"/>
          <w:vertAlign w:val="superscript"/>
        </w:rPr>
        <w:t>2</w:t>
      </w:r>
      <w:r>
        <w:rPr>
          <w:rFonts w:ascii="Times New Roman" w:hAnsi="Times New Roman" w:cs="Times New Roman"/>
        </w:rPr>
        <w:t xml:space="preserve"> of 0.9993 confirms high amplification efficiency and technical precision for microbial load assessment. Dotted lines indicate the 95% confidence interval.</w:t>
      </w:r>
    </w:p>
    <w:p w14:paraId="0DD280AF">
      <w:pPr>
        <w:jc w:val="both"/>
        <w:rPr>
          <w:rFonts w:ascii="Times New Roman" w:hAnsi="Times New Roman" w:cs="Times New Roman"/>
        </w:rPr>
      </w:pPr>
      <w:r>
        <w:drawing>
          <wp:inline distT="0" distB="0" distL="0" distR="0">
            <wp:extent cx="5731510" cy="4498340"/>
            <wp:effectExtent l="0" t="0" r="2540" b="0"/>
            <wp:docPr id="96883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3917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731510" cy="4498340"/>
                    </a:xfrm>
                    <a:prstGeom prst="rect">
                      <a:avLst/>
                    </a:prstGeom>
                    <a:noFill/>
                    <a:ln>
                      <a:noFill/>
                    </a:ln>
                  </pic:spPr>
                </pic:pic>
              </a:graphicData>
            </a:graphic>
          </wp:inline>
        </w:drawing>
      </w:r>
    </w:p>
    <w:p w14:paraId="2E3A3A63">
      <w:pPr>
        <w:jc w:val="both"/>
        <w:rPr>
          <w:rFonts w:ascii="Times New Roman" w:hAnsi="Times New Roman" w:cs="Times New Roman"/>
        </w:rPr>
      </w:pPr>
      <w:r>
        <w:rPr>
          <w:rFonts w:ascii="Times New Roman" w:hAnsi="Times New Roman" w:cs="Times New Roman"/>
          <w:b/>
          <w:bCs/>
        </w:rPr>
        <w:t xml:space="preserve">Fig. S6: Relative expression of defense-related genes in </w:t>
      </w:r>
      <w:r>
        <w:rPr>
          <w:rFonts w:ascii="Times New Roman" w:hAnsi="Times New Roman" w:cs="Times New Roman"/>
          <w:b/>
          <w:bCs/>
          <w:i/>
          <w:iCs/>
        </w:rPr>
        <w:t>B. dothidea</w:t>
      </w:r>
      <w:r>
        <w:rPr>
          <w:rFonts w:ascii="Times New Roman" w:hAnsi="Times New Roman" w:cs="Times New Roman"/>
          <w:b/>
          <w:bCs/>
        </w:rPr>
        <w:t xml:space="preserve"> following exposure to specific VOCs.</w:t>
      </w:r>
      <w:r>
        <w:rPr>
          <w:rFonts w:ascii="Times New Roman" w:hAnsi="Times New Roman" w:cs="Times New Roman"/>
        </w:rPr>
        <w:t xml:space="preserve"> qPCR analysis of </w:t>
      </w:r>
      <w:r>
        <w:rPr>
          <w:rFonts w:ascii="Times New Roman" w:hAnsi="Times New Roman" w:cs="Times New Roman"/>
          <w:i/>
          <w:iCs/>
        </w:rPr>
        <w:t>galm</w:t>
      </w:r>
      <w:r>
        <w:rPr>
          <w:rFonts w:ascii="Times New Roman" w:hAnsi="Times New Roman" w:cs="Times New Roman"/>
        </w:rPr>
        <w:t xml:space="preserve">, </w:t>
      </w:r>
      <w:r>
        <w:rPr>
          <w:rFonts w:ascii="Times New Roman" w:hAnsi="Times New Roman" w:cs="Times New Roman"/>
          <w:i/>
          <w:iCs/>
        </w:rPr>
        <w:t>aldh3</w:t>
      </w:r>
      <w:r>
        <w:rPr>
          <w:rFonts w:ascii="Times New Roman" w:hAnsi="Times New Roman" w:cs="Times New Roman"/>
        </w:rPr>
        <w:t xml:space="preserve">, </w:t>
      </w:r>
      <w:r>
        <w:rPr>
          <w:rFonts w:ascii="Times New Roman" w:hAnsi="Times New Roman" w:cs="Times New Roman"/>
          <w:i/>
          <w:iCs/>
        </w:rPr>
        <w:t>aldh</w:t>
      </w:r>
      <w:r>
        <w:rPr>
          <w:rFonts w:ascii="Times New Roman" w:hAnsi="Times New Roman" w:cs="Times New Roman"/>
        </w:rPr>
        <w:t xml:space="preserve">, and </w:t>
      </w:r>
      <w:r>
        <w:rPr>
          <w:rFonts w:ascii="Times New Roman" w:hAnsi="Times New Roman" w:cs="Times New Roman"/>
          <w:i/>
          <w:iCs/>
        </w:rPr>
        <w:t>adh</w:t>
      </w:r>
      <w:r>
        <w:rPr>
          <w:rFonts w:ascii="Times New Roman" w:hAnsi="Times New Roman" w:cs="Times New Roman"/>
        </w:rPr>
        <w:t xml:space="preserve"> expression levels in fungal mycelia treated with humulene, caryophyllene, farnesol, cinnamic acid, and phenylethyl alcohol. Most VOC treatments resulted in significant downregulation of target genes compared to the mock control, suggesting interference with fungal metabolic and defense pathways. Data are mean ± SD (n=3); p-values indicate significance via Student’s t-test.</w:t>
      </w:r>
    </w:p>
    <w:p w14:paraId="1DF0C11E">
      <w:pPr>
        <w:jc w:val="center"/>
        <w:rPr>
          <w:rFonts w:ascii="Times New Roman" w:hAnsi="Times New Roman" w:cs="Times New Roman"/>
        </w:rPr>
      </w:pPr>
      <w:r>
        <w:rPr>
          <w:rFonts w:ascii="Times New Roman" w:hAnsi="Times New Roman" w:cs="Times New Roman"/>
        </w:rPr>
        <w:drawing>
          <wp:inline distT="0" distB="0" distL="0" distR="0">
            <wp:extent cx="4864735" cy="4107815"/>
            <wp:effectExtent l="0" t="0" r="0" b="6985"/>
            <wp:docPr id="2036991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9100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66647" cy="4109097"/>
                    </a:xfrm>
                    <a:prstGeom prst="rect">
                      <a:avLst/>
                    </a:prstGeom>
                    <a:noFill/>
                    <a:ln>
                      <a:noFill/>
                    </a:ln>
                  </pic:spPr>
                </pic:pic>
              </a:graphicData>
            </a:graphic>
          </wp:inline>
        </w:drawing>
      </w:r>
    </w:p>
    <w:p w14:paraId="05E40F70">
      <w:pPr>
        <w:jc w:val="both"/>
        <w:rPr>
          <w:rFonts w:ascii="Times New Roman" w:hAnsi="Times New Roman" w:cs="Times New Roman"/>
        </w:rPr>
      </w:pPr>
    </w:p>
    <w:p w14:paraId="77015E31">
      <w:pPr>
        <w:jc w:val="both"/>
        <w:rPr>
          <w:rFonts w:ascii="Times New Roman" w:hAnsi="Times New Roman" w:cs="Times New Roman"/>
          <w:b/>
          <w:bCs/>
        </w:rPr>
      </w:pPr>
      <w:r>
        <w:rPr>
          <w:rFonts w:ascii="Times New Roman" w:hAnsi="Times New Roman" w:cs="Times New Roman"/>
          <w:b/>
          <w:bCs/>
        </w:rPr>
        <w:t>Fig. S7: Principal component analysis of RNA-seq profiles in apple fruit</w:t>
      </w:r>
    </w:p>
    <w:p w14:paraId="0A877FBB">
      <w:pPr>
        <w:jc w:val="both"/>
        <w:rPr>
          <w:rFonts w:ascii="Times New Roman" w:hAnsi="Times New Roman" w:cs="Times New Roman"/>
        </w:rPr>
      </w:pPr>
      <w:r>
        <w:rPr>
          <w:rFonts w:ascii="Times New Roman" w:hAnsi="Times New Roman" w:cs="Times New Roman"/>
        </w:rPr>
        <w:t>PCA of global transcriptome data reveals distinct sample clustering, with PC1 (50.19%) and PC2 (13.24%) accounting for the majority of the total variance. Tight clustering confirms high reproducibility across biological replicates (n = 3), with ellipses representing 95% confidence intervals.</w:t>
      </w:r>
    </w:p>
    <w:p w14:paraId="32EABAFF">
      <w:pPr>
        <w:rPr>
          <w:rFonts w:ascii="Times New Roman" w:hAnsi="Times New Roman" w:cs="Times New Roma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93"/>
    <w:rsid w:val="00226279"/>
    <w:rsid w:val="00423707"/>
    <w:rsid w:val="004C69FF"/>
    <w:rsid w:val="004F2EFD"/>
    <w:rsid w:val="005021C2"/>
    <w:rsid w:val="00541A66"/>
    <w:rsid w:val="005E6C78"/>
    <w:rsid w:val="00652C8F"/>
    <w:rsid w:val="0065503A"/>
    <w:rsid w:val="0070061C"/>
    <w:rsid w:val="007A5B4F"/>
    <w:rsid w:val="007F51D4"/>
    <w:rsid w:val="00866B49"/>
    <w:rsid w:val="00934393"/>
    <w:rsid w:val="0097440A"/>
    <w:rsid w:val="00A85906"/>
    <w:rsid w:val="00C62E88"/>
    <w:rsid w:val="00CD30C2"/>
    <w:rsid w:val="00DA032C"/>
    <w:rsid w:val="00DA4868"/>
    <w:rsid w:val="00E722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GB" w:eastAsia="zh-CN"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4"/>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4"/>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4"/>
    <w:link w:val="4"/>
    <w:semiHidden/>
    <w:qFormat/>
    <w:uiPriority w:val="9"/>
    <w:rPr>
      <w:rFonts w:eastAsiaTheme="majorEastAsia" w:cstheme="majorBidi"/>
      <w:color w:val="2F5597" w:themeColor="accent1" w:themeShade="BF"/>
      <w:sz w:val="28"/>
      <w:szCs w:val="28"/>
    </w:rPr>
  </w:style>
  <w:style w:type="character" w:customStyle="1" w:styleId="18">
    <w:name w:val="Heading 4 Char"/>
    <w:basedOn w:val="14"/>
    <w:link w:val="5"/>
    <w:semiHidden/>
    <w:qFormat/>
    <w:uiPriority w:val="9"/>
    <w:rPr>
      <w:rFonts w:eastAsiaTheme="majorEastAsia" w:cstheme="majorBidi"/>
      <w:i/>
      <w:iCs/>
      <w:color w:val="2F5597" w:themeColor="accent1" w:themeShade="BF"/>
    </w:rPr>
  </w:style>
  <w:style w:type="character" w:customStyle="1" w:styleId="19">
    <w:name w:val="Heading 5 Char"/>
    <w:basedOn w:val="14"/>
    <w:link w:val="6"/>
    <w:semiHidden/>
    <w:qFormat/>
    <w:uiPriority w:val="9"/>
    <w:rPr>
      <w:rFonts w:eastAsiaTheme="majorEastAsia" w:cstheme="majorBidi"/>
      <w:color w:val="2F5597" w:themeColor="accent1" w:themeShade="BF"/>
    </w:rPr>
  </w:style>
  <w:style w:type="character" w:customStyle="1" w:styleId="20">
    <w:name w:val="Heading 6 Char"/>
    <w:basedOn w:val="14"/>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4"/>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4"/>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4"/>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4"/>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991</Words>
  <Characters>6201</Characters>
  <Lines>105</Lines>
  <Paragraphs>15</Paragraphs>
  <TotalTime>1</TotalTime>
  <ScaleCrop>false</ScaleCrop>
  <LinksUpToDate>false</LinksUpToDate>
  <CharactersWithSpaces>7173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2026-04-28T13:32:00Z</dcterms:created>
  <dc:creator>Arneeb Kashif</dc:creator>
  <cp:lastModifiedBy>Shengzhi Guo</cp:lastModifiedBy>
  <dcterms:modified xsi:type="dcterms:W3CDTF">2026-05-04T15:14:02Z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22117642-fd86-4578-8193-7d63a03f1c73</vt:lpwstr>
  </property>
  <property fmtid="{D5CDD505-2E9C-101B-9397-08002B2CF9AE}" pid="3" name="KSOTemplateDocerSaveRecord">
    <vt:lpwstr>eyJoZGlkIjoiZjBiOTk3MWYwZjZiNzA1MWUwYmU3ZTNlMmM1Mzc2NDMiLCJ1c2VySWQiOiI1OTkxODM2NDAifQ==</vt:lpwstr>
  </property>
  <property fmtid="{D5CDD505-2E9C-101B-9397-08002B2CF9AE}" pid="4" name="KSOProductBuildVer">
    <vt:lpwstr>2052-12.1.0.25865</vt:lpwstr>
  </property>
  <property fmtid="{D5CDD505-2E9C-101B-9397-08002B2CF9AE}" pid="5" name="ICV">
    <vt:lpwstr>968B66D3B0E548F1BB5AF382C2942F63_12</vt:lpwstr>
  </property>
</Properties>
</file>