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0ACBF" w14:textId="2224A283" w:rsidR="00172BA3" w:rsidRPr="00A177D1" w:rsidRDefault="000B7A4B" w:rsidP="000B7A4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lang w:val="en-US" w:eastAsia="sv-SE"/>
          <w14:ligatures w14:val="none"/>
        </w:rPr>
      </w:pPr>
      <w:r w:rsidRPr="00A177D1">
        <w:rPr>
          <w:rFonts w:ascii="Times New Roman" w:eastAsia="Times New Roman" w:hAnsi="Times New Roman" w:cs="Times New Roman"/>
          <w:b/>
          <w:bCs/>
          <w:color w:val="0A0A0A"/>
          <w:kern w:val="0"/>
          <w:lang w:val="en-US" w:eastAsia="sv-SE"/>
          <w14:ligatures w14:val="none"/>
        </w:rPr>
        <w:t>Supplementary Table 2. Sex-stratified adjusted hazard ratios for cardiovascular events within one year of lumbar spinal stenosis surgery</w:t>
      </w:r>
    </w:p>
    <w:p w14:paraId="670C5786" w14:textId="77777777" w:rsidR="00BF1D82" w:rsidRPr="00172BA3" w:rsidRDefault="00BF1D82" w:rsidP="000B7A4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kern w:val="0"/>
          <w:lang w:val="en-US" w:eastAsia="sv-SE"/>
          <w14:ligatures w14:val="none"/>
        </w:rPr>
      </w:pP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5"/>
        <w:gridCol w:w="889"/>
        <w:gridCol w:w="1696"/>
        <w:gridCol w:w="1696"/>
        <w:gridCol w:w="1696"/>
        <w:gridCol w:w="1448"/>
      </w:tblGrid>
      <w:tr w:rsidR="000B7A4B" w:rsidRPr="00172BA3" w14:paraId="06D419FE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4FB7FCEA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sv-SE"/>
                <w14:ligatures w14:val="none"/>
              </w:rPr>
              <w:t>Outcome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606E8DFF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sv-SE"/>
                <w14:ligatures w14:val="none"/>
              </w:rPr>
              <w:t>Sex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0C4A6C8C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sv-SE"/>
                <w14:ligatures w14:val="none"/>
              </w:rPr>
              <w:t>1–30 days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1E32E278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sv-SE"/>
                <w14:ligatures w14:val="none"/>
              </w:rPr>
              <w:t>31–60 days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2126E47F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sv-SE"/>
                <w14:ligatures w14:val="none"/>
              </w:rPr>
              <w:t>61–90 days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6C1899E0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sv-SE"/>
                <w14:ligatures w14:val="none"/>
              </w:rPr>
              <w:t>91–365 days</w:t>
            </w:r>
          </w:p>
        </w:tc>
      </w:tr>
      <w:tr w:rsidR="000B7A4B" w:rsidRPr="00172BA3" w14:paraId="180A489F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1F5E33E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11B7D52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6A36451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54C53BD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C354B1B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338F35A8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HR (95% CI)</w:t>
            </w:r>
          </w:p>
        </w:tc>
      </w:tr>
      <w:tr w:rsidR="000B7A4B" w:rsidRPr="00172BA3" w14:paraId="1412A502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D90C664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b/>
                <w:bCs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Ischemic stroke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617C0E0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Male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84EFCFC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1.44 (1.00–2.07)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94C1E71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0.99 (0.64–1.53)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838DF84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0.96 (0.59–1.56)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38E3BE91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0.94 (0.80–1.10)</w:t>
            </w:r>
          </w:p>
        </w:tc>
      </w:tr>
      <w:tr w:rsidR="000B7A4B" w:rsidRPr="00172BA3" w14:paraId="2FB82778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A50F985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F813B34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Female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BC93C91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1.48 (1.02–2.14)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2255820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0.84 (0.48–1.47)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DB2881C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1.00 (0.63–1.60)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51C74C4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1.03 (0.87–1.22)</w:t>
            </w:r>
          </w:p>
        </w:tc>
      </w:tr>
      <w:tr w:rsidR="000B7A4B" w:rsidRPr="00172BA3" w14:paraId="4C811C29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6CEFD23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b/>
                <w:bCs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Intracranial bleeding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DD1F9B1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Male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B64A3D6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0.64 (0.35–1.18)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EEE2CD8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0.26 (0.08–0.83)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23B4E15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0.67 (0.32–1.43)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82F5FF4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0.65 (0.49–0.85)</w:t>
            </w:r>
          </w:p>
        </w:tc>
      </w:tr>
      <w:tr w:rsidR="000B7A4B" w:rsidRPr="00172BA3" w14:paraId="7B9BF0E5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02228F0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9894314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Female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1DEF91B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1.51 (0.79–2.89)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2076C69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0.47 (0.17–1.30)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1D6A554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0.85 (0.35–2.02)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2914F4C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0.68 (0.49–0.93)</w:t>
            </w:r>
          </w:p>
        </w:tc>
      </w:tr>
      <w:tr w:rsidR="000B7A4B" w:rsidRPr="00172BA3" w14:paraId="03CC7F05" w14:textId="77777777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8757CAD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b/>
                <w:bCs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Myocardial infarction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E3CB983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Male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AA5A710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2.12 (1.59–2.83)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006EDCE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1.03 (0.69–1.53)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4DD94E9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1.29 (0.87–1.93)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3A67467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1.10 (0.96–1.27)</w:t>
            </w:r>
          </w:p>
        </w:tc>
      </w:tr>
      <w:tr w:rsidR="000B7A4B" w:rsidRPr="00172BA3" w14:paraId="6FEF9898" w14:textId="77777777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7318FFF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36E17C9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Female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1932DF2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2.00 (1.41–2.85)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6567209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0.82 (0.48–1.40)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D6183F0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0.78 (0.43–1.42)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10F384B" w14:textId="77777777" w:rsidR="000B7A4B" w:rsidRPr="00172BA3" w:rsidRDefault="000B7A4B" w:rsidP="000B7A4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</w:pPr>
            <w:r w:rsidRPr="00172BA3">
              <w:rPr>
                <w:rFonts w:ascii="Times New Roman" w:eastAsia="Times New Roman" w:hAnsi="Times New Roman" w:cs="Times New Roman"/>
                <w:color w:val="0A0A0A"/>
                <w:kern w:val="0"/>
                <w:sz w:val="21"/>
                <w:szCs w:val="21"/>
                <w:lang w:val="en-US" w:eastAsia="sv-SE"/>
                <w14:ligatures w14:val="none"/>
              </w:rPr>
              <w:t>0.95 (0.79–1.15)</w:t>
            </w:r>
          </w:p>
        </w:tc>
      </w:tr>
    </w:tbl>
    <w:p w14:paraId="55BDE917" w14:textId="4059AECB" w:rsidR="000B7A4B" w:rsidRPr="00172BA3" w:rsidRDefault="000B7A4B" w:rsidP="000B7A4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kern w:val="0"/>
          <w:sz w:val="22"/>
          <w:szCs w:val="22"/>
          <w:lang w:val="en-US" w:eastAsia="sv-SE"/>
          <w14:ligatures w14:val="none"/>
        </w:rPr>
      </w:pPr>
      <w:r w:rsidRPr="00172BA3">
        <w:rPr>
          <w:rFonts w:ascii="Times New Roman" w:eastAsia="Times New Roman" w:hAnsi="Times New Roman" w:cs="Times New Roman"/>
          <w:b/>
          <w:bCs/>
          <w:color w:val="0A0A0A"/>
          <w:kern w:val="0"/>
          <w:sz w:val="22"/>
          <w:szCs w:val="22"/>
          <w:lang w:val="en-US" w:eastAsia="sv-SE"/>
          <w14:ligatures w14:val="none"/>
        </w:rPr>
        <w:t>Abbreviations:</w:t>
      </w:r>
      <w:r w:rsidRPr="00172BA3">
        <w:rPr>
          <w:rFonts w:ascii="Times New Roman" w:eastAsia="Times New Roman" w:hAnsi="Times New Roman" w:cs="Times New Roman"/>
          <w:color w:val="0A0A0A"/>
          <w:kern w:val="0"/>
          <w:sz w:val="22"/>
          <w:szCs w:val="22"/>
          <w:lang w:val="en-US" w:eastAsia="sv-SE"/>
          <w14:ligatures w14:val="none"/>
        </w:rPr>
        <w:t> HR, hazard ratio; CI, confidence interval.</w:t>
      </w:r>
      <w:r w:rsidRPr="00172BA3">
        <w:rPr>
          <w:rFonts w:ascii="Times New Roman" w:eastAsia="Times New Roman" w:hAnsi="Times New Roman" w:cs="Times New Roman"/>
          <w:color w:val="0A0A0A"/>
          <w:kern w:val="0"/>
          <w:sz w:val="22"/>
          <w:szCs w:val="22"/>
          <w:lang w:val="en-US" w:eastAsia="sv-SE"/>
          <w14:ligatures w14:val="none"/>
        </w:rPr>
        <w:br/>
      </w:r>
      <w:r w:rsidRPr="00172BA3">
        <w:rPr>
          <w:rFonts w:ascii="Times New Roman" w:eastAsia="Times New Roman" w:hAnsi="Times New Roman" w:cs="Times New Roman"/>
          <w:b/>
          <w:bCs/>
          <w:color w:val="0A0A0A"/>
          <w:kern w:val="0"/>
          <w:sz w:val="22"/>
          <w:szCs w:val="22"/>
          <w:lang w:val="en-US" w:eastAsia="sv-SE"/>
          <w14:ligatures w14:val="none"/>
        </w:rPr>
        <w:t>Note:</w:t>
      </w:r>
      <w:r w:rsidRPr="00172BA3">
        <w:rPr>
          <w:rFonts w:ascii="Times New Roman" w:eastAsia="Times New Roman" w:hAnsi="Times New Roman" w:cs="Times New Roman"/>
          <w:color w:val="0A0A0A"/>
          <w:kern w:val="0"/>
          <w:sz w:val="22"/>
          <w:szCs w:val="22"/>
          <w:lang w:val="en-US" w:eastAsia="sv-SE"/>
          <w14:ligatures w14:val="none"/>
        </w:rPr>
        <w:t> Models were adjusted for age, geographic region, index year, hypertension, atrial fibrillation, diabetes, heart failure, renal failure, ischemic heart disease, vascular disease, alcohol overconsumption, and prior MI.</w:t>
      </w:r>
    </w:p>
    <w:p w14:paraId="42B64169" w14:textId="77777777" w:rsidR="001742A8" w:rsidRPr="00172BA3" w:rsidRDefault="001742A8">
      <w:pPr>
        <w:rPr>
          <w:rFonts w:ascii="Times New Roman" w:hAnsi="Times New Roman" w:cs="Times New Roman"/>
          <w:lang w:val="en-US"/>
        </w:rPr>
      </w:pPr>
    </w:p>
    <w:sectPr w:rsidR="001742A8" w:rsidRPr="00172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2CDF"/>
    <w:multiLevelType w:val="hybridMultilevel"/>
    <w:tmpl w:val="56825170"/>
    <w:lvl w:ilvl="0" w:tplc="9E6E85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DB223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D9237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F306B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9CC15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D1E37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20635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350CD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E8EAC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719474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93"/>
    <w:rsid w:val="00076786"/>
    <w:rsid w:val="000B7A4B"/>
    <w:rsid w:val="00172BA3"/>
    <w:rsid w:val="001742A8"/>
    <w:rsid w:val="001805FC"/>
    <w:rsid w:val="00344993"/>
    <w:rsid w:val="0035303A"/>
    <w:rsid w:val="00650975"/>
    <w:rsid w:val="0078231A"/>
    <w:rsid w:val="008C29E3"/>
    <w:rsid w:val="009D3307"/>
    <w:rsid w:val="00A177D1"/>
    <w:rsid w:val="00A56A0A"/>
    <w:rsid w:val="00BF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A0F9"/>
  <w15:chartTrackingRefBased/>
  <w15:docId w15:val="{84B32B7D-FBF3-4C2A-9006-C75E0CCE2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449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44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449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449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449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449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449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449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449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449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449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449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4499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4499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4499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4499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4499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4499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449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44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449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44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449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4499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4499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4499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449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4499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44993"/>
    <w:rPr>
      <w:b/>
      <w:bCs/>
      <w:smallCaps/>
      <w:color w:val="0F4761" w:themeColor="accent1" w:themeShade="BF"/>
      <w:spacing w:val="5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B7A4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0B7A4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B7A4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B7A4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B7A4B"/>
    <w:rPr>
      <w:b/>
      <w:bCs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0B7A4B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B7A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74B1862-63EF-48B6-8E70-2AC66000980D}">
  <we:reference id="wa200001011" version="1.4.0.0" store="en-US" storeType="OMEX"/>
  <we:alternateReferences>
    <we:reference id="WA200001011" version="1.4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165</Words>
  <Characters>876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Phillip Shaps</dc:creator>
  <cp:keywords/>
  <dc:description/>
  <cp:lastModifiedBy>Gustav Sven Christian Wegdell</cp:lastModifiedBy>
  <cp:revision>9</cp:revision>
  <dcterms:created xsi:type="dcterms:W3CDTF">2026-04-24T18:00:00Z</dcterms:created>
  <dcterms:modified xsi:type="dcterms:W3CDTF">2026-04-27T07:04:00Z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3df660c1-9c9c-4565-bdd9-da4b137184bf</vt:lpwstr>
  </property>
</Properties>
</file>