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E7A53" w14:textId="32DFAC36" w:rsidR="005A5DF7" w:rsidRPr="005A5DF7" w:rsidRDefault="005A5DF7" w:rsidP="005A5DF7">
      <w:pPr>
        <w:spacing w:line="360" w:lineRule="auto"/>
        <w:ind w:firstLineChars="600" w:firstLine="1260"/>
        <w:rPr>
          <w:rFonts w:ascii="Times New Roman" w:eastAsia="宋体" w:hAnsi="Times New Roman" w:cs="Times New Roman"/>
          <w:sz w:val="18"/>
          <w:szCs w:val="18"/>
          <w:highlight w:val="yellow"/>
        </w:rPr>
      </w:pPr>
      <w:r w:rsidRPr="001B5879">
        <w:rPr>
          <w:rFonts w:ascii="Times New Roman" w:eastAsia="宋体" w:hAnsi="Times New Roman" w:cs="Times New Roman"/>
          <w:szCs w:val="21"/>
          <w:highlight w:val="yellow"/>
        </w:rPr>
        <w:t>Table 3</w:t>
      </w:r>
      <w:r w:rsidRPr="001B5879">
        <w:rPr>
          <w:rFonts w:ascii="Times New Roman" w:eastAsia="宋体" w:hAnsi="Times New Roman" w:cs="Times New Roman" w:hint="eastAsia"/>
          <w:szCs w:val="21"/>
          <w:highlight w:val="yellow"/>
        </w:rPr>
        <w:t xml:space="preserve"> </w:t>
      </w:r>
      <w:r w:rsidRPr="001B5879">
        <w:rPr>
          <w:rFonts w:ascii="Times New Roman" w:eastAsia="宋体" w:hAnsi="Times New Roman" w:cs="Times New Roman"/>
          <w:szCs w:val="21"/>
          <w:highlight w:val="yellow"/>
        </w:rPr>
        <w:t>Multivariate Logistic Regression Analysis of Risk Factors</w:t>
      </w:r>
    </w:p>
    <w:tbl>
      <w:tblPr>
        <w:tblW w:w="8790" w:type="dxa"/>
        <w:tblInd w:w="-318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38"/>
        <w:gridCol w:w="1420"/>
        <w:gridCol w:w="1420"/>
        <w:gridCol w:w="1420"/>
        <w:gridCol w:w="1421"/>
        <w:gridCol w:w="1371"/>
      </w:tblGrid>
      <w:tr w:rsidR="005A5DF7" w:rsidRPr="005A5DF7" w14:paraId="1EEF2356" w14:textId="77777777" w:rsidTr="00425787">
        <w:trPr>
          <w:trHeight w:val="432"/>
        </w:trPr>
        <w:tc>
          <w:tcPr>
            <w:tcW w:w="1738" w:type="dxa"/>
            <w:tcBorders>
              <w:bottom w:val="single" w:sz="4" w:space="0" w:color="7F7F7F"/>
            </w:tcBorders>
          </w:tcPr>
          <w:p w14:paraId="54A77C98" w14:textId="787B86B6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1B5879">
              <w:rPr>
                <w:rFonts w:ascii="Times New Roman" w:eastAsia="宋体" w:hAnsi="宋体" w:cs="Times New Roman" w:hint="eastAsia"/>
                <w:sz w:val="18"/>
                <w:szCs w:val="18"/>
                <w:highlight w:val="yellow"/>
              </w:rPr>
              <w:t>F</w:t>
            </w:r>
            <w:r w:rsidRPr="001B5879">
              <w:rPr>
                <w:rFonts w:ascii="Times New Roman" w:eastAsia="宋体" w:hAnsi="宋体" w:cs="Times New Roman" w:hint="eastAsia"/>
                <w:sz w:val="18"/>
                <w:szCs w:val="18"/>
                <w:highlight w:val="yellow"/>
              </w:rPr>
              <w:t>actor</w:t>
            </w:r>
          </w:p>
        </w:tc>
        <w:tc>
          <w:tcPr>
            <w:tcW w:w="1420" w:type="dxa"/>
            <w:tcBorders>
              <w:bottom w:val="single" w:sz="4" w:space="0" w:color="7F7F7F"/>
            </w:tcBorders>
          </w:tcPr>
          <w:p w14:paraId="3863C722" w14:textId="77777777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>B</w:t>
            </w:r>
          </w:p>
        </w:tc>
        <w:tc>
          <w:tcPr>
            <w:tcW w:w="1420" w:type="dxa"/>
            <w:tcBorders>
              <w:bottom w:val="single" w:sz="4" w:space="0" w:color="7F7F7F"/>
            </w:tcBorders>
          </w:tcPr>
          <w:p w14:paraId="66DB3D1D" w14:textId="77777777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  <w:t xml:space="preserve"> Wald χ</w:t>
            </w:r>
            <w:r w:rsidRPr="005A5DF7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  <w:vertAlign w:val="superscript"/>
              </w:rPr>
              <w:t>2</w:t>
            </w:r>
          </w:p>
        </w:tc>
        <w:tc>
          <w:tcPr>
            <w:tcW w:w="1420" w:type="dxa"/>
            <w:tcBorders>
              <w:bottom w:val="single" w:sz="4" w:space="0" w:color="7F7F7F"/>
            </w:tcBorders>
          </w:tcPr>
          <w:p w14:paraId="03C4729B" w14:textId="77777777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  <w:t xml:space="preserve"> </w:t>
            </w:r>
            <w:r w:rsidRPr="005A5DF7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:highlight w:val="yellow"/>
                <w:lang w:val="zh-CN"/>
              </w:rPr>
              <w:t>P</w:t>
            </w:r>
          </w:p>
        </w:tc>
        <w:tc>
          <w:tcPr>
            <w:tcW w:w="1421" w:type="dxa"/>
            <w:tcBorders>
              <w:bottom w:val="single" w:sz="4" w:space="0" w:color="7F7F7F"/>
            </w:tcBorders>
          </w:tcPr>
          <w:p w14:paraId="226D5B75" w14:textId="77777777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ind w:firstLineChars="100" w:firstLine="180"/>
              <w:jc w:val="left"/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  <w:t>OR</w:t>
            </w:r>
          </w:p>
        </w:tc>
        <w:tc>
          <w:tcPr>
            <w:tcW w:w="1371" w:type="dxa"/>
            <w:tcBorders>
              <w:bottom w:val="single" w:sz="4" w:space="0" w:color="7F7F7F"/>
            </w:tcBorders>
          </w:tcPr>
          <w:p w14:paraId="585A655A" w14:textId="77777777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ind w:firstLineChars="200" w:firstLine="360"/>
              <w:jc w:val="left"/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等线" w:hAnsi="Times New Roman" w:cs="Times New Roman"/>
                <w:sz w:val="18"/>
                <w:szCs w:val="18"/>
                <w:highlight w:val="yellow"/>
              </w:rPr>
              <w:t>95%CI</w:t>
            </w:r>
          </w:p>
        </w:tc>
      </w:tr>
      <w:tr w:rsidR="005A5DF7" w:rsidRPr="005A5DF7" w14:paraId="51068D37" w14:textId="77777777" w:rsidTr="00425787">
        <w:tc>
          <w:tcPr>
            <w:tcW w:w="1738" w:type="dxa"/>
            <w:tcBorders>
              <w:top w:val="single" w:sz="4" w:space="0" w:color="7F7F7F"/>
              <w:bottom w:val="single" w:sz="4" w:space="0" w:color="7F7F7F"/>
            </w:tcBorders>
          </w:tcPr>
          <w:p w14:paraId="3CBF66E3" w14:textId="77777777" w:rsidR="005A5DF7" w:rsidRPr="001B5879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NUAD</w:t>
            </w:r>
          </w:p>
          <w:p w14:paraId="183EA481" w14:textId="5ED7E9BD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AIMF</w:t>
            </w:r>
          </w:p>
        </w:tc>
        <w:tc>
          <w:tcPr>
            <w:tcW w:w="1420" w:type="dxa"/>
            <w:tcBorders>
              <w:top w:val="single" w:sz="4" w:space="0" w:color="7F7F7F"/>
              <w:bottom w:val="single" w:sz="4" w:space="0" w:color="7F7F7F"/>
            </w:tcBorders>
          </w:tcPr>
          <w:p w14:paraId="3639B272" w14:textId="413DBB34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>0.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481</w:t>
            </w:r>
          </w:p>
          <w:p w14:paraId="5C898DED" w14:textId="073A2E1E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>0.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520</w:t>
            </w:r>
          </w:p>
        </w:tc>
        <w:tc>
          <w:tcPr>
            <w:tcW w:w="1420" w:type="dxa"/>
            <w:tcBorders>
              <w:top w:val="single" w:sz="4" w:space="0" w:color="7F7F7F"/>
              <w:bottom w:val="single" w:sz="4" w:space="0" w:color="7F7F7F"/>
            </w:tcBorders>
          </w:tcPr>
          <w:p w14:paraId="2416AD1E" w14:textId="7844B5D5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 xml:space="preserve">  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4.241</w:t>
            </w:r>
          </w:p>
          <w:p w14:paraId="277AAEF3" w14:textId="1D58FA3C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 xml:space="preserve">  </w:t>
            </w:r>
            <w:r w:rsidRPr="005A5DF7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4.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112</w:t>
            </w: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7F7F7F"/>
              <w:bottom w:val="single" w:sz="4" w:space="0" w:color="7F7F7F"/>
            </w:tcBorders>
          </w:tcPr>
          <w:p w14:paraId="28966A4F" w14:textId="20DA0633" w:rsidR="005A5DF7" w:rsidRPr="005A5DF7" w:rsidRDefault="001B5879" w:rsidP="005A5DF7">
            <w:pPr>
              <w:spacing w:line="360" w:lineRule="auto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0.039</w:t>
            </w:r>
          </w:p>
          <w:p w14:paraId="1A7B4D80" w14:textId="47B7BB93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>0.0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43</w:t>
            </w:r>
          </w:p>
        </w:tc>
        <w:tc>
          <w:tcPr>
            <w:tcW w:w="1421" w:type="dxa"/>
            <w:tcBorders>
              <w:top w:val="single" w:sz="4" w:space="0" w:color="7F7F7F"/>
              <w:bottom w:val="single" w:sz="4" w:space="0" w:color="7F7F7F"/>
            </w:tcBorders>
          </w:tcPr>
          <w:p w14:paraId="0758F368" w14:textId="138884D8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ind w:firstLineChars="100" w:firstLine="180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1.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617</w:t>
            </w:r>
          </w:p>
          <w:p w14:paraId="6473E584" w14:textId="460D6E58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ind w:firstLineChars="100" w:firstLine="180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1.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682</w:t>
            </w:r>
          </w:p>
        </w:tc>
        <w:tc>
          <w:tcPr>
            <w:tcW w:w="1371" w:type="dxa"/>
            <w:tcBorders>
              <w:top w:val="single" w:sz="4" w:space="0" w:color="7F7F7F"/>
              <w:bottom w:val="single" w:sz="4" w:space="0" w:color="7F7F7F"/>
            </w:tcBorders>
          </w:tcPr>
          <w:p w14:paraId="4D38F4A9" w14:textId="1F3C49B4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>1.</w:t>
            </w:r>
            <w:r w:rsidRPr="005A5DF7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0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23</w:t>
            </w:r>
            <w:r w:rsidRPr="005A5DF7">
              <w:rPr>
                <w:rFonts w:ascii="Times New Roman" w:eastAsia="宋体" w:hAnsi="宋体" w:cs="Times New Roman"/>
                <w:sz w:val="18"/>
                <w:szCs w:val="18"/>
                <w:highlight w:val="yellow"/>
              </w:rPr>
              <w:t>～</w:t>
            </w:r>
            <w:r w:rsidR="001B5879">
              <w:rPr>
                <w:rFonts w:ascii="Times New Roman" w:eastAsia="宋体" w:hAnsi="宋体" w:cs="Times New Roman" w:hint="eastAsia"/>
                <w:sz w:val="18"/>
                <w:szCs w:val="18"/>
                <w:highlight w:val="yellow"/>
              </w:rPr>
              <w:t>2.555</w:t>
            </w:r>
          </w:p>
          <w:p w14:paraId="5BD9E3D7" w14:textId="50ACF0E1" w:rsidR="005A5DF7" w:rsidRPr="005A5DF7" w:rsidRDefault="005A5DF7" w:rsidP="005A5D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</w:pPr>
            <w:r w:rsidRPr="005A5DF7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  <w:t>1.</w:t>
            </w:r>
            <w:r w:rsidRPr="005A5DF7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0</w:t>
            </w:r>
            <w:r w:rsidR="001B5879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</w:rPr>
              <w:t>18</w:t>
            </w:r>
            <w:r w:rsidRPr="005A5DF7">
              <w:rPr>
                <w:rFonts w:ascii="Times New Roman" w:eastAsia="宋体" w:hAnsi="宋体" w:cs="Times New Roman"/>
                <w:sz w:val="18"/>
                <w:szCs w:val="18"/>
                <w:highlight w:val="yellow"/>
              </w:rPr>
              <w:t>～</w:t>
            </w:r>
            <w:r w:rsidRPr="005A5DF7">
              <w:rPr>
                <w:rFonts w:ascii="Times New Roman" w:eastAsia="宋体" w:hAnsi="宋体" w:cs="Times New Roman" w:hint="eastAsia"/>
                <w:sz w:val="18"/>
                <w:szCs w:val="18"/>
                <w:highlight w:val="yellow"/>
              </w:rPr>
              <w:t>2.</w:t>
            </w:r>
            <w:r w:rsidR="001B5879">
              <w:rPr>
                <w:rFonts w:ascii="Times New Roman" w:eastAsia="宋体" w:hAnsi="宋体" w:cs="Times New Roman" w:hint="eastAsia"/>
                <w:sz w:val="18"/>
                <w:szCs w:val="18"/>
                <w:highlight w:val="yellow"/>
              </w:rPr>
              <w:t>780</w:t>
            </w:r>
          </w:p>
        </w:tc>
      </w:tr>
    </w:tbl>
    <w:p w14:paraId="03645638" w14:textId="27C828B4" w:rsidR="000F7F28" w:rsidRPr="005A5DF7" w:rsidRDefault="005A5DF7">
      <w:pPr>
        <w:rPr>
          <w:rFonts w:ascii="Times New Roman" w:hAnsi="Times New Roman" w:cs="Times New Roman" w:hint="eastAsia"/>
          <w:sz w:val="18"/>
          <w:szCs w:val="18"/>
        </w:rPr>
      </w:pPr>
      <w:r w:rsidRPr="001B5879">
        <w:rPr>
          <w:rFonts w:ascii="Times New Roman" w:hAnsi="Times New Roman" w:cs="Times New Roman"/>
          <w:sz w:val="18"/>
          <w:szCs w:val="18"/>
          <w:highlight w:val="yellow"/>
        </w:rPr>
        <w:t>NUAD</w:t>
      </w:r>
      <w:r w:rsidRPr="001B5879">
        <w:rPr>
          <w:rFonts w:ascii="Times New Roman" w:hAnsi="Times New Roman" w:cs="Times New Roman" w:hint="eastAsia"/>
          <w:sz w:val="18"/>
          <w:szCs w:val="18"/>
          <w:highlight w:val="yellow"/>
        </w:rPr>
        <w:t>:</w:t>
      </w:r>
      <w:r w:rsidRPr="001B5879">
        <w:rPr>
          <w:highlight w:val="yellow"/>
        </w:rPr>
        <w:t xml:space="preserve"> </w:t>
      </w:r>
      <w:r w:rsidRPr="001B5879">
        <w:rPr>
          <w:rFonts w:ascii="Times New Roman" w:hAnsi="Times New Roman" w:cs="Times New Roman"/>
          <w:sz w:val="18"/>
          <w:szCs w:val="18"/>
          <w:highlight w:val="yellow"/>
        </w:rPr>
        <w:t>Non‑compliant use of antihypertensive drugs</w:t>
      </w:r>
      <w:r w:rsidR="001B5879" w:rsidRPr="001B5879">
        <w:rPr>
          <w:rFonts w:ascii="Times New Roman" w:hAnsi="Times New Roman" w:cs="Times New Roman" w:hint="eastAsia"/>
          <w:sz w:val="18"/>
          <w:szCs w:val="18"/>
          <w:highlight w:val="yellow"/>
        </w:rPr>
        <w:t xml:space="preserve">, </w:t>
      </w:r>
      <w:bookmarkStart w:id="0" w:name="OLE_LINK13"/>
      <w:r w:rsidR="001B5879" w:rsidRPr="001B5879">
        <w:rPr>
          <w:rFonts w:ascii="Times New Roman" w:hAnsi="Times New Roman" w:cs="Times New Roman" w:hint="eastAsia"/>
          <w:sz w:val="18"/>
          <w:szCs w:val="18"/>
          <w:highlight w:val="yellow"/>
        </w:rPr>
        <w:t>AIMF</w:t>
      </w:r>
      <w:bookmarkEnd w:id="0"/>
      <w:r w:rsidR="001B5879" w:rsidRPr="001B5879">
        <w:rPr>
          <w:rFonts w:ascii="Times New Roman" w:hAnsi="Times New Roman" w:cs="Times New Roman" w:hint="eastAsia"/>
          <w:sz w:val="18"/>
          <w:szCs w:val="18"/>
          <w:highlight w:val="yellow"/>
        </w:rPr>
        <w:t>:</w:t>
      </w:r>
      <w:r w:rsidR="001B5879" w:rsidRPr="001B5879">
        <w:rPr>
          <w:rFonts w:hint="eastAsia"/>
          <w:highlight w:val="yellow"/>
        </w:rPr>
        <w:t xml:space="preserve"> </w:t>
      </w:r>
      <w:r w:rsidR="001B5879" w:rsidRPr="001B5879">
        <w:rPr>
          <w:rFonts w:ascii="Times New Roman" w:hAnsi="Times New Roman" w:cs="Times New Roman" w:hint="eastAsia"/>
          <w:sz w:val="18"/>
          <w:szCs w:val="18"/>
          <w:highlight w:val="yellow"/>
        </w:rPr>
        <w:t>Aneurysms with irregular morphological features.</w:t>
      </w:r>
    </w:p>
    <w:sectPr w:rsidR="000F7F28" w:rsidRPr="005A5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F7"/>
    <w:rsid w:val="00080D7F"/>
    <w:rsid w:val="000F7F28"/>
    <w:rsid w:val="001B5879"/>
    <w:rsid w:val="0035074B"/>
    <w:rsid w:val="003C5E79"/>
    <w:rsid w:val="005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F8212"/>
  <w15:chartTrackingRefBased/>
  <w15:docId w15:val="{26385893-B53B-4B7C-A839-1B2F2CEA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D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D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DF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DF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DF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DF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DF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DF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DF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5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5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5DF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5DF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A5DF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5D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5D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5D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5D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5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D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5D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5D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5D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5D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5DF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5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5DF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5D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162</Characters>
  <Application>Microsoft Office Word</Application>
  <DocSecurity>0</DocSecurity>
  <Lines>7</Lines>
  <Paragraphs>7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Linjie Wei</dc:creator>
  <cp:keywords/>
  <dc:description/>
  <cp:lastModifiedBy>Linjie Wei</cp:lastModifiedBy>
  <cp:revision>1</cp:revision>
  <dcterms:created xsi:type="dcterms:W3CDTF">2026-01-07T08:49:00Z</dcterms:created>
  <dcterms:modified xsi:type="dcterms:W3CDTF">2026-01-07T09:06:00Z</dcterms:modified>
</cp:coreProperties>
</file>