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6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7.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9301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3261"/>
                  <w:gridCol w:w="3020"/>
                  <w:gridCol w:w="3020"/>
                  <w:tblGridChange w:id="0">
                    <w:tblGrid>
                      <w:gridCol w:w="3261"/>
                      <w:gridCol w:w="3020"/>
                      <w:gridCol w:w="302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spacing w:line="480" w:lineRule="auto"/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5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  <w:rtl w:val="0"/>
                        </w:rPr>
                        <w:t xml:space="preserve">Relative Risk* (IC 95%)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6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4"/>
                          <w:szCs w:val="24"/>
                          <w:rtl w:val="0"/>
                        </w:rPr>
                        <w:t xml:space="preserve">p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7">
                      <w:pPr>
                        <w:spacing w:line="48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Cardiovascular death within 2y 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8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9.78 (2.83 – 33.9)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9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&lt;0.001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A">
                      <w:pPr>
                        <w:spacing w:line="480" w:lineRule="auto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Death within 2y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B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6.00 (2.05 – 17.5)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C">
                      <w:pPr>
                        <w:spacing w:line="480" w:lineRule="auto"/>
                        <w:jc w:val="center"/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4"/>
                          <w:szCs w:val="24"/>
                          <w:rtl w:val="0"/>
                        </w:rPr>
                        <w:t xml:space="preserve">0.001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Times New Roman" w:cs="Times New Roman" w:eastAsia="Times New Roman" w:hAnsi="Times New Roman"/>
                <w:color w:val="202124"/>
                <w:sz w:val="42"/>
                <w:szCs w:val="4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adjusted for age, gender, glycated hemoglobin in 2020, iron, hypertension, diabetes, heart failure and coronary heart disease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ASqviPzDf398l13Ikejca3gpg==">CgMxLjAaHwoBMBIaChgICVIUChJ0YWJsZS5memtwbWs5cWRlemU4AHIhMXJVRm0tQ1VJOWdTTTdRWWtTYWFuUmJMT3B4R2V5UldH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