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48"/>
        <w:gridCol w:w="222"/>
        <w:tblGridChange w:id="0">
          <w:tblGrid>
            <w:gridCol w:w="8848"/>
            <w:gridCol w:w="22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3. </w:t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7308.999999999998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3009"/>
                  <w:gridCol w:w="3087"/>
                  <w:gridCol w:w="1213"/>
                  <w:tblGridChange w:id="0">
                    <w:tblGrid>
                      <w:gridCol w:w="3009"/>
                      <w:gridCol w:w="3087"/>
                      <w:gridCol w:w="1213"/>
                    </w:tblGrid>
                  </w:tblGridChange>
                </w:tblGrid>
                <w:tr>
                  <w:trPr>
                    <w:cantSplit w:val="0"/>
                    <w:trHeight w:val="745.6640625" w:hRule="atLeast"/>
                    <w:tblHeader w:val="0"/>
                  </w:trPr>
                  <w:tc>
                    <w:tcPr>
                      <w:vMerge w:val="restart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3">
                      <w:pPr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Variables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4">
                      <w:pPr>
                        <w:jc w:val="center"/>
                        <w:rPr>
                          <w:b w:val="1"/>
                          <w:color w:val="202124"/>
                          <w:sz w:val="42"/>
                          <w:szCs w:val="42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Pre-dialysis troponin levels 2020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05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vMerge w:val="restart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6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Merge w:val="continue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8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Spearman correlation coefficient</w:t>
                      </w:r>
                    </w:p>
                  </w:tc>
                  <w:tc>
                    <w:tcPr>
                      <w:vMerge w:val="continue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0A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Hemoglobin 2020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-0.112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0.299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0D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Iron 2020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-0.135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0.209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0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Transferrin saturation 2020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-0.132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0.221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3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Ferritin 2020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0.088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0.416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6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Glycated Hemoglobin 2020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0.319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0.002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9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Hemoglobin 2021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-0.132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0.300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C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Iron 2021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0.180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0.154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F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Transferrin saturation 2021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0.224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0.075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2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Ferritin 2021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0.267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0.033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5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Hemoglobin 2022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0.235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0.091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8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Iron 2022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-0.126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0.370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B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Transferrin saturation 2022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-0.008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0.953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E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Ferritin 2022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0.146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0.296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31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Glycated Hemoglobin 2022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0.328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0.016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34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PTH 2 years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-0.035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0.803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37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Ionic calcium 2 years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-0.224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0.108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bottom w:color="000000" w:space="0" w:sz="4" w:val="single"/>
                      </w:tcBorders>
                      <w:vAlign w:val="bottom"/>
                    </w:tcPr>
                    <w:p w:rsidR="00000000" w:rsidDel="00000000" w:rsidP="00000000" w:rsidRDefault="00000000" w:rsidRPr="00000000" w14:paraId="0000003A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Phosphorus 2 years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3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0.074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3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0.598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INNifhfMb7faiYmdRTzoebexQ==">CgMxLjAaHwoBMBIaChgICVIUChJ0YWJsZS5ieXp1dGlxOHU5NnQ4AHIhMUtKYnV2UkVjcG8xcm41NEJ3bDVPanh3YTQ1Z210OXBR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