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4.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085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4962"/>
                  <w:gridCol w:w="2123"/>
                  <w:tblGridChange w:id="0">
                    <w:tblGrid>
                      <w:gridCol w:w="4962"/>
                      <w:gridCol w:w="2123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3">
                      <w:pPr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n (%)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Chest pain on dialysis or emergency room visit – n(%)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7">
                      <w:pPr>
                        <w:tabs>
                          <w:tab w:val="center" w:leader="none" w:pos="2373"/>
                        </w:tabs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2020 (n=88)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9 (10.2)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9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2021 (n=74)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9 (12.1)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B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2022 (n=70)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 (0.0)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D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Cardiovascular death within 2 years – n(%)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0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0F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 (6.8)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1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Death within 2 years – n(%)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13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1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18 (20.5)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5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7Hk4ayAjaL5G9AeDvo64KFFw/Q==">CgMxLjAaHwoBMBIaChgICVIUChJ0YWJsZS53bHh5M29weHJkamw4AHIhMXRrUDFqVElpSjBialhQNm16LUJMQlpaWFlYS1lLaDdv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