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510A" w14:textId="712E470C" w:rsidR="00C42417" w:rsidRPr="00F46269" w:rsidRDefault="00C42417" w:rsidP="00F46269">
      <w:pPr>
        <w:pStyle w:val="Heading1"/>
        <w:rPr>
          <w:b/>
          <w:bCs/>
          <w:sz w:val="28"/>
          <w:szCs w:val="28"/>
        </w:rPr>
      </w:pPr>
      <w:r w:rsidRPr="00F46269">
        <w:rPr>
          <w:b/>
          <w:bCs/>
          <w:sz w:val="28"/>
          <w:szCs w:val="28"/>
        </w:rPr>
        <w:t>Online Resource</w:t>
      </w:r>
      <w:r w:rsidRPr="00F46269">
        <w:rPr>
          <w:rFonts w:ascii="Arial" w:hAnsi="Arial" w:cs="Arial"/>
          <w:b/>
          <w:bCs/>
          <w:sz w:val="28"/>
          <w:szCs w:val="28"/>
        </w:rPr>
        <w:t> </w:t>
      </w:r>
      <w:r w:rsidRPr="00F46269">
        <w:rPr>
          <w:b/>
          <w:bCs/>
          <w:sz w:val="28"/>
          <w:szCs w:val="28"/>
        </w:rPr>
        <w:t>6</w:t>
      </w:r>
      <w:r w:rsidR="00F46269" w:rsidRPr="00F46269">
        <w:rPr>
          <w:b/>
          <w:bCs/>
          <w:sz w:val="28"/>
          <w:szCs w:val="28"/>
        </w:rPr>
        <w:t xml:space="preserve"> </w:t>
      </w:r>
      <w:r w:rsidR="00F46269">
        <w:rPr>
          <w:b/>
          <w:bCs/>
          <w:sz w:val="28"/>
          <w:szCs w:val="28"/>
        </w:rPr>
        <w:t xml:space="preserve">– </w:t>
      </w:r>
      <w:r w:rsidRPr="00F46269">
        <w:rPr>
          <w:b/>
          <w:bCs/>
          <w:sz w:val="28"/>
          <w:szCs w:val="28"/>
        </w:rPr>
        <w:t>Study Context and Participant Characteristics</w:t>
      </w:r>
    </w:p>
    <w:p w14:paraId="73D5A264" w14:textId="5CD89187" w:rsidR="00F46269" w:rsidRDefault="00F46269" w:rsidP="00F46269">
      <w:pPr>
        <w:spacing w:before="240"/>
        <w:jc w:val="both"/>
        <w:rPr>
          <w:b/>
          <w:bCs/>
        </w:rPr>
      </w:pPr>
      <w:r>
        <w:rPr>
          <w:b/>
          <w:bCs/>
        </w:rPr>
        <w:t>Article Title</w:t>
      </w:r>
      <w:r w:rsidR="006022EC">
        <w:rPr>
          <w:b/>
          <w:bCs/>
        </w:rPr>
        <w:t>:</w:t>
      </w:r>
    </w:p>
    <w:p w14:paraId="65C3CE23" w14:textId="14DABC79" w:rsidR="00F46269" w:rsidRPr="001C2AF5" w:rsidRDefault="006022EC" w:rsidP="00F46269">
      <w:pPr>
        <w:rPr>
          <w:rFonts w:ascii="Aptos" w:eastAsia="Aptos" w:hAnsi="Aptos" w:cs="Times New Roman"/>
        </w:rPr>
      </w:pPr>
      <w:r>
        <w:rPr>
          <w:rFonts w:ascii="Aptos" w:eastAsia="Aptos" w:hAnsi="Aptos" w:cs="Times New Roman"/>
        </w:rPr>
        <w:t>“</w:t>
      </w:r>
      <w:r w:rsidR="00F46269" w:rsidRPr="001C2AF5">
        <w:rPr>
          <w:rFonts w:ascii="Aptos" w:eastAsia="Aptos" w:hAnsi="Aptos" w:cs="Times New Roman"/>
        </w:rPr>
        <w:t>Critical Mathematical Thinking as an Integrated Evaluative Reasoning</w:t>
      </w:r>
      <w:r>
        <w:rPr>
          <w:rFonts w:ascii="Aptos" w:eastAsia="Aptos" w:hAnsi="Aptos" w:cs="Times New Roman"/>
        </w:rPr>
        <w:t>.”</w:t>
      </w:r>
    </w:p>
    <w:p w14:paraId="23C7FFA4" w14:textId="267D222F" w:rsidR="00F46269" w:rsidRPr="00ED25A3" w:rsidRDefault="00F46269" w:rsidP="00F46269">
      <w:pPr>
        <w:rPr>
          <w:b/>
          <w:bCs/>
        </w:rPr>
      </w:pPr>
      <w:r w:rsidRPr="00ED25A3">
        <w:rPr>
          <w:b/>
          <w:bCs/>
        </w:rPr>
        <w:t>Journal Name</w:t>
      </w:r>
      <w:r w:rsidR="006022EC">
        <w:rPr>
          <w:b/>
          <w:bCs/>
        </w:rPr>
        <w:t>:</w:t>
      </w:r>
    </w:p>
    <w:p w14:paraId="4AA6F1C5" w14:textId="77777777" w:rsidR="00F46269" w:rsidRDefault="00F46269" w:rsidP="00F46269">
      <w:r>
        <w:t>Educational Studies in Mathematics</w:t>
      </w:r>
    </w:p>
    <w:p w14:paraId="0195FF71" w14:textId="29952FB4" w:rsidR="00F46269" w:rsidRPr="00922ACB" w:rsidRDefault="00F46269" w:rsidP="00F46269">
      <w:pPr>
        <w:rPr>
          <w:b/>
          <w:bCs/>
        </w:rPr>
      </w:pPr>
      <w:r w:rsidRPr="00922ACB">
        <w:rPr>
          <w:b/>
          <w:bCs/>
        </w:rPr>
        <w:t>Author</w:t>
      </w:r>
      <w:r>
        <w:rPr>
          <w:b/>
          <w:bCs/>
        </w:rPr>
        <w:t>, Affiliation &amp; Email</w:t>
      </w:r>
      <w:r w:rsidR="006022EC">
        <w:rPr>
          <w:b/>
          <w:bCs/>
        </w:rPr>
        <w:t>:</w:t>
      </w:r>
    </w:p>
    <w:p w14:paraId="7275429A" w14:textId="77777777" w:rsidR="00F46269" w:rsidRPr="008F1E11" w:rsidRDefault="00F46269" w:rsidP="00F46269">
      <w:pPr>
        <w:spacing w:after="0"/>
        <w:rPr>
          <w:rFonts w:ascii="Aptos" w:eastAsia="Aptos" w:hAnsi="Aptos" w:cs="Times New Roman"/>
          <w:vertAlign w:val="superscript"/>
        </w:rPr>
      </w:pPr>
      <w:r w:rsidRPr="008F1E11">
        <w:rPr>
          <w:rFonts w:ascii="Aptos" w:eastAsia="Aptos" w:hAnsi="Aptos" w:cs="Times New Roman"/>
        </w:rPr>
        <w:t>Michael Erotoma Omuvwie</w:t>
      </w:r>
      <w:r w:rsidRPr="008F1E11">
        <w:rPr>
          <w:rFonts w:ascii="Aptos" w:eastAsia="Aptos" w:hAnsi="Aptos" w:cs="Times New Roman"/>
          <w:vertAlign w:val="superscript"/>
        </w:rPr>
        <w:t>1</w:t>
      </w:r>
    </w:p>
    <w:p w14:paraId="178902C3" w14:textId="77777777" w:rsidR="00F46269" w:rsidRPr="004647DF" w:rsidRDefault="00F46269" w:rsidP="00F46269">
      <w:pPr>
        <w:spacing w:after="0"/>
        <w:rPr>
          <w:rFonts w:ascii="Aptos" w:eastAsia="Aptos" w:hAnsi="Aptos" w:cs="Times New Roman"/>
        </w:rPr>
      </w:pPr>
      <w:r w:rsidRPr="00A826DC">
        <w:rPr>
          <w:rFonts w:ascii="Aptos" w:eastAsia="Aptos" w:hAnsi="Aptos" w:cs="Times New Roman"/>
          <w:vertAlign w:val="superscript"/>
        </w:rPr>
        <w:t>1</w:t>
      </w:r>
      <w:r w:rsidRPr="004647DF">
        <w:rPr>
          <w:rFonts w:ascii="Aptos" w:eastAsia="Aptos" w:hAnsi="Aptos" w:cs="Times New Roman"/>
        </w:rPr>
        <w:t>University of Hull</w:t>
      </w:r>
      <w:r>
        <w:rPr>
          <w:rFonts w:ascii="Aptos" w:eastAsia="Aptos" w:hAnsi="Aptos" w:cs="Times New Roman"/>
        </w:rPr>
        <w:t>, Hull, UK</w:t>
      </w:r>
    </w:p>
    <w:p w14:paraId="4EA7A378" w14:textId="7E3BB8BF" w:rsidR="00F46269" w:rsidRPr="00F46269" w:rsidRDefault="00F46269" w:rsidP="00F46269">
      <w:hyperlink r:id="rId7" w:history="1">
        <w:r w:rsidRPr="00CE1FA3">
          <w:rPr>
            <w:rStyle w:val="Hyperlink"/>
            <w:rFonts w:ascii="Aptos" w:eastAsia="Aptos" w:hAnsi="Aptos" w:cs="Times New Roman"/>
          </w:rPr>
          <w:t>m.e.omuvwie@hull.ac.uk</w:t>
        </w:r>
      </w:hyperlink>
    </w:p>
    <w:p w14:paraId="1545A967" w14:textId="05D4C574" w:rsidR="00C42417" w:rsidRPr="00BF51F6" w:rsidRDefault="00BF51F6" w:rsidP="00F46269">
      <w:pPr>
        <w:spacing w:before="240"/>
        <w:rPr>
          <w:b/>
          <w:bCs/>
        </w:rPr>
      </w:pPr>
      <w:r>
        <w:rPr>
          <w:b/>
          <w:bCs/>
        </w:rPr>
        <w:t xml:space="preserve">6.1 </w:t>
      </w:r>
      <w:r w:rsidR="00C42417" w:rsidRPr="00BF51F6">
        <w:rPr>
          <w:b/>
          <w:bCs/>
        </w:rPr>
        <w:t>Purpose</w:t>
      </w:r>
    </w:p>
    <w:p w14:paraId="3819FDFA" w14:textId="77777777" w:rsidR="00A161B6" w:rsidRPr="00A161B6" w:rsidRDefault="00A161B6" w:rsidP="00A161B6">
      <w:pPr>
        <w:jc w:val="both"/>
      </w:pPr>
      <w:r w:rsidRPr="00A161B6">
        <w:t>Online Resource</w:t>
      </w:r>
      <w:r w:rsidRPr="00A161B6">
        <w:rPr>
          <w:rFonts w:ascii="Arial" w:hAnsi="Arial" w:cs="Arial"/>
        </w:rPr>
        <w:t> </w:t>
      </w:r>
      <w:r w:rsidRPr="00A161B6">
        <w:t xml:space="preserve">6 provides supplementary information on the </w:t>
      </w:r>
      <w:r w:rsidRPr="00A161B6">
        <w:rPr>
          <w:i/>
          <w:iCs/>
        </w:rPr>
        <w:t>study context and participant characteristics</w:t>
      </w:r>
      <w:r w:rsidRPr="00A161B6">
        <w:t xml:space="preserve"> associated with the dataset analysed in the main paper. This material is included to support transparency and contextual interpretation of the findings and complements the methodological description provided in the Method section.</w:t>
      </w:r>
    </w:p>
    <w:p w14:paraId="58312833" w14:textId="77777777" w:rsidR="00A161B6" w:rsidRPr="00A161B6" w:rsidRDefault="00A161B6" w:rsidP="00A161B6">
      <w:pPr>
        <w:jc w:val="both"/>
      </w:pPr>
      <w:r w:rsidRPr="00A161B6">
        <w:t xml:space="preserve">The information reported here is </w:t>
      </w:r>
      <w:r w:rsidRPr="00A161B6">
        <w:rPr>
          <w:i/>
          <w:iCs/>
        </w:rPr>
        <w:t>descriptive in nature</w:t>
      </w:r>
      <w:r w:rsidRPr="00A161B6">
        <w:t xml:space="preserve"> and does not introduce additional analyses, results, or interpretations beyond those discussed in the main text. Participant characteristics were not used as explanatory variables in the primary Rasch analyses, which focused on examining construct coherence across the combined sample.</w:t>
      </w:r>
    </w:p>
    <w:p w14:paraId="68FF9B4F" w14:textId="79E9C84F" w:rsidR="00C42417" w:rsidRPr="00BF51F6" w:rsidRDefault="00BF51F6" w:rsidP="00F46269">
      <w:pPr>
        <w:spacing w:before="240"/>
        <w:rPr>
          <w:b/>
          <w:bCs/>
        </w:rPr>
      </w:pPr>
      <w:r>
        <w:rPr>
          <w:b/>
          <w:bCs/>
        </w:rPr>
        <w:t>6.</w:t>
      </w:r>
      <w:r w:rsidR="009D35CF">
        <w:rPr>
          <w:b/>
          <w:bCs/>
        </w:rPr>
        <w:t xml:space="preserve">2 </w:t>
      </w:r>
      <w:r w:rsidR="00C42417" w:rsidRPr="00BF51F6">
        <w:rPr>
          <w:b/>
          <w:bCs/>
        </w:rPr>
        <w:t>Participant characteristics across data</w:t>
      </w:r>
      <w:r w:rsidR="00C42417" w:rsidRPr="00BF51F6">
        <w:rPr>
          <w:b/>
          <w:bCs/>
        </w:rPr>
        <w:noBreakHyphen/>
        <w:t>collection points</w:t>
      </w:r>
    </w:p>
    <w:p w14:paraId="30F62754" w14:textId="77777777" w:rsidR="00C42417" w:rsidRPr="00C42417" w:rsidRDefault="00C42417" w:rsidP="00471195">
      <w:pPr>
        <w:jc w:val="both"/>
      </w:pPr>
      <w:r w:rsidRPr="00C42417">
        <w:t>Table</w:t>
      </w:r>
      <w:r w:rsidRPr="00C42417">
        <w:rPr>
          <w:rFonts w:ascii="Arial" w:hAnsi="Arial" w:cs="Arial"/>
        </w:rPr>
        <w:t> </w:t>
      </w:r>
      <w:r w:rsidRPr="00C42417">
        <w:t>OR6.1 summarises participant characteristics across the two data</w:t>
      </w:r>
      <w:r w:rsidRPr="00C42417">
        <w:noBreakHyphen/>
        <w:t>collection points. The table is provided for transparency and contextual reference only; participant characteristics were not used as explanatory variables in the primary Rasch analyses.</w:t>
      </w:r>
    </w:p>
    <w:p w14:paraId="3748FF5A" w14:textId="77777777" w:rsidR="00D52776" w:rsidRDefault="00D52776" w:rsidP="00C42417">
      <w:pPr>
        <w:rPr>
          <w:b/>
          <w:bCs/>
        </w:rPr>
      </w:pPr>
    </w:p>
    <w:p w14:paraId="65F93D41" w14:textId="77777777" w:rsidR="00D52776" w:rsidRDefault="00D52776" w:rsidP="00C42417">
      <w:pPr>
        <w:rPr>
          <w:b/>
          <w:bCs/>
        </w:rPr>
      </w:pPr>
    </w:p>
    <w:p w14:paraId="677EB9DF" w14:textId="77777777" w:rsidR="00D52776" w:rsidRDefault="00D52776" w:rsidP="00C42417">
      <w:pPr>
        <w:rPr>
          <w:b/>
          <w:bCs/>
        </w:rPr>
      </w:pPr>
    </w:p>
    <w:p w14:paraId="361EF8B5" w14:textId="77777777" w:rsidR="00D52776" w:rsidRDefault="00D52776" w:rsidP="00C42417">
      <w:pPr>
        <w:rPr>
          <w:b/>
          <w:bCs/>
        </w:rPr>
      </w:pPr>
    </w:p>
    <w:p w14:paraId="4833667B" w14:textId="77777777" w:rsidR="00D52776" w:rsidRDefault="00D52776" w:rsidP="00C42417">
      <w:pPr>
        <w:rPr>
          <w:b/>
          <w:bCs/>
        </w:rPr>
      </w:pPr>
    </w:p>
    <w:p w14:paraId="572D6078" w14:textId="77777777" w:rsidR="00D52776" w:rsidRDefault="00D52776" w:rsidP="00C42417">
      <w:pPr>
        <w:rPr>
          <w:b/>
          <w:bCs/>
        </w:rPr>
      </w:pPr>
    </w:p>
    <w:p w14:paraId="1FD6024D" w14:textId="77777777" w:rsidR="00D52776" w:rsidRDefault="00D52776" w:rsidP="00C42417">
      <w:pPr>
        <w:rPr>
          <w:b/>
          <w:bCs/>
        </w:rPr>
      </w:pPr>
    </w:p>
    <w:p w14:paraId="0D896542" w14:textId="77777777" w:rsidR="00D52776" w:rsidRDefault="00D52776" w:rsidP="00C42417">
      <w:pPr>
        <w:rPr>
          <w:b/>
          <w:bCs/>
        </w:rPr>
      </w:pPr>
    </w:p>
    <w:p w14:paraId="7AA6B62A" w14:textId="78937097" w:rsidR="00C42417" w:rsidRDefault="00C42417" w:rsidP="00D52776">
      <w:pPr>
        <w:jc w:val="both"/>
        <w:rPr>
          <w:b/>
          <w:bCs/>
        </w:rPr>
      </w:pPr>
      <w:r w:rsidRPr="00C42417">
        <w:rPr>
          <w:b/>
          <w:bCs/>
        </w:rPr>
        <w:lastRenderedPageBreak/>
        <w:t>Table</w:t>
      </w:r>
      <w:r w:rsidRPr="00C42417">
        <w:rPr>
          <w:rFonts w:ascii="Arial" w:hAnsi="Arial" w:cs="Arial"/>
          <w:b/>
          <w:bCs/>
        </w:rPr>
        <w:t> </w:t>
      </w:r>
      <w:r w:rsidRPr="00C42417">
        <w:rPr>
          <w:b/>
          <w:bCs/>
        </w:rPr>
        <w:t>OR6.1</w:t>
      </w:r>
      <w:r w:rsidR="00D52776">
        <w:rPr>
          <w:b/>
          <w:bCs/>
        </w:rPr>
        <w:t xml:space="preserve"> </w:t>
      </w:r>
      <w:r w:rsidRPr="00D52776">
        <w:t>Distribution of students by gender and mathematics group across data</w:t>
      </w:r>
      <w:r w:rsidRPr="00D52776">
        <w:noBreakHyphen/>
        <w:t>collection points</w:t>
      </w:r>
    </w:p>
    <w:tbl>
      <w:tblPr>
        <w:tblStyle w:val="PlainTable2"/>
        <w:tblW w:w="0" w:type="auto"/>
        <w:tblLook w:val="04A0" w:firstRow="1" w:lastRow="0" w:firstColumn="1" w:lastColumn="0" w:noHBand="0" w:noVBand="1"/>
      </w:tblPr>
      <w:tblGrid>
        <w:gridCol w:w="1921"/>
        <w:gridCol w:w="3020"/>
        <w:gridCol w:w="1372"/>
        <w:gridCol w:w="1651"/>
        <w:gridCol w:w="1062"/>
      </w:tblGrid>
      <w:tr w:rsidR="005B4D3B" w:rsidRPr="00CD3F50" w14:paraId="25E50216" w14:textId="77777777" w:rsidTr="005063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8809C15" w14:textId="77777777" w:rsidR="00CD3F50" w:rsidRPr="00CD3F50" w:rsidRDefault="00CD3F50" w:rsidP="005B4D3B">
            <w:pPr>
              <w:spacing w:line="278" w:lineRule="auto"/>
              <w:jc w:val="both"/>
            </w:pPr>
            <w:r w:rsidRPr="00CD3F50">
              <w:t>Data</w:t>
            </w:r>
            <w:r w:rsidRPr="00CD3F50">
              <w:noBreakHyphen/>
              <w:t>collection point</w:t>
            </w:r>
          </w:p>
        </w:tc>
        <w:tc>
          <w:tcPr>
            <w:tcW w:w="3119" w:type="dxa"/>
            <w:hideMark/>
          </w:tcPr>
          <w:p w14:paraId="58F0B8F4" w14:textId="77777777" w:rsidR="00CD3F50" w:rsidRPr="00CD3F50" w:rsidRDefault="00CD3F50" w:rsidP="005B4D3B">
            <w:pPr>
              <w:spacing w:line="278" w:lineRule="auto"/>
              <w:jc w:val="both"/>
              <w:cnfStyle w:val="100000000000" w:firstRow="1" w:lastRow="0" w:firstColumn="0" w:lastColumn="0" w:oddVBand="0" w:evenVBand="0" w:oddHBand="0" w:evenHBand="0" w:firstRowFirstColumn="0" w:firstRowLastColumn="0" w:lastRowFirstColumn="0" w:lastRowLastColumn="0"/>
            </w:pPr>
            <w:r w:rsidRPr="00CD3F50">
              <w:t>Instructional group</w:t>
            </w:r>
          </w:p>
        </w:tc>
        <w:tc>
          <w:tcPr>
            <w:tcW w:w="1417" w:type="dxa"/>
            <w:hideMark/>
          </w:tcPr>
          <w:p w14:paraId="25F454FD" w14:textId="77777777" w:rsidR="00CD3F50" w:rsidRPr="00CD3F50" w:rsidRDefault="00CD3F50" w:rsidP="005B4D3B">
            <w:pPr>
              <w:spacing w:line="278" w:lineRule="auto"/>
              <w:jc w:val="both"/>
              <w:cnfStyle w:val="100000000000" w:firstRow="1" w:lastRow="0" w:firstColumn="0" w:lastColumn="0" w:oddVBand="0" w:evenVBand="0" w:oddHBand="0" w:evenHBand="0" w:firstRowFirstColumn="0" w:firstRowLastColumn="0" w:lastRowFirstColumn="0" w:lastRowLastColumn="0"/>
            </w:pPr>
            <w:r w:rsidRPr="00CD3F50">
              <w:t>Male n (%)</w:t>
            </w:r>
          </w:p>
        </w:tc>
        <w:tc>
          <w:tcPr>
            <w:tcW w:w="1701" w:type="dxa"/>
            <w:hideMark/>
          </w:tcPr>
          <w:p w14:paraId="296D3A6A" w14:textId="77777777" w:rsidR="00CD3F50" w:rsidRPr="00CD3F50" w:rsidRDefault="00CD3F50" w:rsidP="005B4D3B">
            <w:pPr>
              <w:spacing w:line="278" w:lineRule="auto"/>
              <w:jc w:val="both"/>
              <w:cnfStyle w:val="100000000000" w:firstRow="1" w:lastRow="0" w:firstColumn="0" w:lastColumn="0" w:oddVBand="0" w:evenVBand="0" w:oddHBand="0" w:evenHBand="0" w:firstRowFirstColumn="0" w:firstRowLastColumn="0" w:lastRowFirstColumn="0" w:lastRowLastColumn="0"/>
            </w:pPr>
            <w:r w:rsidRPr="00CD3F50">
              <w:t>Female n (%)</w:t>
            </w:r>
          </w:p>
        </w:tc>
        <w:tc>
          <w:tcPr>
            <w:tcW w:w="1088" w:type="dxa"/>
            <w:hideMark/>
          </w:tcPr>
          <w:p w14:paraId="5E66B971" w14:textId="77777777" w:rsidR="00CD3F50" w:rsidRPr="00CD3F50" w:rsidRDefault="00CD3F50" w:rsidP="005B4D3B">
            <w:pPr>
              <w:spacing w:line="278" w:lineRule="auto"/>
              <w:jc w:val="both"/>
              <w:cnfStyle w:val="100000000000" w:firstRow="1" w:lastRow="0" w:firstColumn="0" w:lastColumn="0" w:oddVBand="0" w:evenVBand="0" w:oddHBand="0" w:evenHBand="0" w:firstRowFirstColumn="0" w:firstRowLastColumn="0" w:lastRowFirstColumn="0" w:lastRowLastColumn="0"/>
            </w:pPr>
            <w:r w:rsidRPr="00CD3F50">
              <w:t>Total n</w:t>
            </w:r>
          </w:p>
        </w:tc>
      </w:tr>
      <w:tr w:rsidR="005B4D3B" w:rsidRPr="00CD3F50" w14:paraId="71771C28" w14:textId="77777777" w:rsidTr="00506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D8DDE42" w14:textId="77777777" w:rsidR="00CD3F50" w:rsidRPr="00CD3F50" w:rsidRDefault="00CD3F50" w:rsidP="005B4D3B">
            <w:pPr>
              <w:spacing w:line="278" w:lineRule="auto"/>
              <w:jc w:val="both"/>
            </w:pPr>
            <w:r w:rsidRPr="00CD3F50">
              <w:t>T1 (Sept–Oct)</w:t>
            </w:r>
          </w:p>
        </w:tc>
        <w:tc>
          <w:tcPr>
            <w:tcW w:w="3119" w:type="dxa"/>
            <w:hideMark/>
          </w:tcPr>
          <w:p w14:paraId="269462C5" w14:textId="77777777" w:rsidR="00CD3F50" w:rsidRPr="00CD3F50" w:rsidRDefault="00CD3F50" w:rsidP="005B4D3B">
            <w:pPr>
              <w:spacing w:line="278" w:lineRule="auto"/>
              <w:jc w:val="both"/>
              <w:cnfStyle w:val="000000100000" w:firstRow="0" w:lastRow="0" w:firstColumn="0" w:lastColumn="0" w:oddVBand="0" w:evenVBand="0" w:oddHBand="1" w:evenHBand="0" w:firstRowFirstColumn="0" w:firstRowLastColumn="0" w:lastRowFirstColumn="0" w:lastRowLastColumn="0"/>
            </w:pPr>
            <w:r w:rsidRPr="00CD3F50">
              <w:t>Vocational Contextualised (VC) group</w:t>
            </w:r>
          </w:p>
        </w:tc>
        <w:tc>
          <w:tcPr>
            <w:tcW w:w="1417" w:type="dxa"/>
            <w:hideMark/>
          </w:tcPr>
          <w:p w14:paraId="259DDC69"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97 (68.8)</w:t>
            </w:r>
          </w:p>
        </w:tc>
        <w:tc>
          <w:tcPr>
            <w:tcW w:w="1701" w:type="dxa"/>
            <w:hideMark/>
          </w:tcPr>
          <w:p w14:paraId="341D6E81"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44 (31.2)</w:t>
            </w:r>
          </w:p>
        </w:tc>
        <w:tc>
          <w:tcPr>
            <w:tcW w:w="1088" w:type="dxa"/>
            <w:hideMark/>
          </w:tcPr>
          <w:p w14:paraId="682513D7"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141</w:t>
            </w:r>
          </w:p>
        </w:tc>
      </w:tr>
      <w:tr w:rsidR="005B4D3B" w:rsidRPr="00CD3F50" w14:paraId="2FC13EB1" w14:textId="77777777" w:rsidTr="00506371">
        <w:tc>
          <w:tcPr>
            <w:cnfStyle w:val="001000000000" w:firstRow="0" w:lastRow="0" w:firstColumn="1" w:lastColumn="0" w:oddVBand="0" w:evenVBand="0" w:oddHBand="0" w:evenHBand="0" w:firstRowFirstColumn="0" w:firstRowLastColumn="0" w:lastRowFirstColumn="0" w:lastRowLastColumn="0"/>
            <w:tcW w:w="1701" w:type="dxa"/>
            <w:hideMark/>
          </w:tcPr>
          <w:p w14:paraId="018030CF" w14:textId="77777777" w:rsidR="00CD3F50" w:rsidRPr="00CD3F50" w:rsidRDefault="00CD3F50" w:rsidP="005B4D3B">
            <w:pPr>
              <w:spacing w:line="278" w:lineRule="auto"/>
              <w:jc w:val="both"/>
            </w:pPr>
          </w:p>
        </w:tc>
        <w:tc>
          <w:tcPr>
            <w:tcW w:w="3119" w:type="dxa"/>
            <w:hideMark/>
          </w:tcPr>
          <w:p w14:paraId="2DDD157F" w14:textId="77777777" w:rsidR="00CD3F50" w:rsidRPr="00CD3F50" w:rsidRDefault="00CD3F50" w:rsidP="005B4D3B">
            <w:pPr>
              <w:spacing w:line="278" w:lineRule="auto"/>
              <w:jc w:val="both"/>
              <w:cnfStyle w:val="000000000000" w:firstRow="0" w:lastRow="0" w:firstColumn="0" w:lastColumn="0" w:oddVBand="0" w:evenVBand="0" w:oddHBand="0" w:evenHBand="0" w:firstRowFirstColumn="0" w:firstRowLastColumn="0" w:lastRowFirstColumn="0" w:lastRowLastColumn="0"/>
            </w:pPr>
            <w:r w:rsidRPr="00CD3F50">
              <w:t>Comparison Group (CG)</w:t>
            </w:r>
          </w:p>
        </w:tc>
        <w:tc>
          <w:tcPr>
            <w:tcW w:w="1417" w:type="dxa"/>
            <w:hideMark/>
          </w:tcPr>
          <w:p w14:paraId="158E67A2"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43 (30.7)</w:t>
            </w:r>
          </w:p>
        </w:tc>
        <w:tc>
          <w:tcPr>
            <w:tcW w:w="1701" w:type="dxa"/>
            <w:hideMark/>
          </w:tcPr>
          <w:p w14:paraId="132A5D33"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97 (69.3)</w:t>
            </w:r>
          </w:p>
        </w:tc>
        <w:tc>
          <w:tcPr>
            <w:tcW w:w="1088" w:type="dxa"/>
            <w:hideMark/>
          </w:tcPr>
          <w:p w14:paraId="5B463738"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140</w:t>
            </w:r>
          </w:p>
        </w:tc>
      </w:tr>
      <w:tr w:rsidR="005B4D3B" w:rsidRPr="00CD3F50" w14:paraId="783DFA82" w14:textId="77777777" w:rsidTr="00506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238ED848" w14:textId="77777777" w:rsidR="00CD3F50" w:rsidRPr="00CD3F50" w:rsidRDefault="00CD3F50" w:rsidP="005B4D3B">
            <w:pPr>
              <w:spacing w:line="278" w:lineRule="auto"/>
              <w:jc w:val="both"/>
            </w:pPr>
          </w:p>
        </w:tc>
        <w:tc>
          <w:tcPr>
            <w:tcW w:w="3119" w:type="dxa"/>
            <w:hideMark/>
          </w:tcPr>
          <w:p w14:paraId="3A0BFCAD" w14:textId="77777777" w:rsidR="00CD3F50" w:rsidRPr="00CD3F50" w:rsidRDefault="00CD3F50" w:rsidP="005B4D3B">
            <w:pPr>
              <w:spacing w:line="278" w:lineRule="auto"/>
              <w:jc w:val="both"/>
              <w:cnfStyle w:val="000000100000" w:firstRow="0" w:lastRow="0" w:firstColumn="0" w:lastColumn="0" w:oddVBand="0" w:evenVBand="0" w:oddHBand="1" w:evenHBand="0" w:firstRowFirstColumn="0" w:firstRowLastColumn="0" w:lastRowFirstColumn="0" w:lastRowLastColumn="0"/>
            </w:pPr>
            <w:r w:rsidRPr="00CD3F50">
              <w:rPr>
                <w:b/>
                <w:bCs/>
              </w:rPr>
              <w:t>Total</w:t>
            </w:r>
          </w:p>
        </w:tc>
        <w:tc>
          <w:tcPr>
            <w:tcW w:w="1417" w:type="dxa"/>
            <w:hideMark/>
          </w:tcPr>
          <w:p w14:paraId="78E94D5D"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140</w:t>
            </w:r>
          </w:p>
        </w:tc>
        <w:tc>
          <w:tcPr>
            <w:tcW w:w="1701" w:type="dxa"/>
            <w:hideMark/>
          </w:tcPr>
          <w:p w14:paraId="2949E4CB"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141</w:t>
            </w:r>
          </w:p>
        </w:tc>
        <w:tc>
          <w:tcPr>
            <w:tcW w:w="1088" w:type="dxa"/>
            <w:hideMark/>
          </w:tcPr>
          <w:p w14:paraId="12DB0AE7"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281</w:t>
            </w:r>
          </w:p>
        </w:tc>
      </w:tr>
      <w:tr w:rsidR="005B4D3B" w:rsidRPr="00CD3F50" w14:paraId="5401BD3E" w14:textId="77777777" w:rsidTr="00506371">
        <w:tc>
          <w:tcPr>
            <w:cnfStyle w:val="001000000000" w:firstRow="0" w:lastRow="0" w:firstColumn="1" w:lastColumn="0" w:oddVBand="0" w:evenVBand="0" w:oddHBand="0" w:evenHBand="0" w:firstRowFirstColumn="0" w:firstRowLastColumn="0" w:lastRowFirstColumn="0" w:lastRowLastColumn="0"/>
            <w:tcW w:w="1701" w:type="dxa"/>
            <w:hideMark/>
          </w:tcPr>
          <w:p w14:paraId="7CC04F13" w14:textId="77777777" w:rsidR="00CD3F50" w:rsidRPr="00CD3F50" w:rsidRDefault="00CD3F50" w:rsidP="005B4D3B">
            <w:pPr>
              <w:spacing w:line="278" w:lineRule="auto"/>
              <w:jc w:val="both"/>
            </w:pPr>
            <w:r w:rsidRPr="00CD3F50">
              <w:t>T2 (May–Jun)</w:t>
            </w:r>
          </w:p>
        </w:tc>
        <w:tc>
          <w:tcPr>
            <w:tcW w:w="3119" w:type="dxa"/>
            <w:hideMark/>
          </w:tcPr>
          <w:p w14:paraId="78A683DC" w14:textId="77777777" w:rsidR="00CD3F50" w:rsidRPr="00CD3F50" w:rsidRDefault="00CD3F50" w:rsidP="005B4D3B">
            <w:pPr>
              <w:spacing w:line="278" w:lineRule="auto"/>
              <w:jc w:val="both"/>
              <w:cnfStyle w:val="000000000000" w:firstRow="0" w:lastRow="0" w:firstColumn="0" w:lastColumn="0" w:oddVBand="0" w:evenVBand="0" w:oddHBand="0" w:evenHBand="0" w:firstRowFirstColumn="0" w:firstRowLastColumn="0" w:lastRowFirstColumn="0" w:lastRowLastColumn="0"/>
            </w:pPr>
            <w:r w:rsidRPr="00CD3F50">
              <w:t>Vocational Contextualised (VC) group</w:t>
            </w:r>
          </w:p>
        </w:tc>
        <w:tc>
          <w:tcPr>
            <w:tcW w:w="1417" w:type="dxa"/>
            <w:hideMark/>
          </w:tcPr>
          <w:p w14:paraId="271D87C8"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93 (68.4)</w:t>
            </w:r>
          </w:p>
        </w:tc>
        <w:tc>
          <w:tcPr>
            <w:tcW w:w="1701" w:type="dxa"/>
            <w:hideMark/>
          </w:tcPr>
          <w:p w14:paraId="32EEDD0C"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43 (31.6)</w:t>
            </w:r>
          </w:p>
        </w:tc>
        <w:tc>
          <w:tcPr>
            <w:tcW w:w="1088" w:type="dxa"/>
            <w:hideMark/>
          </w:tcPr>
          <w:p w14:paraId="10A2E396"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136</w:t>
            </w:r>
          </w:p>
        </w:tc>
      </w:tr>
      <w:tr w:rsidR="005B4D3B" w:rsidRPr="00CD3F50" w14:paraId="532CB6EB" w14:textId="77777777" w:rsidTr="00506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1C5E5DD" w14:textId="77777777" w:rsidR="00CD3F50" w:rsidRPr="00CD3F50" w:rsidRDefault="00CD3F50" w:rsidP="005B4D3B">
            <w:pPr>
              <w:spacing w:line="278" w:lineRule="auto"/>
              <w:jc w:val="both"/>
            </w:pPr>
          </w:p>
        </w:tc>
        <w:tc>
          <w:tcPr>
            <w:tcW w:w="3119" w:type="dxa"/>
            <w:hideMark/>
          </w:tcPr>
          <w:p w14:paraId="0010302C" w14:textId="77777777" w:rsidR="00CD3F50" w:rsidRPr="00CD3F50" w:rsidRDefault="00CD3F50" w:rsidP="005B4D3B">
            <w:pPr>
              <w:spacing w:line="278" w:lineRule="auto"/>
              <w:jc w:val="both"/>
              <w:cnfStyle w:val="000000100000" w:firstRow="0" w:lastRow="0" w:firstColumn="0" w:lastColumn="0" w:oddVBand="0" w:evenVBand="0" w:oddHBand="1" w:evenHBand="0" w:firstRowFirstColumn="0" w:firstRowLastColumn="0" w:lastRowFirstColumn="0" w:lastRowLastColumn="0"/>
            </w:pPr>
            <w:r w:rsidRPr="00CD3F50">
              <w:t>Comparison Group (CG)</w:t>
            </w:r>
          </w:p>
        </w:tc>
        <w:tc>
          <w:tcPr>
            <w:tcW w:w="1417" w:type="dxa"/>
            <w:hideMark/>
          </w:tcPr>
          <w:p w14:paraId="0814B625"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33 (64.7)</w:t>
            </w:r>
          </w:p>
        </w:tc>
        <w:tc>
          <w:tcPr>
            <w:tcW w:w="1701" w:type="dxa"/>
            <w:hideMark/>
          </w:tcPr>
          <w:p w14:paraId="1D9C58BA"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18 (35.3)</w:t>
            </w:r>
          </w:p>
        </w:tc>
        <w:tc>
          <w:tcPr>
            <w:tcW w:w="1088" w:type="dxa"/>
            <w:hideMark/>
          </w:tcPr>
          <w:p w14:paraId="120489F2" w14:textId="77777777" w:rsidR="00CD3F50" w:rsidRPr="00CD3F50" w:rsidRDefault="00CD3F50" w:rsidP="00D641A7">
            <w:pPr>
              <w:spacing w:line="278" w:lineRule="auto"/>
              <w:jc w:val="center"/>
              <w:cnfStyle w:val="000000100000" w:firstRow="0" w:lastRow="0" w:firstColumn="0" w:lastColumn="0" w:oddVBand="0" w:evenVBand="0" w:oddHBand="1" w:evenHBand="0" w:firstRowFirstColumn="0" w:firstRowLastColumn="0" w:lastRowFirstColumn="0" w:lastRowLastColumn="0"/>
            </w:pPr>
            <w:r w:rsidRPr="00CD3F50">
              <w:t>51</w:t>
            </w:r>
          </w:p>
        </w:tc>
      </w:tr>
      <w:tr w:rsidR="005B4D3B" w:rsidRPr="00CD3F50" w14:paraId="1B51A27B" w14:textId="77777777" w:rsidTr="00506371">
        <w:tc>
          <w:tcPr>
            <w:cnfStyle w:val="001000000000" w:firstRow="0" w:lastRow="0" w:firstColumn="1" w:lastColumn="0" w:oddVBand="0" w:evenVBand="0" w:oddHBand="0" w:evenHBand="0" w:firstRowFirstColumn="0" w:firstRowLastColumn="0" w:lastRowFirstColumn="0" w:lastRowLastColumn="0"/>
            <w:tcW w:w="1701" w:type="dxa"/>
            <w:hideMark/>
          </w:tcPr>
          <w:p w14:paraId="75724370" w14:textId="77777777" w:rsidR="00CD3F50" w:rsidRPr="00CD3F50" w:rsidRDefault="00CD3F50" w:rsidP="005B4D3B">
            <w:pPr>
              <w:spacing w:line="278" w:lineRule="auto"/>
              <w:jc w:val="both"/>
            </w:pPr>
          </w:p>
        </w:tc>
        <w:tc>
          <w:tcPr>
            <w:tcW w:w="3119" w:type="dxa"/>
            <w:hideMark/>
          </w:tcPr>
          <w:p w14:paraId="3B92195F" w14:textId="77777777" w:rsidR="00CD3F50" w:rsidRPr="00CD3F50" w:rsidRDefault="00CD3F50" w:rsidP="005B4D3B">
            <w:pPr>
              <w:spacing w:line="278" w:lineRule="auto"/>
              <w:jc w:val="both"/>
              <w:cnfStyle w:val="000000000000" w:firstRow="0" w:lastRow="0" w:firstColumn="0" w:lastColumn="0" w:oddVBand="0" w:evenVBand="0" w:oddHBand="0" w:evenHBand="0" w:firstRowFirstColumn="0" w:firstRowLastColumn="0" w:lastRowFirstColumn="0" w:lastRowLastColumn="0"/>
            </w:pPr>
            <w:r w:rsidRPr="00CD3F50">
              <w:rPr>
                <w:b/>
                <w:bCs/>
              </w:rPr>
              <w:t>Total</w:t>
            </w:r>
          </w:p>
        </w:tc>
        <w:tc>
          <w:tcPr>
            <w:tcW w:w="1417" w:type="dxa"/>
            <w:hideMark/>
          </w:tcPr>
          <w:p w14:paraId="6EE42AC0"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126</w:t>
            </w:r>
          </w:p>
        </w:tc>
        <w:tc>
          <w:tcPr>
            <w:tcW w:w="1701" w:type="dxa"/>
            <w:hideMark/>
          </w:tcPr>
          <w:p w14:paraId="4248EE67"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61</w:t>
            </w:r>
          </w:p>
        </w:tc>
        <w:tc>
          <w:tcPr>
            <w:tcW w:w="1088" w:type="dxa"/>
            <w:hideMark/>
          </w:tcPr>
          <w:p w14:paraId="02EEB991" w14:textId="77777777" w:rsidR="00CD3F50" w:rsidRPr="00CD3F50" w:rsidRDefault="00CD3F50" w:rsidP="00D641A7">
            <w:pPr>
              <w:spacing w:line="278" w:lineRule="auto"/>
              <w:jc w:val="center"/>
              <w:cnfStyle w:val="000000000000" w:firstRow="0" w:lastRow="0" w:firstColumn="0" w:lastColumn="0" w:oddVBand="0" w:evenVBand="0" w:oddHBand="0" w:evenHBand="0" w:firstRowFirstColumn="0" w:firstRowLastColumn="0" w:lastRowFirstColumn="0" w:lastRowLastColumn="0"/>
            </w:pPr>
            <w:r w:rsidRPr="00CD3F50">
              <w:t>187</w:t>
            </w:r>
          </w:p>
        </w:tc>
      </w:tr>
    </w:tbl>
    <w:p w14:paraId="11D2DDC5" w14:textId="439622B2" w:rsidR="00506371" w:rsidRPr="00506371" w:rsidRDefault="00D641A7" w:rsidP="00506371">
      <w:pPr>
        <w:spacing w:before="240"/>
        <w:jc w:val="both"/>
        <w:rPr>
          <w:i/>
          <w:iCs/>
          <w:sz w:val="22"/>
          <w:szCs w:val="22"/>
        </w:rPr>
      </w:pPr>
      <w:r w:rsidRPr="00C42417">
        <w:rPr>
          <w:b/>
          <w:bCs/>
          <w:i/>
          <w:iCs/>
          <w:sz w:val="22"/>
          <w:szCs w:val="22"/>
        </w:rPr>
        <w:t>Note.</w:t>
      </w:r>
      <w:r w:rsidRPr="00506371">
        <w:rPr>
          <w:i/>
          <w:iCs/>
          <w:sz w:val="22"/>
          <w:szCs w:val="22"/>
        </w:rPr>
        <w:t xml:space="preserve"> The</w:t>
      </w:r>
      <w:r w:rsidR="00506371" w:rsidRPr="00506371">
        <w:rPr>
          <w:i/>
          <w:iCs/>
          <w:sz w:val="22"/>
          <w:szCs w:val="22"/>
        </w:rPr>
        <w:t xml:space="preserve"> </w:t>
      </w:r>
      <w:r w:rsidR="00506371" w:rsidRPr="00374E1D">
        <w:rPr>
          <w:i/>
          <w:iCs/>
          <w:sz w:val="22"/>
          <w:szCs w:val="22"/>
        </w:rPr>
        <w:t>Vocational Contextualised (VC) group</w:t>
      </w:r>
      <w:r w:rsidR="00506371" w:rsidRPr="00506371">
        <w:rPr>
          <w:i/>
          <w:iCs/>
          <w:sz w:val="22"/>
          <w:szCs w:val="22"/>
        </w:rPr>
        <w:t xml:space="preserve"> comprised learners enrolled in </w:t>
      </w:r>
      <w:r w:rsidR="00506371" w:rsidRPr="00374E1D">
        <w:rPr>
          <w:i/>
          <w:iCs/>
          <w:sz w:val="22"/>
          <w:szCs w:val="22"/>
        </w:rPr>
        <w:t>Core Mathematics</w:t>
      </w:r>
      <w:r w:rsidR="00506371" w:rsidRPr="00506371">
        <w:rPr>
          <w:i/>
          <w:iCs/>
          <w:sz w:val="22"/>
          <w:szCs w:val="22"/>
        </w:rPr>
        <w:t xml:space="preserve"> and </w:t>
      </w:r>
      <w:r w:rsidR="00C03F87">
        <w:rPr>
          <w:i/>
          <w:iCs/>
          <w:sz w:val="22"/>
          <w:szCs w:val="22"/>
        </w:rPr>
        <w:t>V</w:t>
      </w:r>
      <w:r w:rsidR="00506371" w:rsidRPr="00C03F87">
        <w:rPr>
          <w:i/>
          <w:iCs/>
          <w:sz w:val="22"/>
          <w:szCs w:val="22"/>
        </w:rPr>
        <w:t xml:space="preserve">ocational </w:t>
      </w:r>
      <w:r w:rsidR="00C03F87">
        <w:rPr>
          <w:i/>
          <w:iCs/>
          <w:sz w:val="22"/>
          <w:szCs w:val="22"/>
        </w:rPr>
        <w:t>P</w:t>
      </w:r>
      <w:r w:rsidR="00506371" w:rsidRPr="00C03F87">
        <w:rPr>
          <w:i/>
          <w:iCs/>
          <w:sz w:val="22"/>
          <w:szCs w:val="22"/>
        </w:rPr>
        <w:t>re</w:t>
      </w:r>
      <w:r w:rsidR="00506371" w:rsidRPr="00C03F87">
        <w:rPr>
          <w:i/>
          <w:iCs/>
          <w:sz w:val="22"/>
          <w:szCs w:val="22"/>
        </w:rPr>
        <w:noBreakHyphen/>
        <w:t>university programmes</w:t>
      </w:r>
      <w:r w:rsidR="00506371" w:rsidRPr="00506371">
        <w:rPr>
          <w:i/>
          <w:iCs/>
          <w:sz w:val="22"/>
          <w:szCs w:val="22"/>
        </w:rPr>
        <w:t xml:space="preserve">, both of which emphasise contextualised quantitative reasoning. The </w:t>
      </w:r>
      <w:r w:rsidR="00506371" w:rsidRPr="00381462">
        <w:rPr>
          <w:i/>
          <w:iCs/>
          <w:sz w:val="22"/>
          <w:szCs w:val="22"/>
        </w:rPr>
        <w:t>Comparison Group (CG)</w:t>
      </w:r>
      <w:r w:rsidR="00506371" w:rsidRPr="00506371">
        <w:rPr>
          <w:i/>
          <w:iCs/>
          <w:sz w:val="22"/>
          <w:szCs w:val="22"/>
        </w:rPr>
        <w:t xml:space="preserve"> comprised learners enrolled in </w:t>
      </w:r>
      <w:r w:rsidR="00506371" w:rsidRPr="00381462">
        <w:rPr>
          <w:i/>
          <w:iCs/>
          <w:sz w:val="22"/>
          <w:szCs w:val="22"/>
        </w:rPr>
        <w:t>AS</w:t>
      </w:r>
      <w:r w:rsidR="00506371" w:rsidRPr="00381462">
        <w:rPr>
          <w:i/>
          <w:iCs/>
          <w:sz w:val="22"/>
          <w:szCs w:val="22"/>
        </w:rPr>
        <w:noBreakHyphen/>
        <w:t>level Mathematics</w:t>
      </w:r>
      <w:r w:rsidR="00506371" w:rsidRPr="00506371">
        <w:rPr>
          <w:i/>
          <w:iCs/>
          <w:sz w:val="22"/>
          <w:szCs w:val="22"/>
        </w:rPr>
        <w:t>, which follows a more traditional academic mathematics curriculum. Percentages refer to proportions within each instructional group at each data</w:t>
      </w:r>
      <w:r w:rsidR="00506371" w:rsidRPr="00506371">
        <w:rPr>
          <w:i/>
          <w:iCs/>
          <w:sz w:val="22"/>
          <w:szCs w:val="22"/>
        </w:rPr>
        <w:noBreakHyphen/>
        <w:t xml:space="preserve">collection point. Attrition between T1 and T2 was primarily due to absence, timetable changes, or course withdrawal rather than selective exclusion based on performance. Longitudinal analyses reported in the paper used a matched sample of </w:t>
      </w:r>
      <w:r w:rsidR="00506371" w:rsidRPr="00381462">
        <w:rPr>
          <w:i/>
          <w:iCs/>
          <w:sz w:val="22"/>
          <w:szCs w:val="22"/>
        </w:rPr>
        <w:t>182 learners</w:t>
      </w:r>
      <w:r w:rsidR="00506371" w:rsidRPr="00506371">
        <w:rPr>
          <w:i/>
          <w:iCs/>
          <w:sz w:val="22"/>
          <w:szCs w:val="22"/>
        </w:rPr>
        <w:t xml:space="preserve"> who completed the assessment at both data</w:t>
      </w:r>
      <w:r w:rsidR="00506371" w:rsidRPr="00506371">
        <w:rPr>
          <w:i/>
          <w:iCs/>
          <w:sz w:val="22"/>
          <w:szCs w:val="22"/>
        </w:rPr>
        <w:noBreakHyphen/>
        <w:t>collection points</w:t>
      </w:r>
    </w:p>
    <w:p w14:paraId="4AFF7297" w14:textId="67FA4224" w:rsidR="00C42417" w:rsidRPr="00C42417" w:rsidRDefault="009D35CF" w:rsidP="00C42417">
      <w:pPr>
        <w:rPr>
          <w:b/>
          <w:bCs/>
        </w:rPr>
      </w:pPr>
      <w:r>
        <w:rPr>
          <w:b/>
          <w:bCs/>
        </w:rPr>
        <w:t>6.3</w:t>
      </w:r>
      <w:r w:rsidR="00501EE8">
        <w:rPr>
          <w:b/>
          <w:bCs/>
        </w:rPr>
        <w:t xml:space="preserve"> </w:t>
      </w:r>
      <w:r w:rsidR="00C42417" w:rsidRPr="00C42417">
        <w:rPr>
          <w:b/>
          <w:bCs/>
        </w:rPr>
        <w:t>Analytical relevance notes</w:t>
      </w:r>
    </w:p>
    <w:p w14:paraId="03C1EEBB" w14:textId="3373DF8E" w:rsidR="00C42417" w:rsidRDefault="00C42417" w:rsidP="008F1B76">
      <w:pPr>
        <w:jc w:val="both"/>
      </w:pPr>
      <w:r w:rsidRPr="00C42417">
        <w:t xml:space="preserve">The participant information reported in this Online Resource supports </w:t>
      </w:r>
      <w:r w:rsidRPr="000E1AA8">
        <w:rPr>
          <w:i/>
          <w:iCs/>
        </w:rPr>
        <w:t>contextual understanding</w:t>
      </w:r>
      <w:r w:rsidRPr="00C42417">
        <w:t xml:space="preserve"> of the dataset but is not required for interpreting the central theoretical argument or empirical findings. All inferential analyses and construct</w:t>
      </w:r>
      <w:r w:rsidRPr="00C42417">
        <w:noBreakHyphen/>
        <w:t>validation results are reported and interpreted fully in the main text.</w:t>
      </w:r>
    </w:p>
    <w:sectPr w:rsidR="00C4241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09198" w14:textId="77777777" w:rsidR="00CB4F3E" w:rsidRDefault="00CB4F3E" w:rsidP="00471195">
      <w:pPr>
        <w:spacing w:after="0" w:line="240" w:lineRule="auto"/>
      </w:pPr>
      <w:r>
        <w:separator/>
      </w:r>
    </w:p>
  </w:endnote>
  <w:endnote w:type="continuationSeparator" w:id="0">
    <w:p w14:paraId="1F7DAB77" w14:textId="77777777" w:rsidR="00CB4F3E" w:rsidRDefault="00CB4F3E" w:rsidP="0047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67488"/>
      <w:docPartObj>
        <w:docPartGallery w:val="Page Numbers (Bottom of Page)"/>
        <w:docPartUnique/>
      </w:docPartObj>
    </w:sdtPr>
    <w:sdtEndPr>
      <w:rPr>
        <w:noProof/>
      </w:rPr>
    </w:sdtEndPr>
    <w:sdtContent>
      <w:p w14:paraId="67F3832E" w14:textId="303B8B2A" w:rsidR="00471195" w:rsidRDefault="00471195">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2</w:t>
        </w:r>
      </w:p>
    </w:sdtContent>
  </w:sdt>
  <w:p w14:paraId="2FF19DED" w14:textId="77777777" w:rsidR="00471195" w:rsidRDefault="00471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A39C" w14:textId="77777777" w:rsidR="00CB4F3E" w:rsidRDefault="00CB4F3E" w:rsidP="00471195">
      <w:pPr>
        <w:spacing w:after="0" w:line="240" w:lineRule="auto"/>
      </w:pPr>
      <w:r>
        <w:separator/>
      </w:r>
    </w:p>
  </w:footnote>
  <w:footnote w:type="continuationSeparator" w:id="0">
    <w:p w14:paraId="68183AC5" w14:textId="77777777" w:rsidR="00CB4F3E" w:rsidRDefault="00CB4F3E" w:rsidP="00471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042F7"/>
    <w:multiLevelType w:val="multilevel"/>
    <w:tmpl w:val="496C13A0"/>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3C60C77"/>
    <w:multiLevelType w:val="multilevel"/>
    <w:tmpl w:val="496C13A0"/>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546256603">
    <w:abstractNumId w:val="0"/>
  </w:num>
  <w:num w:numId="2" w16cid:durableId="1622103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17"/>
    <w:rsid w:val="000E1AA8"/>
    <w:rsid w:val="0011390F"/>
    <w:rsid w:val="001756AB"/>
    <w:rsid w:val="001872B5"/>
    <w:rsid w:val="003677FB"/>
    <w:rsid w:val="00374E1D"/>
    <w:rsid w:val="00381462"/>
    <w:rsid w:val="00471195"/>
    <w:rsid w:val="00501EE8"/>
    <w:rsid w:val="00506371"/>
    <w:rsid w:val="005A44AA"/>
    <w:rsid w:val="005B4D3B"/>
    <w:rsid w:val="006022EC"/>
    <w:rsid w:val="00692138"/>
    <w:rsid w:val="00726000"/>
    <w:rsid w:val="007E7151"/>
    <w:rsid w:val="008F1B76"/>
    <w:rsid w:val="009D35CF"/>
    <w:rsid w:val="00A161B6"/>
    <w:rsid w:val="00A55DF2"/>
    <w:rsid w:val="00B549BF"/>
    <w:rsid w:val="00BF51F6"/>
    <w:rsid w:val="00C03F87"/>
    <w:rsid w:val="00C42417"/>
    <w:rsid w:val="00CB4F3E"/>
    <w:rsid w:val="00CD3F50"/>
    <w:rsid w:val="00CE1596"/>
    <w:rsid w:val="00D52776"/>
    <w:rsid w:val="00D641A7"/>
    <w:rsid w:val="00F46269"/>
    <w:rsid w:val="00FA0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0B307"/>
  <w15:chartTrackingRefBased/>
  <w15:docId w15:val="{29FF972D-94E7-44C3-9E53-27AB917D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4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417"/>
    <w:rPr>
      <w:rFonts w:eastAsiaTheme="majorEastAsia" w:cstheme="majorBidi"/>
      <w:color w:val="272727" w:themeColor="text1" w:themeTint="D8"/>
    </w:rPr>
  </w:style>
  <w:style w:type="paragraph" w:styleId="Title">
    <w:name w:val="Title"/>
    <w:basedOn w:val="Normal"/>
    <w:next w:val="Normal"/>
    <w:link w:val="TitleChar"/>
    <w:uiPriority w:val="10"/>
    <w:qFormat/>
    <w:rsid w:val="00C42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417"/>
    <w:pPr>
      <w:spacing w:before="160"/>
      <w:jc w:val="center"/>
    </w:pPr>
    <w:rPr>
      <w:i/>
      <w:iCs/>
      <w:color w:val="404040" w:themeColor="text1" w:themeTint="BF"/>
    </w:rPr>
  </w:style>
  <w:style w:type="character" w:customStyle="1" w:styleId="QuoteChar">
    <w:name w:val="Quote Char"/>
    <w:basedOn w:val="DefaultParagraphFont"/>
    <w:link w:val="Quote"/>
    <w:uiPriority w:val="29"/>
    <w:rsid w:val="00C42417"/>
    <w:rPr>
      <w:i/>
      <w:iCs/>
      <w:color w:val="404040" w:themeColor="text1" w:themeTint="BF"/>
    </w:rPr>
  </w:style>
  <w:style w:type="paragraph" w:styleId="ListParagraph">
    <w:name w:val="List Paragraph"/>
    <w:basedOn w:val="Normal"/>
    <w:uiPriority w:val="34"/>
    <w:qFormat/>
    <w:rsid w:val="00C42417"/>
    <w:pPr>
      <w:ind w:left="720"/>
      <w:contextualSpacing/>
    </w:pPr>
  </w:style>
  <w:style w:type="character" w:styleId="IntenseEmphasis">
    <w:name w:val="Intense Emphasis"/>
    <w:basedOn w:val="DefaultParagraphFont"/>
    <w:uiPriority w:val="21"/>
    <w:qFormat/>
    <w:rsid w:val="00C42417"/>
    <w:rPr>
      <w:i/>
      <w:iCs/>
      <w:color w:val="0F4761" w:themeColor="accent1" w:themeShade="BF"/>
    </w:rPr>
  </w:style>
  <w:style w:type="paragraph" w:styleId="IntenseQuote">
    <w:name w:val="Intense Quote"/>
    <w:basedOn w:val="Normal"/>
    <w:next w:val="Normal"/>
    <w:link w:val="IntenseQuoteChar"/>
    <w:uiPriority w:val="30"/>
    <w:qFormat/>
    <w:rsid w:val="00C42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417"/>
    <w:rPr>
      <w:i/>
      <w:iCs/>
      <w:color w:val="0F4761" w:themeColor="accent1" w:themeShade="BF"/>
    </w:rPr>
  </w:style>
  <w:style w:type="character" w:styleId="IntenseReference">
    <w:name w:val="Intense Reference"/>
    <w:basedOn w:val="DefaultParagraphFont"/>
    <w:uiPriority w:val="32"/>
    <w:qFormat/>
    <w:rsid w:val="00C42417"/>
    <w:rPr>
      <w:b/>
      <w:bCs/>
      <w:smallCaps/>
      <w:color w:val="0F4761" w:themeColor="accent1" w:themeShade="BF"/>
      <w:spacing w:val="5"/>
    </w:rPr>
  </w:style>
  <w:style w:type="table" w:styleId="PlainTable4">
    <w:name w:val="Plain Table 4"/>
    <w:basedOn w:val="TableNormal"/>
    <w:uiPriority w:val="44"/>
    <w:rsid w:val="00C4241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424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71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195"/>
  </w:style>
  <w:style w:type="paragraph" w:styleId="Footer">
    <w:name w:val="footer"/>
    <w:basedOn w:val="Normal"/>
    <w:link w:val="FooterChar"/>
    <w:uiPriority w:val="99"/>
    <w:unhideWhenUsed/>
    <w:rsid w:val="00471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195"/>
  </w:style>
  <w:style w:type="character" w:styleId="Hyperlink">
    <w:name w:val="Hyperlink"/>
    <w:basedOn w:val="DefaultParagraphFont"/>
    <w:uiPriority w:val="99"/>
    <w:unhideWhenUsed/>
    <w:rsid w:val="00F462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omuvwie@hu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90a8197-7b83-4f10-89b9-83189be3835e}" enabled="0" method="" siteId="{490a8197-7b83-4f10-89b9-83189be3835e}" removed="1"/>
</clbl:labelList>
</file>

<file path=docProps/app.xml><?xml version="1.0" encoding="utf-8"?>
<Properties xmlns="http://schemas.openxmlformats.org/officeDocument/2006/extended-properties" xmlns:vt="http://schemas.openxmlformats.org/officeDocument/2006/docPropsVTypes">
  <Template>Normal</Template>
  <TotalTime>83</TotalTime>
  <Pages>2</Pages>
  <Words>376</Words>
  <Characters>2535</Characters>
  <Application>Microsoft Office Word</Application>
  <DocSecurity>0</DocSecurity>
  <Lines>42</Lines>
  <Paragraphs>13</Paragraphs>
  <ScaleCrop>false</ScaleCrop>
  <Company>University of Hull</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Omuvwie</dc:creator>
  <cp:keywords/>
  <dc:description/>
  <cp:lastModifiedBy>Michael Omuvwie</cp:lastModifiedBy>
  <cp:revision>25</cp:revision>
  <dcterms:created xsi:type="dcterms:W3CDTF">2026-04-21T16:01:00Z</dcterms:created>
  <dcterms:modified xsi:type="dcterms:W3CDTF">2026-05-02T10:03:00Z</dcterms:modified>
</cp:coreProperties>
</file>