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048B" w14:textId="02FF7F2D" w:rsidR="00CD788D" w:rsidRDefault="00000000" w:rsidP="00DE0EDA">
      <w:pPr>
        <w:spacing w:after="240" w:line="480" w:lineRule="auto"/>
        <w:jc w:val="center"/>
        <w:rPr>
          <w:rFonts w:hint="eastAsia"/>
        </w:rPr>
      </w:pPr>
      <w:r>
        <w:rPr>
          <w:rFonts w:eastAsia="Times New Roman"/>
          <w:b/>
          <w:bCs/>
          <w:sz w:val="28"/>
          <w:szCs w:val="28"/>
        </w:rPr>
        <w:t>Supplementary Figures</w:t>
      </w:r>
    </w:p>
    <w:p w14:paraId="6A533344" w14:textId="32C44864" w:rsidR="00CD788D" w:rsidRDefault="00404FAD">
      <w:pPr>
        <w:spacing w:after="120" w:line="360" w:lineRule="auto"/>
        <w:jc w:val="center"/>
      </w:pPr>
      <w:r>
        <w:rPr>
          <w:noProof/>
        </w:rPr>
        <w:drawing>
          <wp:inline distT="0" distB="0" distL="0" distR="0" wp14:anchorId="6B018DC1" wp14:editId="672287E5">
            <wp:extent cx="5486400" cy="3657600"/>
            <wp:effectExtent l="0" t="0" r="0" b="0"/>
            <wp:docPr id="16381765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2B1C4" w14:textId="77777777" w:rsidR="00CD788D" w:rsidRDefault="00000000">
      <w:pPr>
        <w:spacing w:line="360" w:lineRule="auto"/>
        <w:jc w:val="both"/>
      </w:pPr>
      <w:r>
        <w:rPr>
          <w:rFonts w:eastAsia="Times New Roman"/>
          <w:b/>
          <w:bCs/>
        </w:rPr>
        <w:t xml:space="preserve">Supplementary Figure S1. </w:t>
      </w:r>
      <w:r>
        <w:rPr>
          <w:rFonts w:eastAsia="Times New Roman"/>
        </w:rPr>
        <w:t>Bootstrap distribution of the area under the receiver operating characteristic curve (AUC) for the primary model (</w:t>
      </w:r>
      <w:proofErr w:type="spellStart"/>
      <w:r>
        <w:rPr>
          <w:rFonts w:eastAsia="Times New Roman"/>
        </w:rPr>
        <w:t>main_no_proxy</w:t>
      </w:r>
      <w:proofErr w:type="spellEnd"/>
      <w:r>
        <w:rPr>
          <w:rFonts w:eastAsia="Times New Roman"/>
        </w:rPr>
        <w:t>). The solid black line indicates the point estimate AUC (0.644). The dashed red lines indicate the 2.5th and 97.5th percentiles of the bootstrap distribution, corresponding to the 95% confidence interval (0.632 to 0.656). Bootstrap resampling was performed 2000 times on the held-out test set (n = 20,354) with replacement.</w:t>
      </w:r>
    </w:p>
    <w:p w14:paraId="57CA5B8F" w14:textId="77777777" w:rsidR="00CD788D" w:rsidRDefault="00CD788D">
      <w:pPr>
        <w:spacing w:line="360" w:lineRule="auto"/>
        <w:jc w:val="both"/>
      </w:pPr>
    </w:p>
    <w:p w14:paraId="09274F00" w14:textId="77777777" w:rsidR="00CD788D" w:rsidRDefault="00000000">
      <w:r>
        <w:br w:type="page"/>
      </w:r>
    </w:p>
    <w:p w14:paraId="440E6281" w14:textId="0E020C62" w:rsidR="00CD788D" w:rsidRDefault="00404FAD">
      <w:pPr>
        <w:spacing w:after="12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640FAD7" wp14:editId="7FA1C392">
            <wp:extent cx="5935980" cy="5181600"/>
            <wp:effectExtent l="0" t="0" r="7620" b="0"/>
            <wp:docPr id="6887252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5CED8" w14:textId="77777777" w:rsidR="00CD788D" w:rsidRDefault="00000000">
      <w:pPr>
        <w:spacing w:line="360" w:lineRule="auto"/>
        <w:jc w:val="both"/>
      </w:pPr>
      <w:r>
        <w:rPr>
          <w:rFonts w:eastAsia="Times New Roman"/>
          <w:b/>
          <w:bCs/>
        </w:rPr>
        <w:t xml:space="preserve">Supplementary Figure S2. </w:t>
      </w:r>
      <w:r>
        <w:rPr>
          <w:rFonts w:eastAsia="Times New Roman"/>
        </w:rPr>
        <w:t>SHAP summary plot (</w:t>
      </w:r>
      <w:proofErr w:type="spellStart"/>
      <w:r>
        <w:rPr>
          <w:rFonts w:eastAsia="Times New Roman"/>
        </w:rPr>
        <w:t>beeswarm</w:t>
      </w:r>
      <w:proofErr w:type="spellEnd"/>
      <w:r>
        <w:rPr>
          <w:rFonts w:eastAsia="Times New Roman"/>
        </w:rPr>
        <w:t>) for the primary model showing the top 20 encoded features ranked by mean absolute SHAP value. Each dot represents a single patient in the test set sample (n = 2000). The horizontal position indicates the SHAP value (log-odds scale), with positive values increasing predicted readmission risk and negative values decreasing it. Color indicates the encoded feature value (red = high, blue = low). Prior inpatient admissions (num__</w:t>
      </w:r>
      <w:proofErr w:type="spellStart"/>
      <w:r>
        <w:rPr>
          <w:rFonts w:eastAsia="Times New Roman"/>
        </w:rPr>
        <w:t>number_inpatient</w:t>
      </w:r>
      <w:proofErr w:type="spellEnd"/>
      <w:r>
        <w:rPr>
          <w:rFonts w:eastAsia="Times New Roman"/>
        </w:rPr>
        <w:t>) exhibited the widest SHAP value range, with higher values consistently associated with increased readmission risk. Note that categorical variables appear as separate one-hot encoded indicators (e.g., cat__</w:t>
      </w:r>
      <w:proofErr w:type="spellStart"/>
      <w:r>
        <w:rPr>
          <w:rFonts w:eastAsia="Times New Roman"/>
        </w:rPr>
        <w:t>gender_Female</w:t>
      </w:r>
      <w:proofErr w:type="spellEnd"/>
      <w:r>
        <w:rPr>
          <w:rFonts w:eastAsia="Times New Roman"/>
        </w:rPr>
        <w:t>, cat__</w:t>
      </w:r>
      <w:proofErr w:type="spellStart"/>
      <w:r>
        <w:rPr>
          <w:rFonts w:eastAsia="Times New Roman"/>
        </w:rPr>
        <w:t>gender_Male</w:t>
      </w:r>
      <w:proofErr w:type="spellEnd"/>
      <w:r>
        <w:rPr>
          <w:rFonts w:eastAsia="Times New Roman"/>
        </w:rPr>
        <w:t>); interpretation should be aggregated to the original variable level.</w:t>
      </w:r>
    </w:p>
    <w:sectPr w:rsidR="00CD788D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A429" w14:textId="77777777" w:rsidR="00091DC9" w:rsidRDefault="00091DC9">
      <w:r>
        <w:separator/>
      </w:r>
    </w:p>
  </w:endnote>
  <w:endnote w:type="continuationSeparator" w:id="0">
    <w:p w14:paraId="58BBFFE1" w14:textId="77777777" w:rsidR="00091DC9" w:rsidRDefault="0009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6BFB" w14:textId="77777777" w:rsidR="00CD788D" w:rsidRDefault="00000000">
    <w:pPr>
      <w:jc w:val="center"/>
    </w:pPr>
    <w:r>
      <w:rPr>
        <w:sz w:val="18"/>
        <w:szCs w:val="18"/>
      </w:rPr>
      <w:fldChar w:fldCharType="begin"/>
    </w:r>
    <w:r>
      <w:rPr>
        <w:rFonts w:eastAsia="Times New Roman"/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04FAD">
      <w:rPr>
        <w:rFonts w:eastAsia="Times New Roman"/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9E6FC" w14:textId="77777777" w:rsidR="00091DC9" w:rsidRDefault="00091DC9">
      <w:r>
        <w:separator/>
      </w:r>
    </w:p>
  </w:footnote>
  <w:footnote w:type="continuationSeparator" w:id="0">
    <w:p w14:paraId="5E1D4BCF" w14:textId="77777777" w:rsidR="00091DC9" w:rsidRDefault="0009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65340"/>
    <w:multiLevelType w:val="hybridMultilevel"/>
    <w:tmpl w:val="D8304B1C"/>
    <w:lvl w:ilvl="0" w:tplc="F74A64B8">
      <w:start w:val="1"/>
      <w:numFmt w:val="bullet"/>
      <w:lvlText w:val="●"/>
      <w:lvlJc w:val="left"/>
      <w:pPr>
        <w:ind w:left="720" w:hanging="360"/>
      </w:pPr>
    </w:lvl>
    <w:lvl w:ilvl="1" w:tplc="87041700">
      <w:start w:val="1"/>
      <w:numFmt w:val="bullet"/>
      <w:lvlText w:val="○"/>
      <w:lvlJc w:val="left"/>
      <w:pPr>
        <w:ind w:left="1440" w:hanging="360"/>
      </w:pPr>
    </w:lvl>
    <w:lvl w:ilvl="2" w:tplc="B0E85D30">
      <w:start w:val="1"/>
      <w:numFmt w:val="bullet"/>
      <w:lvlText w:val="■"/>
      <w:lvlJc w:val="left"/>
      <w:pPr>
        <w:ind w:left="2160" w:hanging="360"/>
      </w:pPr>
    </w:lvl>
    <w:lvl w:ilvl="3" w:tplc="90AEFEDE">
      <w:start w:val="1"/>
      <w:numFmt w:val="bullet"/>
      <w:lvlText w:val="●"/>
      <w:lvlJc w:val="left"/>
      <w:pPr>
        <w:ind w:left="2880" w:hanging="360"/>
      </w:pPr>
    </w:lvl>
    <w:lvl w:ilvl="4" w:tplc="45761F58">
      <w:start w:val="1"/>
      <w:numFmt w:val="bullet"/>
      <w:lvlText w:val="○"/>
      <w:lvlJc w:val="left"/>
      <w:pPr>
        <w:ind w:left="3600" w:hanging="360"/>
      </w:pPr>
    </w:lvl>
    <w:lvl w:ilvl="5" w:tplc="CB94A674">
      <w:start w:val="1"/>
      <w:numFmt w:val="bullet"/>
      <w:lvlText w:val="■"/>
      <w:lvlJc w:val="left"/>
      <w:pPr>
        <w:ind w:left="4320" w:hanging="360"/>
      </w:pPr>
    </w:lvl>
    <w:lvl w:ilvl="6" w:tplc="4A760D7E">
      <w:start w:val="1"/>
      <w:numFmt w:val="bullet"/>
      <w:lvlText w:val="●"/>
      <w:lvlJc w:val="left"/>
      <w:pPr>
        <w:ind w:left="5040" w:hanging="360"/>
      </w:pPr>
    </w:lvl>
    <w:lvl w:ilvl="7" w:tplc="D7462774">
      <w:start w:val="1"/>
      <w:numFmt w:val="bullet"/>
      <w:lvlText w:val="●"/>
      <w:lvlJc w:val="left"/>
      <w:pPr>
        <w:ind w:left="5760" w:hanging="360"/>
      </w:pPr>
    </w:lvl>
    <w:lvl w:ilvl="8" w:tplc="081459A8">
      <w:start w:val="1"/>
      <w:numFmt w:val="bullet"/>
      <w:lvlText w:val="●"/>
      <w:lvlJc w:val="left"/>
      <w:pPr>
        <w:ind w:left="6480" w:hanging="360"/>
      </w:pPr>
    </w:lvl>
  </w:abstractNum>
  <w:num w:numId="1" w16cid:durableId="5672271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8D"/>
    <w:rsid w:val="00091DC9"/>
    <w:rsid w:val="00404FAD"/>
    <w:rsid w:val="009A0971"/>
    <w:rsid w:val="00CD788D"/>
    <w:rsid w:val="00DE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FB51C"/>
  <w15:docId w15:val="{7765B24D-BE68-401F-9D09-30BC01BA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Linno Su</cp:lastModifiedBy>
  <cp:revision>3</cp:revision>
  <dcterms:created xsi:type="dcterms:W3CDTF">2026-04-28T08:09:00Z</dcterms:created>
  <dcterms:modified xsi:type="dcterms:W3CDTF">2026-04-28T08:12:00Z</dcterms:modified>
</cp:coreProperties>
</file>