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831F" w14:textId="77777777" w:rsidR="00B90CB0" w:rsidRPr="00B90CB0" w:rsidRDefault="00B90CB0" w:rsidP="00B90CB0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B90CB0"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14:ligatures w14:val="none"/>
        </w:rPr>
        <w:t>Supplementary Material</w:t>
      </w:r>
    </w:p>
    <w:p w14:paraId="23651CC5" w14:textId="77777777" w:rsidR="00B90CB0" w:rsidRPr="0057547D" w:rsidRDefault="00B90CB0" w:rsidP="00B90CB0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4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Supplemental videos</w:t>
      </w:r>
    </w:p>
    <w:tbl>
      <w:tblPr>
        <w:tblStyle w:val="TableGrid"/>
        <w:tblW w:w="9962" w:type="dxa"/>
        <w:tblInd w:w="-5" w:type="dxa"/>
        <w:tblLook w:val="04A0" w:firstRow="1" w:lastRow="0" w:firstColumn="1" w:lastColumn="0" w:noHBand="0" w:noVBand="1"/>
      </w:tblPr>
      <w:tblGrid>
        <w:gridCol w:w="810"/>
        <w:gridCol w:w="4950"/>
        <w:gridCol w:w="1933"/>
        <w:gridCol w:w="2269"/>
      </w:tblGrid>
      <w:tr w:rsidR="00B90CB0" w:rsidRPr="00B90CB0" w14:paraId="05F29989" w14:textId="77777777" w:rsidTr="00767C53">
        <w:tc>
          <w:tcPr>
            <w:tcW w:w="810" w:type="dxa"/>
          </w:tcPr>
          <w:p w14:paraId="790D899B" w14:textId="77777777" w:rsidR="00B90CB0" w:rsidRPr="00B90CB0" w:rsidRDefault="00B90CB0" w:rsidP="00B90CB0">
            <w:pPr>
              <w:spacing w:line="360" w:lineRule="auto"/>
              <w:rPr>
                <w:b/>
                <w:bCs/>
                <w:sz w:val="20"/>
                <w:szCs w:val="20"/>
                <w14:ligatures w14:val="none"/>
              </w:rPr>
            </w:pPr>
            <w:r w:rsidRPr="00B90CB0">
              <w:rPr>
                <w:b/>
                <w:bCs/>
                <w:sz w:val="20"/>
                <w:szCs w:val="20"/>
                <w14:ligatures w14:val="none"/>
              </w:rPr>
              <w:t>Video</w:t>
            </w:r>
          </w:p>
        </w:tc>
        <w:tc>
          <w:tcPr>
            <w:tcW w:w="4950" w:type="dxa"/>
          </w:tcPr>
          <w:p w14:paraId="1764E98F" w14:textId="77777777" w:rsidR="00B90CB0" w:rsidRPr="00B90CB0" w:rsidRDefault="00B90CB0" w:rsidP="00B90CB0">
            <w:pPr>
              <w:spacing w:line="360" w:lineRule="auto"/>
              <w:rPr>
                <w:b/>
                <w:bCs/>
                <w:sz w:val="20"/>
                <w:szCs w:val="20"/>
                <w14:ligatures w14:val="none"/>
              </w:rPr>
            </w:pPr>
            <w:r w:rsidRPr="00B90CB0">
              <w:rPr>
                <w:b/>
                <w:bCs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1933" w:type="dxa"/>
          </w:tcPr>
          <w:p w14:paraId="1560DC4F" w14:textId="77777777" w:rsidR="00B90CB0" w:rsidRPr="00B90CB0" w:rsidRDefault="00B90CB0" w:rsidP="00B90CB0">
            <w:pPr>
              <w:spacing w:line="360" w:lineRule="auto"/>
              <w:rPr>
                <w:b/>
                <w:bCs/>
                <w:sz w:val="20"/>
                <w:szCs w:val="20"/>
                <w14:ligatures w14:val="none"/>
              </w:rPr>
            </w:pPr>
            <w:r w:rsidRPr="00B90CB0">
              <w:rPr>
                <w:b/>
                <w:bCs/>
                <w:sz w:val="20"/>
                <w:szCs w:val="20"/>
                <w14:ligatures w14:val="none"/>
              </w:rPr>
              <w:t>Link</w:t>
            </w:r>
          </w:p>
        </w:tc>
        <w:tc>
          <w:tcPr>
            <w:tcW w:w="2269" w:type="dxa"/>
          </w:tcPr>
          <w:p w14:paraId="3FF06F82" w14:textId="77777777" w:rsidR="00B90CB0" w:rsidRPr="00B90CB0" w:rsidRDefault="00B90CB0" w:rsidP="00B90CB0">
            <w:pPr>
              <w:spacing w:line="360" w:lineRule="auto"/>
              <w:rPr>
                <w:b/>
                <w:bCs/>
                <w:sz w:val="20"/>
                <w:szCs w:val="20"/>
                <w14:ligatures w14:val="none"/>
              </w:rPr>
            </w:pPr>
            <w:r w:rsidRPr="00B90CB0">
              <w:rPr>
                <w:b/>
                <w:bCs/>
                <w:sz w:val="20"/>
                <w:szCs w:val="20"/>
                <w14:ligatures w14:val="none"/>
              </w:rPr>
              <w:t xml:space="preserve">Videographer </w:t>
            </w:r>
          </w:p>
        </w:tc>
      </w:tr>
      <w:tr w:rsidR="00B90CB0" w:rsidRPr="007443CE" w14:paraId="417D54E5" w14:textId="77777777" w:rsidTr="00767C53">
        <w:tc>
          <w:tcPr>
            <w:tcW w:w="810" w:type="dxa"/>
          </w:tcPr>
          <w:p w14:paraId="46F8BEF0" w14:textId="7894C43B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SV</w:t>
            </w:r>
            <w:r w:rsidR="00062FBB">
              <w:rPr>
                <w:sz w:val="20"/>
                <w:szCs w:val="20"/>
                <w14:ligatures w14:val="none"/>
              </w:rPr>
              <w:t xml:space="preserve"> </w:t>
            </w:r>
            <w:r w:rsidRPr="00B90CB0">
              <w:rPr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950" w:type="dxa"/>
          </w:tcPr>
          <w:p w14:paraId="4FC1D06F" w14:textId="449739E4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West Salt Creek Landslide Headscarp Drone Video</w:t>
            </w:r>
          </w:p>
        </w:tc>
        <w:tc>
          <w:tcPr>
            <w:tcW w:w="1933" w:type="dxa"/>
          </w:tcPr>
          <w:p w14:paraId="59660498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2269" w:type="dxa"/>
          </w:tcPr>
          <w:p w14:paraId="39CB25FE" w14:textId="77777777" w:rsidR="00B90CB0" w:rsidRPr="005B39BD" w:rsidRDefault="00B90CB0" w:rsidP="00B90CB0">
            <w:pPr>
              <w:spacing w:line="360" w:lineRule="auto"/>
              <w:rPr>
                <w:sz w:val="20"/>
                <w:szCs w:val="20"/>
                <w:lang w:val="sv-SE"/>
                <w14:ligatures w14:val="none"/>
              </w:rPr>
            </w:pPr>
            <w:r w:rsidRPr="005B39BD">
              <w:rPr>
                <w:sz w:val="20"/>
                <w:szCs w:val="20"/>
                <w:lang w:val="sv-SE"/>
                <w14:ligatures w14:val="none"/>
              </w:rPr>
              <w:t>Julian Chesnutt, Paul Byrne &amp; Karl Wegmann</w:t>
            </w:r>
          </w:p>
        </w:tc>
      </w:tr>
      <w:tr w:rsidR="00B90CB0" w:rsidRPr="007443CE" w14:paraId="610818E9" w14:textId="77777777" w:rsidTr="00767C53">
        <w:tc>
          <w:tcPr>
            <w:tcW w:w="810" w:type="dxa"/>
          </w:tcPr>
          <w:p w14:paraId="002EA3F2" w14:textId="6A0AE5CB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SV</w:t>
            </w:r>
            <w:r w:rsidR="00062FBB">
              <w:rPr>
                <w:sz w:val="20"/>
                <w:szCs w:val="20"/>
                <w14:ligatures w14:val="none"/>
              </w:rPr>
              <w:t xml:space="preserve"> </w:t>
            </w:r>
            <w:r w:rsidRPr="00B90CB0">
              <w:rPr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950" w:type="dxa"/>
          </w:tcPr>
          <w:p w14:paraId="18542AB9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West Salt Creek Runout from Headscarp Drone Video</w:t>
            </w:r>
          </w:p>
        </w:tc>
        <w:tc>
          <w:tcPr>
            <w:tcW w:w="1933" w:type="dxa"/>
          </w:tcPr>
          <w:p w14:paraId="6FF7AA56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2269" w:type="dxa"/>
          </w:tcPr>
          <w:p w14:paraId="0B4E971E" w14:textId="77777777" w:rsidR="00B90CB0" w:rsidRPr="005B39BD" w:rsidRDefault="00B90CB0" w:rsidP="00B90CB0">
            <w:pPr>
              <w:spacing w:line="360" w:lineRule="auto"/>
              <w:rPr>
                <w:sz w:val="20"/>
                <w:szCs w:val="20"/>
                <w:lang w:val="sv-SE"/>
                <w14:ligatures w14:val="none"/>
              </w:rPr>
            </w:pPr>
            <w:r w:rsidRPr="005B39BD">
              <w:rPr>
                <w:sz w:val="20"/>
                <w:szCs w:val="20"/>
                <w:lang w:val="sv-SE"/>
                <w14:ligatures w14:val="none"/>
              </w:rPr>
              <w:t>Julian Chesnutt, Paul Byrne &amp; Karl Wegmann</w:t>
            </w:r>
          </w:p>
        </w:tc>
      </w:tr>
      <w:tr w:rsidR="00B90CB0" w:rsidRPr="007443CE" w14:paraId="20671679" w14:textId="77777777" w:rsidTr="00767C53">
        <w:tc>
          <w:tcPr>
            <w:tcW w:w="810" w:type="dxa"/>
          </w:tcPr>
          <w:p w14:paraId="0EB099A2" w14:textId="10339919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SV</w:t>
            </w:r>
            <w:r w:rsidR="00062FBB">
              <w:rPr>
                <w:sz w:val="20"/>
                <w:szCs w:val="20"/>
                <w14:ligatures w14:val="none"/>
              </w:rPr>
              <w:t xml:space="preserve"> </w:t>
            </w:r>
            <w:r w:rsidRPr="00B90CB0">
              <w:rPr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950" w:type="dxa"/>
          </w:tcPr>
          <w:p w14:paraId="2802A06A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West Salt Creek Landslide Runout from Toe Drone Video</w:t>
            </w:r>
          </w:p>
        </w:tc>
        <w:tc>
          <w:tcPr>
            <w:tcW w:w="1933" w:type="dxa"/>
          </w:tcPr>
          <w:p w14:paraId="07D0BDB4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2269" w:type="dxa"/>
          </w:tcPr>
          <w:p w14:paraId="6E0A68E5" w14:textId="77777777" w:rsidR="00B90CB0" w:rsidRPr="005B39BD" w:rsidRDefault="00B90CB0" w:rsidP="00B90CB0">
            <w:pPr>
              <w:spacing w:line="360" w:lineRule="auto"/>
              <w:rPr>
                <w:sz w:val="20"/>
                <w:szCs w:val="20"/>
                <w:lang w:val="sv-SE"/>
                <w14:ligatures w14:val="none"/>
              </w:rPr>
            </w:pPr>
            <w:r w:rsidRPr="005B39BD">
              <w:rPr>
                <w:sz w:val="20"/>
                <w:szCs w:val="20"/>
                <w:lang w:val="sv-SE"/>
                <w14:ligatures w14:val="none"/>
              </w:rPr>
              <w:t>Julian Chesnutt, Paul Byrne &amp; Karl Wegmann</w:t>
            </w:r>
          </w:p>
        </w:tc>
      </w:tr>
      <w:tr w:rsidR="00B90CB0" w:rsidRPr="00B90CB0" w14:paraId="73868928" w14:textId="77777777" w:rsidTr="00767C53">
        <w:tc>
          <w:tcPr>
            <w:tcW w:w="810" w:type="dxa"/>
          </w:tcPr>
          <w:p w14:paraId="2DD5EE69" w14:textId="029885DF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SV</w:t>
            </w:r>
            <w:r w:rsidR="00062FBB">
              <w:rPr>
                <w:sz w:val="20"/>
                <w:szCs w:val="20"/>
                <w14:ligatures w14:val="none"/>
              </w:rPr>
              <w:t xml:space="preserve"> </w:t>
            </w:r>
            <w:r w:rsidRPr="00B90CB0">
              <w:rPr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950" w:type="dxa"/>
          </w:tcPr>
          <w:p w14:paraId="0327EC71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Grand Mesa from East to West Cessna Video</w:t>
            </w:r>
          </w:p>
        </w:tc>
        <w:tc>
          <w:tcPr>
            <w:tcW w:w="1933" w:type="dxa"/>
          </w:tcPr>
          <w:p w14:paraId="2DA66AAB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</w:p>
        </w:tc>
        <w:tc>
          <w:tcPr>
            <w:tcW w:w="2269" w:type="dxa"/>
          </w:tcPr>
          <w:p w14:paraId="6456DDC4" w14:textId="77777777" w:rsidR="00B90CB0" w:rsidRPr="00B90CB0" w:rsidRDefault="00B90CB0" w:rsidP="00B90CB0">
            <w:pPr>
              <w:spacing w:line="360" w:lineRule="auto"/>
              <w:rPr>
                <w:sz w:val="20"/>
                <w:szCs w:val="20"/>
                <w14:ligatures w14:val="none"/>
              </w:rPr>
            </w:pPr>
            <w:r w:rsidRPr="00B90CB0">
              <w:rPr>
                <w:sz w:val="20"/>
                <w:szCs w:val="20"/>
                <w14:ligatures w14:val="none"/>
              </w:rPr>
              <w:t>Rex Cole &amp; Mike Wiley</w:t>
            </w:r>
          </w:p>
        </w:tc>
      </w:tr>
    </w:tbl>
    <w:p w14:paraId="0B48C563" w14:textId="77777777" w:rsidR="00B90CB0" w:rsidRDefault="00B90CB0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19D36E1" w14:textId="147A968A" w:rsidR="0057547D" w:rsidRPr="0057547D" w:rsidRDefault="0057547D" w:rsidP="0057547D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4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Supplemental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Tables</w:t>
      </w:r>
    </w:p>
    <w:p w14:paraId="68E9A959" w14:textId="54D880A4" w:rsidR="0057547D" w:rsidRPr="001033DD" w:rsidRDefault="0057547D" w:rsidP="0057547D">
      <w:pPr>
        <w:spacing w:line="259" w:lineRule="auto"/>
        <w:rPr>
          <w:rFonts w:ascii="Calibri" w:eastAsia="Calibri" w:hAnsi="Calibri" w:cs="Times New Roman"/>
          <w:i/>
          <w:iCs/>
          <w:color w:val="0070C0"/>
          <w:sz w:val="22"/>
          <w:szCs w:val="22"/>
        </w:rPr>
      </w:pPr>
      <w:r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Supp</w:t>
      </w:r>
      <w:r w:rsidR="00F46841"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.</w:t>
      </w:r>
      <w:r w:rsidRPr="009E5339">
        <w:rPr>
          <w:rFonts w:ascii="Arial" w:eastAsia="Calibri" w:hAnsi="Arial" w:cs="Arial"/>
          <w:color w:val="0070C0"/>
          <w:kern w:val="0"/>
          <w:sz w:val="20"/>
          <w:szCs w:val="20"/>
          <w14:ligatures w14:val="none"/>
        </w:rPr>
        <w:t xml:space="preserve"> </w:t>
      </w:r>
      <w:r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Table S</w:t>
      </w:r>
      <w:r w:rsidR="009E5339"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T</w:t>
      </w:r>
      <w:r w:rsidR="00F46841"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 xml:space="preserve"> </w:t>
      </w:r>
      <w:r w:rsidRPr="001033DD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 xml:space="preserve">1. </w:t>
      </w:r>
      <w:r w:rsidRPr="001033DD">
        <w:rPr>
          <w:rFonts w:ascii="Arial" w:eastAsia="Calibri" w:hAnsi="Arial" w:cs="Arial"/>
          <w:i/>
          <w:iCs/>
          <w:color w:val="0070C0"/>
          <w:kern w:val="24"/>
          <w:sz w:val="22"/>
          <w:szCs w:val="22"/>
        </w:rPr>
        <w:t>Style of activity for GMSA landslides. Modified from Cruden et al. (2011).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310"/>
      </w:tblGrid>
      <w:tr w:rsidR="0057547D" w:rsidRPr="00B90CB0" w14:paraId="037D8A1F" w14:textId="77777777" w:rsidTr="009E5339">
        <w:trPr>
          <w:trHeight w:val="765"/>
        </w:trPr>
        <w:tc>
          <w:tcPr>
            <w:tcW w:w="4675" w:type="dxa"/>
            <w:shd w:val="clear" w:color="auto" w:fill="2E74B5"/>
            <w:hideMark/>
          </w:tcPr>
          <w:p w14:paraId="6712A474" w14:textId="77777777" w:rsidR="0057547D" w:rsidRPr="00B90CB0" w:rsidRDefault="0057547D" w:rsidP="0083145E">
            <w:pPr>
              <w:spacing w:line="36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Style of Activity</w:t>
            </w:r>
          </w:p>
        </w:tc>
        <w:tc>
          <w:tcPr>
            <w:tcW w:w="5310" w:type="dxa"/>
            <w:shd w:val="clear" w:color="auto" w:fill="2E74B5"/>
            <w:hideMark/>
          </w:tcPr>
          <w:p w14:paraId="513BF046" w14:textId="77777777" w:rsidR="0057547D" w:rsidRPr="00B90CB0" w:rsidRDefault="0057547D" w:rsidP="0083145E">
            <w:pPr>
              <w:spacing w:line="36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57547D" w:rsidRPr="00B90CB0" w14:paraId="3081AFA8" w14:textId="77777777" w:rsidTr="001074BC">
        <w:trPr>
          <w:trHeight w:val="1025"/>
        </w:trPr>
        <w:tc>
          <w:tcPr>
            <w:tcW w:w="4675" w:type="dxa"/>
            <w:shd w:val="clear" w:color="auto" w:fill="DEEAF6"/>
            <w:hideMark/>
          </w:tcPr>
          <w:p w14:paraId="02286ED4" w14:textId="77777777" w:rsidR="0057547D" w:rsidRPr="00B90CB0" w:rsidRDefault="0057547D" w:rsidP="0083145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Single</w:t>
            </w:r>
          </w:p>
        </w:tc>
        <w:tc>
          <w:tcPr>
            <w:tcW w:w="5310" w:type="dxa"/>
            <w:shd w:val="clear" w:color="auto" w:fill="DEEAF6"/>
            <w:hideMark/>
          </w:tcPr>
          <w:p w14:paraId="64306AE5" w14:textId="68F9E4E1" w:rsidR="0057547D" w:rsidRPr="00B90CB0" w:rsidRDefault="0057547D" w:rsidP="008314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CB0">
              <w:rPr>
                <w:rFonts w:ascii="Arial" w:hAnsi="Arial" w:cs="Arial"/>
                <w:bCs/>
                <w:sz w:val="20"/>
                <w:szCs w:val="20"/>
              </w:rPr>
              <w:t xml:space="preserve">Consists of a single movement of displaced material, often as an unbroken block. Contrasts with other movement </w:t>
            </w:r>
            <w:r w:rsidR="001074BC" w:rsidRPr="00B90CB0">
              <w:rPr>
                <w:rFonts w:ascii="Arial" w:hAnsi="Arial" w:cs="Arial"/>
                <w:bCs/>
                <w:sz w:val="20"/>
                <w:szCs w:val="20"/>
              </w:rPr>
              <w:t>styles</w:t>
            </w:r>
            <w:r w:rsidRPr="00B90CB0">
              <w:rPr>
                <w:rFonts w:ascii="Arial" w:hAnsi="Arial" w:cs="Arial"/>
                <w:bCs/>
                <w:sz w:val="20"/>
                <w:szCs w:val="20"/>
              </w:rPr>
              <w:t xml:space="preserve"> require </w:t>
            </w:r>
            <w:r w:rsidR="009F7518">
              <w:rPr>
                <w:rFonts w:ascii="Arial" w:hAnsi="Arial" w:cs="Arial"/>
                <w:bCs/>
                <w:sz w:val="20"/>
                <w:szCs w:val="20"/>
              </w:rPr>
              <w:t>disrupting displaced mass or the independent motion</w:t>
            </w:r>
            <w:r w:rsidRPr="00B90CB0">
              <w:rPr>
                <w:rFonts w:ascii="Arial" w:hAnsi="Arial" w:cs="Arial"/>
                <w:bCs/>
                <w:sz w:val="20"/>
                <w:szCs w:val="20"/>
              </w:rPr>
              <w:t xml:space="preserve"> of portions of the mass.</w:t>
            </w:r>
          </w:p>
        </w:tc>
      </w:tr>
      <w:tr w:rsidR="0057547D" w:rsidRPr="00B90CB0" w14:paraId="475BD05D" w14:textId="77777777" w:rsidTr="001074BC">
        <w:trPr>
          <w:trHeight w:val="1070"/>
        </w:trPr>
        <w:tc>
          <w:tcPr>
            <w:tcW w:w="4675" w:type="dxa"/>
            <w:shd w:val="clear" w:color="auto" w:fill="DEEAF6"/>
            <w:hideMark/>
          </w:tcPr>
          <w:p w14:paraId="7A3C900D" w14:textId="77777777" w:rsidR="0057547D" w:rsidRPr="00B90CB0" w:rsidRDefault="0057547D" w:rsidP="0083145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Multiple</w:t>
            </w:r>
          </w:p>
        </w:tc>
        <w:tc>
          <w:tcPr>
            <w:tcW w:w="5310" w:type="dxa"/>
            <w:shd w:val="clear" w:color="auto" w:fill="DEEAF6"/>
            <w:hideMark/>
          </w:tcPr>
          <w:p w14:paraId="006F42A1" w14:textId="77777777" w:rsidR="0057547D" w:rsidRPr="00B90CB0" w:rsidRDefault="0057547D" w:rsidP="008314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CB0">
              <w:rPr>
                <w:rFonts w:ascii="Arial" w:hAnsi="Arial" w:cs="Arial"/>
                <w:bCs/>
                <w:sz w:val="20"/>
                <w:szCs w:val="20"/>
              </w:rPr>
              <w:t>Shows repeated movements of the same type, often following the enlargement of the rupture surface. The newly displaced masses are in contact with previously displaced masses and frequently share a rupture surface.</w:t>
            </w:r>
          </w:p>
        </w:tc>
      </w:tr>
      <w:tr w:rsidR="0057547D" w:rsidRPr="00B90CB0" w14:paraId="35B80C21" w14:textId="77777777" w:rsidTr="009E5339">
        <w:trPr>
          <w:trHeight w:val="913"/>
        </w:trPr>
        <w:tc>
          <w:tcPr>
            <w:tcW w:w="4675" w:type="dxa"/>
            <w:shd w:val="clear" w:color="auto" w:fill="DEEAF6"/>
            <w:hideMark/>
          </w:tcPr>
          <w:p w14:paraId="28554A44" w14:textId="77777777" w:rsidR="0057547D" w:rsidRPr="00B90CB0" w:rsidRDefault="0057547D" w:rsidP="0083145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Successive</w:t>
            </w:r>
          </w:p>
        </w:tc>
        <w:tc>
          <w:tcPr>
            <w:tcW w:w="5310" w:type="dxa"/>
            <w:shd w:val="clear" w:color="auto" w:fill="DEEAF6"/>
            <w:hideMark/>
          </w:tcPr>
          <w:p w14:paraId="6B0EE6C5" w14:textId="419FB33B" w:rsidR="0057547D" w:rsidRPr="00B90CB0" w:rsidRDefault="0057547D" w:rsidP="008314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CB0">
              <w:rPr>
                <w:rFonts w:ascii="Arial" w:hAnsi="Arial" w:cs="Arial"/>
                <w:bCs/>
                <w:sz w:val="20"/>
                <w:szCs w:val="20"/>
              </w:rPr>
              <w:t xml:space="preserve">Movement is identical in type to an earlier movement, but it does not share displaced material or a rupture surface, </w:t>
            </w:r>
            <w:r w:rsidR="009F7518">
              <w:rPr>
                <w:rFonts w:ascii="Arial" w:hAnsi="Arial" w:cs="Arial"/>
                <w:bCs/>
                <w:sz w:val="20"/>
                <w:szCs w:val="20"/>
              </w:rPr>
              <w:t>unlike</w:t>
            </w:r>
            <w:r w:rsidRPr="00B90CB0">
              <w:rPr>
                <w:rFonts w:ascii="Arial" w:hAnsi="Arial" w:cs="Arial"/>
                <w:bCs/>
                <w:sz w:val="20"/>
                <w:szCs w:val="20"/>
              </w:rPr>
              <w:t xml:space="preserve"> the Multiple class.</w:t>
            </w:r>
          </w:p>
        </w:tc>
      </w:tr>
      <w:tr w:rsidR="0057547D" w:rsidRPr="00B90CB0" w14:paraId="5774FBA8" w14:textId="77777777" w:rsidTr="009E5339">
        <w:trPr>
          <w:trHeight w:val="602"/>
        </w:trPr>
        <w:tc>
          <w:tcPr>
            <w:tcW w:w="4675" w:type="dxa"/>
            <w:shd w:val="clear" w:color="auto" w:fill="DEEAF6"/>
            <w:hideMark/>
          </w:tcPr>
          <w:p w14:paraId="70B60B80" w14:textId="77777777" w:rsidR="0057547D" w:rsidRPr="00B90CB0" w:rsidRDefault="0057547D" w:rsidP="0083145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Complex</w:t>
            </w:r>
          </w:p>
        </w:tc>
        <w:tc>
          <w:tcPr>
            <w:tcW w:w="5310" w:type="dxa"/>
            <w:shd w:val="clear" w:color="auto" w:fill="DEEAF6"/>
            <w:hideMark/>
          </w:tcPr>
          <w:p w14:paraId="12E43293" w14:textId="77777777" w:rsidR="0057547D" w:rsidRPr="00B90CB0" w:rsidRDefault="0057547D" w:rsidP="008314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CB0">
              <w:rPr>
                <w:rFonts w:ascii="Arial" w:hAnsi="Arial" w:cs="Arial"/>
                <w:bCs/>
                <w:sz w:val="20"/>
                <w:szCs w:val="20"/>
              </w:rPr>
              <w:t>Exhibit at least two different types of movements in sequence.</w:t>
            </w:r>
          </w:p>
        </w:tc>
      </w:tr>
      <w:tr w:rsidR="0057547D" w:rsidRPr="00B90CB0" w14:paraId="7A57B9A2" w14:textId="77777777" w:rsidTr="009E5339">
        <w:trPr>
          <w:trHeight w:val="1148"/>
        </w:trPr>
        <w:tc>
          <w:tcPr>
            <w:tcW w:w="4675" w:type="dxa"/>
            <w:shd w:val="clear" w:color="auto" w:fill="DEEAF6"/>
            <w:hideMark/>
          </w:tcPr>
          <w:p w14:paraId="3DE73618" w14:textId="77777777" w:rsidR="0057547D" w:rsidRPr="00B90CB0" w:rsidRDefault="0057547D" w:rsidP="0083145E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90CB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Composite</w:t>
            </w:r>
          </w:p>
        </w:tc>
        <w:tc>
          <w:tcPr>
            <w:tcW w:w="5310" w:type="dxa"/>
            <w:shd w:val="clear" w:color="auto" w:fill="DEEAF6"/>
            <w:hideMark/>
          </w:tcPr>
          <w:p w14:paraId="6A131D4B" w14:textId="77777777" w:rsidR="0057547D" w:rsidRPr="00B90CB0" w:rsidRDefault="0057547D" w:rsidP="008314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CB0">
              <w:rPr>
                <w:rFonts w:ascii="Arial" w:hAnsi="Arial" w:cs="Arial"/>
                <w:bCs/>
                <w:sz w:val="20"/>
                <w:szCs w:val="20"/>
              </w:rPr>
              <w:t>Exhibit different types of movement in different areas of the displaced mass, sometimes simultaneously. These areas of the displaced mass show different sequences of movements.</w:t>
            </w:r>
          </w:p>
        </w:tc>
      </w:tr>
    </w:tbl>
    <w:p w14:paraId="12797191" w14:textId="77777777" w:rsidR="0057547D" w:rsidRDefault="0057547D" w:rsidP="0057547D">
      <w:pPr>
        <w:spacing w:after="0" w:line="240" w:lineRule="auto"/>
        <w:rPr>
          <w:rFonts w:ascii="Arial" w:eastAsia="Arial" w:hAnsi="Arial" w:cs="Arial"/>
          <w:b/>
          <w:bCs/>
          <w:color w:val="000000"/>
          <w:kern w:val="24"/>
          <w:sz w:val="20"/>
          <w:szCs w:val="20"/>
          <w14:ligatures w14:val="none"/>
        </w:rPr>
      </w:pPr>
    </w:p>
    <w:p w14:paraId="00845AC2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7FDE8DEA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2A830395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457664E3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57B1D32C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0E10601E" w14:textId="77777777" w:rsidR="001074BC" w:rsidRDefault="001074BC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3A682678" w14:textId="7CA982EB" w:rsidR="0057547D" w:rsidRPr="001033DD" w:rsidRDefault="0057547D" w:rsidP="0057547D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  <w:r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lastRenderedPageBreak/>
        <w:t>Supp</w:t>
      </w:r>
      <w:r w:rsidR="00930109"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.</w:t>
      </w:r>
      <w:r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Table S</w:t>
      </w:r>
      <w:r w:rsidR="009E5339"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T </w:t>
      </w:r>
      <w:r w:rsidR="00DD0B27"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2</w:t>
      </w:r>
      <w:r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. Grand Mesa geochronology. All calibrated ages are referenced to 1950 CE (present), except for those dated by eyewitness </w:t>
      </w:r>
      <w:r w:rsidR="000E464F"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accounts and historical imagery, denoted by an asterisk (*) and referenced to 2022 CE. Values in parentheses in the calibrated age column indicate the probability percentage that the actual sample age falls within</w:t>
      </w:r>
      <w:r w:rsidRPr="001033DD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the specified age range.</w:t>
      </w:r>
      <w:r w:rsidR="00570F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</w:t>
      </w:r>
      <w:r w:rsidR="00570F00" w:rsidRPr="00570F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All ages calibrated using IntCal20 calibration curve</w:t>
      </w:r>
      <w:r w:rsidR="00570F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.</w:t>
      </w:r>
    </w:p>
    <w:tbl>
      <w:tblPr>
        <w:tblStyle w:val="TableGrid"/>
        <w:tblW w:w="964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458"/>
        <w:gridCol w:w="990"/>
        <w:gridCol w:w="990"/>
        <w:gridCol w:w="1080"/>
        <w:gridCol w:w="1260"/>
        <w:gridCol w:w="720"/>
        <w:gridCol w:w="1440"/>
        <w:gridCol w:w="1710"/>
      </w:tblGrid>
      <w:tr w:rsidR="0057547D" w:rsidRPr="00B90CB0" w14:paraId="69FE0E6E" w14:textId="77777777" w:rsidTr="0083145E">
        <w:trPr>
          <w:trHeight w:val="1587"/>
        </w:trPr>
        <w:tc>
          <w:tcPr>
            <w:tcW w:w="1458" w:type="dxa"/>
            <w:shd w:val="clear" w:color="auto" w:fill="2E74B5"/>
            <w:hideMark/>
          </w:tcPr>
          <w:p w14:paraId="48989126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Field ID</w:t>
            </w:r>
          </w:p>
        </w:tc>
        <w:tc>
          <w:tcPr>
            <w:tcW w:w="990" w:type="dxa"/>
            <w:shd w:val="clear" w:color="auto" w:fill="2E74B5"/>
            <w:hideMark/>
          </w:tcPr>
          <w:p w14:paraId="20054A8E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Lab ID</w:t>
            </w:r>
          </w:p>
        </w:tc>
        <w:tc>
          <w:tcPr>
            <w:tcW w:w="990" w:type="dxa"/>
            <w:shd w:val="clear" w:color="auto" w:fill="2E74B5"/>
            <w:hideMark/>
          </w:tcPr>
          <w:p w14:paraId="0609E4B5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Material Dated / Tech</w:t>
            </w:r>
          </w:p>
        </w:tc>
        <w:tc>
          <w:tcPr>
            <w:tcW w:w="1080" w:type="dxa"/>
            <w:shd w:val="clear" w:color="auto" w:fill="2E74B5"/>
            <w:hideMark/>
          </w:tcPr>
          <w:p w14:paraId="4497B34B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Lat</w:t>
            </w:r>
          </w:p>
        </w:tc>
        <w:tc>
          <w:tcPr>
            <w:tcW w:w="1260" w:type="dxa"/>
            <w:shd w:val="clear" w:color="auto" w:fill="2E74B5"/>
            <w:hideMark/>
          </w:tcPr>
          <w:p w14:paraId="0AC61F4A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Long</w:t>
            </w:r>
          </w:p>
        </w:tc>
        <w:tc>
          <w:tcPr>
            <w:tcW w:w="720" w:type="dxa"/>
            <w:shd w:val="clear" w:color="auto" w:fill="2E74B5"/>
            <w:hideMark/>
          </w:tcPr>
          <w:p w14:paraId="6DAB0198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Elev (m)</w:t>
            </w:r>
          </w:p>
        </w:tc>
        <w:tc>
          <w:tcPr>
            <w:tcW w:w="1440" w:type="dxa"/>
            <w:shd w:val="clear" w:color="auto" w:fill="2E74B5"/>
            <w:hideMark/>
          </w:tcPr>
          <w:p w14:paraId="54690866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Lab Reported Age            (</w:t>
            </w: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C yr BP at 1 σ)</w:t>
            </w:r>
          </w:p>
        </w:tc>
        <w:tc>
          <w:tcPr>
            <w:tcW w:w="1710" w:type="dxa"/>
            <w:shd w:val="clear" w:color="auto" w:fill="2E74B5"/>
            <w:hideMark/>
          </w:tcPr>
          <w:p w14:paraId="5C740559" w14:textId="77777777" w:rsidR="0057547D" w:rsidRPr="00B90CB0" w:rsidRDefault="0057547D" w:rsidP="0083145E">
            <w:pPr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Calibrated Age         (cal yr BP at 2σ)</w:t>
            </w:r>
          </w:p>
        </w:tc>
      </w:tr>
      <w:tr w:rsidR="0057547D" w:rsidRPr="00B90CB0" w14:paraId="7C6B4104" w14:textId="77777777" w:rsidTr="0083145E">
        <w:trPr>
          <w:trHeight w:val="916"/>
        </w:trPr>
        <w:tc>
          <w:tcPr>
            <w:tcW w:w="1458" w:type="dxa"/>
            <w:shd w:val="clear" w:color="auto" w:fill="DEEAF6"/>
            <w:hideMark/>
          </w:tcPr>
          <w:p w14:paraId="527C8FC4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GM-1 </w:t>
            </w:r>
          </w:p>
          <w:p w14:paraId="0FA42B12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Bull Creek Slide 3rd Bench</w:t>
            </w:r>
          </w:p>
          <w:p w14:paraId="2815155A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EEAF6"/>
            <w:hideMark/>
          </w:tcPr>
          <w:p w14:paraId="4BE0DFEE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027606</w:t>
            </w:r>
          </w:p>
        </w:tc>
        <w:tc>
          <w:tcPr>
            <w:tcW w:w="990" w:type="dxa"/>
            <w:shd w:val="clear" w:color="auto" w:fill="DEEAF6"/>
            <w:hideMark/>
          </w:tcPr>
          <w:p w14:paraId="0CFB9D2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Wood</w:t>
            </w:r>
          </w:p>
          <w:p w14:paraId="2BC9C0E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75F9696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7C4D834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39.09387</w:t>
            </w:r>
          </w:p>
        </w:tc>
        <w:tc>
          <w:tcPr>
            <w:tcW w:w="1260" w:type="dxa"/>
            <w:shd w:val="clear" w:color="auto" w:fill="DEEAF6"/>
            <w:hideMark/>
          </w:tcPr>
          <w:p w14:paraId="44B3674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-108.04530</w:t>
            </w:r>
          </w:p>
        </w:tc>
        <w:tc>
          <w:tcPr>
            <w:tcW w:w="720" w:type="dxa"/>
            <w:shd w:val="clear" w:color="auto" w:fill="DEEAF6"/>
            <w:hideMark/>
          </w:tcPr>
          <w:p w14:paraId="318F140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2914</w:t>
            </w:r>
          </w:p>
        </w:tc>
        <w:tc>
          <w:tcPr>
            <w:tcW w:w="1440" w:type="dxa"/>
            <w:shd w:val="clear" w:color="auto" w:fill="DEEAF6"/>
            <w:hideMark/>
          </w:tcPr>
          <w:p w14:paraId="5900DBB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13,116 ± 49</w:t>
            </w:r>
          </w:p>
        </w:tc>
        <w:tc>
          <w:tcPr>
            <w:tcW w:w="1710" w:type="dxa"/>
            <w:shd w:val="clear" w:color="auto" w:fill="DEEAF6"/>
            <w:hideMark/>
          </w:tcPr>
          <w:p w14:paraId="10FAB12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15,911 – 15,562</w:t>
            </w:r>
          </w:p>
        </w:tc>
      </w:tr>
      <w:tr w:rsidR="0057547D" w:rsidRPr="00B90CB0" w14:paraId="518DE232" w14:textId="77777777" w:rsidTr="0083145E">
        <w:trPr>
          <w:trHeight w:val="1209"/>
        </w:trPr>
        <w:tc>
          <w:tcPr>
            <w:tcW w:w="1458" w:type="dxa"/>
            <w:shd w:val="clear" w:color="auto" w:fill="DEEAF6"/>
            <w:hideMark/>
          </w:tcPr>
          <w:p w14:paraId="39AA2F77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GM-2 </w:t>
            </w:r>
          </w:p>
          <w:p w14:paraId="50EBA931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Bull Creek Slide 1st Bench</w:t>
            </w:r>
          </w:p>
        </w:tc>
        <w:tc>
          <w:tcPr>
            <w:tcW w:w="990" w:type="dxa"/>
            <w:shd w:val="clear" w:color="auto" w:fill="DEEAF6"/>
            <w:hideMark/>
          </w:tcPr>
          <w:p w14:paraId="7BC6A925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027607</w:t>
            </w:r>
          </w:p>
        </w:tc>
        <w:tc>
          <w:tcPr>
            <w:tcW w:w="990" w:type="dxa"/>
            <w:shd w:val="clear" w:color="auto" w:fill="DEEAF6"/>
            <w:hideMark/>
          </w:tcPr>
          <w:p w14:paraId="0F53E34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Wood</w:t>
            </w:r>
          </w:p>
          <w:p w14:paraId="204412B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6E8E8EC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6E077C9E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39.08667</w:t>
            </w:r>
          </w:p>
        </w:tc>
        <w:tc>
          <w:tcPr>
            <w:tcW w:w="1260" w:type="dxa"/>
            <w:shd w:val="clear" w:color="auto" w:fill="DEEAF6"/>
            <w:hideMark/>
          </w:tcPr>
          <w:p w14:paraId="3044B90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-108.03994</w:t>
            </w:r>
          </w:p>
        </w:tc>
        <w:tc>
          <w:tcPr>
            <w:tcW w:w="720" w:type="dxa"/>
            <w:shd w:val="clear" w:color="auto" w:fill="DEEAF6"/>
            <w:hideMark/>
          </w:tcPr>
          <w:p w14:paraId="577A1BB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2942</w:t>
            </w:r>
          </w:p>
        </w:tc>
        <w:tc>
          <w:tcPr>
            <w:tcW w:w="1440" w:type="dxa"/>
            <w:shd w:val="clear" w:color="auto" w:fill="DEEAF6"/>
            <w:hideMark/>
          </w:tcPr>
          <w:p w14:paraId="0286898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25,507 ± 115</w:t>
            </w:r>
          </w:p>
        </w:tc>
        <w:tc>
          <w:tcPr>
            <w:tcW w:w="1710" w:type="dxa"/>
            <w:shd w:val="clear" w:color="auto" w:fill="DEEAF6"/>
            <w:hideMark/>
          </w:tcPr>
          <w:p w14:paraId="7E5713D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30,054 – 29,454 (89.4%)</w:t>
            </w:r>
          </w:p>
          <w:p w14:paraId="6DA260A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63B7C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29,439 – 29,322 (6.0%)</w:t>
            </w:r>
          </w:p>
        </w:tc>
      </w:tr>
      <w:tr w:rsidR="0057547D" w:rsidRPr="00B90CB0" w14:paraId="3F56CCD7" w14:textId="77777777" w:rsidTr="0083145E">
        <w:trPr>
          <w:trHeight w:val="1165"/>
        </w:trPr>
        <w:tc>
          <w:tcPr>
            <w:tcW w:w="1458" w:type="dxa"/>
            <w:shd w:val="clear" w:color="auto" w:fill="DEEAF6"/>
            <w:hideMark/>
          </w:tcPr>
          <w:p w14:paraId="4B2B8C01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GM-3 Pinedale South Moraine</w:t>
            </w:r>
          </w:p>
        </w:tc>
        <w:tc>
          <w:tcPr>
            <w:tcW w:w="990" w:type="dxa"/>
            <w:shd w:val="clear" w:color="auto" w:fill="DEEAF6"/>
            <w:hideMark/>
          </w:tcPr>
          <w:p w14:paraId="60A6D528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027608</w:t>
            </w:r>
          </w:p>
        </w:tc>
        <w:tc>
          <w:tcPr>
            <w:tcW w:w="990" w:type="dxa"/>
            <w:shd w:val="clear" w:color="auto" w:fill="DEEAF6"/>
            <w:hideMark/>
          </w:tcPr>
          <w:p w14:paraId="7B4C54B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Wood</w:t>
            </w:r>
          </w:p>
          <w:p w14:paraId="3A5AF3FB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4E4EB5A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3C9ACC5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39.01023</w:t>
            </w:r>
          </w:p>
        </w:tc>
        <w:tc>
          <w:tcPr>
            <w:tcW w:w="1260" w:type="dxa"/>
            <w:shd w:val="clear" w:color="auto" w:fill="DEEAF6"/>
            <w:hideMark/>
          </w:tcPr>
          <w:p w14:paraId="199DD9D5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-108.01604</w:t>
            </w:r>
          </w:p>
        </w:tc>
        <w:tc>
          <w:tcPr>
            <w:tcW w:w="720" w:type="dxa"/>
            <w:shd w:val="clear" w:color="auto" w:fill="DEEAF6"/>
            <w:hideMark/>
          </w:tcPr>
          <w:p w14:paraId="57BA8B0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3072</w:t>
            </w:r>
          </w:p>
        </w:tc>
        <w:tc>
          <w:tcPr>
            <w:tcW w:w="1440" w:type="dxa"/>
            <w:shd w:val="clear" w:color="auto" w:fill="DEEAF6"/>
            <w:hideMark/>
          </w:tcPr>
          <w:p w14:paraId="2A73A245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8,013 ± 35</w:t>
            </w:r>
          </w:p>
        </w:tc>
        <w:tc>
          <w:tcPr>
            <w:tcW w:w="1710" w:type="dxa"/>
            <w:shd w:val="clear" w:color="auto" w:fill="DEEAF6"/>
            <w:hideMark/>
          </w:tcPr>
          <w:p w14:paraId="3125030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9,010 – 8,753 (93.1%)</w:t>
            </w:r>
          </w:p>
          <w:p w14:paraId="73F26588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2DF683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8,744 – 8,724 (2.4%)</w:t>
            </w:r>
          </w:p>
        </w:tc>
      </w:tr>
      <w:tr w:rsidR="0057547D" w:rsidRPr="00B90CB0" w14:paraId="650A00E7" w14:textId="77777777" w:rsidTr="0083145E">
        <w:trPr>
          <w:trHeight w:val="1054"/>
        </w:trPr>
        <w:tc>
          <w:tcPr>
            <w:tcW w:w="1458" w:type="dxa"/>
            <w:shd w:val="clear" w:color="auto" w:fill="DEEAF6"/>
            <w:hideMark/>
          </w:tcPr>
          <w:p w14:paraId="7FFD385B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GM-4 Cottonwood Creek Landslide 1st Bench</w:t>
            </w:r>
          </w:p>
          <w:p w14:paraId="3067FC9C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EEAF6"/>
            <w:hideMark/>
          </w:tcPr>
          <w:p w14:paraId="2052C8C3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027610</w:t>
            </w:r>
          </w:p>
        </w:tc>
        <w:tc>
          <w:tcPr>
            <w:tcW w:w="990" w:type="dxa"/>
            <w:shd w:val="clear" w:color="auto" w:fill="DEEAF6"/>
            <w:hideMark/>
          </w:tcPr>
          <w:p w14:paraId="22EC9D6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Wood</w:t>
            </w:r>
          </w:p>
          <w:p w14:paraId="6A5E897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47CBDA3E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728051B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39.10714</w:t>
            </w:r>
          </w:p>
        </w:tc>
        <w:tc>
          <w:tcPr>
            <w:tcW w:w="1260" w:type="dxa"/>
            <w:shd w:val="clear" w:color="auto" w:fill="DEEAF6"/>
            <w:hideMark/>
          </w:tcPr>
          <w:p w14:paraId="3FCBC77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-108.00288</w:t>
            </w:r>
          </w:p>
        </w:tc>
        <w:tc>
          <w:tcPr>
            <w:tcW w:w="720" w:type="dxa"/>
            <w:shd w:val="clear" w:color="auto" w:fill="DEEAF6"/>
            <w:hideMark/>
          </w:tcPr>
          <w:p w14:paraId="07B05FA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2868</w:t>
            </w:r>
          </w:p>
        </w:tc>
        <w:tc>
          <w:tcPr>
            <w:tcW w:w="1440" w:type="dxa"/>
            <w:shd w:val="clear" w:color="auto" w:fill="DEEAF6"/>
            <w:hideMark/>
          </w:tcPr>
          <w:p w14:paraId="145326D9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1,415 ± 27</w:t>
            </w:r>
          </w:p>
        </w:tc>
        <w:tc>
          <w:tcPr>
            <w:tcW w:w="1710" w:type="dxa"/>
            <w:shd w:val="clear" w:color="auto" w:fill="DEEAF6"/>
            <w:hideMark/>
          </w:tcPr>
          <w:p w14:paraId="550612B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1,353 – 1,291</w:t>
            </w:r>
          </w:p>
        </w:tc>
      </w:tr>
      <w:tr w:rsidR="0057547D" w:rsidRPr="00B90CB0" w14:paraId="7F49D1D8" w14:textId="77777777" w:rsidTr="0083145E">
        <w:trPr>
          <w:trHeight w:val="790"/>
        </w:trPr>
        <w:tc>
          <w:tcPr>
            <w:tcW w:w="1458" w:type="dxa"/>
            <w:shd w:val="clear" w:color="auto" w:fill="DEEAF6"/>
            <w:hideMark/>
          </w:tcPr>
          <w:p w14:paraId="4BD17DC0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GM-5</w:t>
            </w:r>
          </w:p>
          <w:p w14:paraId="3ED214CD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Rapid Creek Landslide</w:t>
            </w:r>
          </w:p>
        </w:tc>
        <w:tc>
          <w:tcPr>
            <w:tcW w:w="990" w:type="dxa"/>
            <w:shd w:val="clear" w:color="auto" w:fill="DEEAF6"/>
            <w:hideMark/>
          </w:tcPr>
          <w:p w14:paraId="1C74E573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035174</w:t>
            </w:r>
          </w:p>
        </w:tc>
        <w:tc>
          <w:tcPr>
            <w:tcW w:w="990" w:type="dxa"/>
            <w:shd w:val="clear" w:color="auto" w:fill="DEEAF6"/>
            <w:hideMark/>
          </w:tcPr>
          <w:p w14:paraId="4B93329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Shells</w:t>
            </w:r>
          </w:p>
          <w:p w14:paraId="69096F99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2A0B3420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0ADB668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39.09085</w:t>
            </w:r>
          </w:p>
        </w:tc>
        <w:tc>
          <w:tcPr>
            <w:tcW w:w="1260" w:type="dxa"/>
            <w:shd w:val="clear" w:color="auto" w:fill="DEEAF6"/>
            <w:hideMark/>
          </w:tcPr>
          <w:p w14:paraId="1DF9E82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-108.24066</w:t>
            </w:r>
          </w:p>
        </w:tc>
        <w:tc>
          <w:tcPr>
            <w:tcW w:w="720" w:type="dxa"/>
            <w:shd w:val="clear" w:color="auto" w:fill="DEEAF6"/>
            <w:hideMark/>
          </w:tcPr>
          <w:p w14:paraId="174C9543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2606</w:t>
            </w:r>
          </w:p>
        </w:tc>
        <w:tc>
          <w:tcPr>
            <w:tcW w:w="1440" w:type="dxa"/>
            <w:shd w:val="clear" w:color="auto" w:fill="DEEAF6"/>
            <w:hideMark/>
          </w:tcPr>
          <w:p w14:paraId="7006E46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3,204 ± 29</w:t>
            </w:r>
          </w:p>
        </w:tc>
        <w:tc>
          <w:tcPr>
            <w:tcW w:w="1710" w:type="dxa"/>
            <w:shd w:val="clear" w:color="auto" w:fill="DEEAF6"/>
            <w:hideMark/>
          </w:tcPr>
          <w:p w14:paraId="53765FE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3,461 – 3,369</w:t>
            </w:r>
          </w:p>
        </w:tc>
      </w:tr>
      <w:tr w:rsidR="0057547D" w:rsidRPr="00B90CB0" w14:paraId="40B054ED" w14:textId="77777777" w:rsidTr="0083145E">
        <w:trPr>
          <w:trHeight w:val="790"/>
        </w:trPr>
        <w:tc>
          <w:tcPr>
            <w:tcW w:w="1458" w:type="dxa"/>
            <w:shd w:val="clear" w:color="auto" w:fill="DEEAF6"/>
            <w:hideMark/>
          </w:tcPr>
          <w:p w14:paraId="4E043CC3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GM-6 Palisade Landslide</w:t>
            </w:r>
          </w:p>
        </w:tc>
        <w:tc>
          <w:tcPr>
            <w:tcW w:w="990" w:type="dxa"/>
            <w:shd w:val="clear" w:color="auto" w:fill="DEEAF6"/>
            <w:hideMark/>
          </w:tcPr>
          <w:p w14:paraId="139BD0E5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035173</w:t>
            </w:r>
          </w:p>
        </w:tc>
        <w:tc>
          <w:tcPr>
            <w:tcW w:w="990" w:type="dxa"/>
            <w:shd w:val="clear" w:color="auto" w:fill="DEEAF6"/>
            <w:hideMark/>
          </w:tcPr>
          <w:p w14:paraId="5BA9A2A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Shells</w:t>
            </w:r>
          </w:p>
          <w:p w14:paraId="15D2BD9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080" w:type="dxa"/>
            <w:shd w:val="clear" w:color="auto" w:fill="DEEAF6"/>
            <w:hideMark/>
          </w:tcPr>
          <w:p w14:paraId="50C0DFB0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39.08277</w:t>
            </w:r>
          </w:p>
        </w:tc>
        <w:tc>
          <w:tcPr>
            <w:tcW w:w="1260" w:type="dxa"/>
            <w:shd w:val="clear" w:color="auto" w:fill="DEEAF6"/>
            <w:hideMark/>
          </w:tcPr>
          <w:p w14:paraId="125250D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-108.25204</w:t>
            </w:r>
          </w:p>
        </w:tc>
        <w:tc>
          <w:tcPr>
            <w:tcW w:w="720" w:type="dxa"/>
            <w:shd w:val="clear" w:color="auto" w:fill="DEEAF6"/>
            <w:hideMark/>
          </w:tcPr>
          <w:p w14:paraId="7AF4CD4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2430</w:t>
            </w:r>
          </w:p>
        </w:tc>
        <w:tc>
          <w:tcPr>
            <w:tcW w:w="1440" w:type="dxa"/>
            <w:shd w:val="clear" w:color="auto" w:fill="DEEAF6"/>
            <w:hideMark/>
          </w:tcPr>
          <w:p w14:paraId="1C750AD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1,307 ± 27</w:t>
            </w:r>
          </w:p>
        </w:tc>
        <w:tc>
          <w:tcPr>
            <w:tcW w:w="1710" w:type="dxa"/>
            <w:shd w:val="clear" w:color="auto" w:fill="DEEAF6"/>
            <w:hideMark/>
          </w:tcPr>
          <w:p w14:paraId="512CD9E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1,293 – 1,176</w:t>
            </w:r>
          </w:p>
        </w:tc>
      </w:tr>
      <w:tr w:rsidR="0057547D" w:rsidRPr="00B90CB0" w14:paraId="4814FC70" w14:textId="77777777" w:rsidTr="0083145E">
        <w:trPr>
          <w:trHeight w:val="1054"/>
        </w:trPr>
        <w:tc>
          <w:tcPr>
            <w:tcW w:w="1458" w:type="dxa"/>
            <w:shd w:val="clear" w:color="auto" w:fill="DEEAF6"/>
            <w:hideMark/>
          </w:tcPr>
          <w:p w14:paraId="47B6D20D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GM-7 Powderhorn Landslide</w:t>
            </w:r>
          </w:p>
        </w:tc>
        <w:tc>
          <w:tcPr>
            <w:tcW w:w="990" w:type="dxa"/>
            <w:shd w:val="clear" w:color="auto" w:fill="DEEAF6"/>
            <w:hideMark/>
          </w:tcPr>
          <w:p w14:paraId="4BA5214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D-AMS 034598</w:t>
            </w:r>
          </w:p>
        </w:tc>
        <w:tc>
          <w:tcPr>
            <w:tcW w:w="990" w:type="dxa"/>
            <w:shd w:val="clear" w:color="auto" w:fill="DEEAF6"/>
            <w:hideMark/>
          </w:tcPr>
          <w:p w14:paraId="18FA717E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Shells</w:t>
            </w:r>
          </w:p>
          <w:p w14:paraId="5AE0BA4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14</w:t>
            </w:r>
            <w:r w:rsidRPr="00B90CB0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7A57F968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  <w:p w14:paraId="1C07F807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EEAF6"/>
            <w:hideMark/>
          </w:tcPr>
          <w:p w14:paraId="78C2F81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39.06778</w:t>
            </w:r>
          </w:p>
        </w:tc>
        <w:tc>
          <w:tcPr>
            <w:tcW w:w="1260" w:type="dxa"/>
            <w:shd w:val="clear" w:color="auto" w:fill="DEEAF6"/>
            <w:hideMark/>
          </w:tcPr>
          <w:p w14:paraId="6AB4522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-108.14389</w:t>
            </w:r>
          </w:p>
        </w:tc>
        <w:tc>
          <w:tcPr>
            <w:tcW w:w="720" w:type="dxa"/>
            <w:shd w:val="clear" w:color="auto" w:fill="DEEAF6"/>
            <w:hideMark/>
          </w:tcPr>
          <w:p w14:paraId="22BFE328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2511</w:t>
            </w:r>
          </w:p>
        </w:tc>
        <w:tc>
          <w:tcPr>
            <w:tcW w:w="1440" w:type="dxa"/>
            <w:shd w:val="clear" w:color="auto" w:fill="DEEAF6"/>
            <w:hideMark/>
          </w:tcPr>
          <w:p w14:paraId="367A3239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408 ± 29</w:t>
            </w:r>
          </w:p>
        </w:tc>
        <w:tc>
          <w:tcPr>
            <w:tcW w:w="1710" w:type="dxa"/>
            <w:shd w:val="clear" w:color="auto" w:fill="DEEAF6"/>
            <w:hideMark/>
          </w:tcPr>
          <w:p w14:paraId="08E5937F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 xml:space="preserve">516 – 431 </w:t>
            </w:r>
          </w:p>
          <w:p w14:paraId="6A5819FE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(81.0%)</w:t>
            </w:r>
          </w:p>
          <w:p w14:paraId="50EA2194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1711B8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 xml:space="preserve">363 – 328 </w:t>
            </w:r>
          </w:p>
          <w:p w14:paraId="2D0F895A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(14.5%)</w:t>
            </w:r>
          </w:p>
        </w:tc>
      </w:tr>
      <w:tr w:rsidR="0057547D" w:rsidRPr="00B90CB0" w14:paraId="23BECF18" w14:textId="77777777" w:rsidTr="0083145E">
        <w:trPr>
          <w:trHeight w:val="790"/>
        </w:trPr>
        <w:tc>
          <w:tcPr>
            <w:tcW w:w="1458" w:type="dxa"/>
            <w:shd w:val="clear" w:color="auto" w:fill="DEEAF6"/>
            <w:hideMark/>
          </w:tcPr>
          <w:p w14:paraId="68253E1C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GM-8</w:t>
            </w:r>
          </w:p>
          <w:p w14:paraId="77CCA7D0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West Salt Creek Landslide</w:t>
            </w:r>
          </w:p>
        </w:tc>
        <w:tc>
          <w:tcPr>
            <w:tcW w:w="990" w:type="dxa"/>
            <w:shd w:val="clear" w:color="auto" w:fill="DEEAF6"/>
            <w:hideMark/>
          </w:tcPr>
          <w:p w14:paraId="014EC92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n/a</w:t>
            </w:r>
          </w:p>
        </w:tc>
        <w:tc>
          <w:tcPr>
            <w:tcW w:w="990" w:type="dxa"/>
            <w:shd w:val="clear" w:color="auto" w:fill="DEEAF6"/>
            <w:hideMark/>
          </w:tcPr>
          <w:p w14:paraId="4686C67D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Eyewitness</w:t>
            </w:r>
          </w:p>
        </w:tc>
        <w:tc>
          <w:tcPr>
            <w:tcW w:w="1080" w:type="dxa"/>
            <w:shd w:val="clear" w:color="auto" w:fill="DEEAF6"/>
            <w:hideMark/>
          </w:tcPr>
          <w:p w14:paraId="3B797889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39.18184</w:t>
            </w:r>
          </w:p>
        </w:tc>
        <w:tc>
          <w:tcPr>
            <w:tcW w:w="1260" w:type="dxa"/>
            <w:shd w:val="clear" w:color="auto" w:fill="DEEAF6"/>
            <w:hideMark/>
          </w:tcPr>
          <w:p w14:paraId="3E11FDE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-107.85353</w:t>
            </w:r>
          </w:p>
        </w:tc>
        <w:tc>
          <w:tcPr>
            <w:tcW w:w="720" w:type="dxa"/>
            <w:shd w:val="clear" w:color="auto" w:fill="DEEAF6"/>
            <w:hideMark/>
          </w:tcPr>
          <w:p w14:paraId="53457FF9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2834</w:t>
            </w:r>
          </w:p>
        </w:tc>
        <w:tc>
          <w:tcPr>
            <w:tcW w:w="1440" w:type="dxa"/>
            <w:shd w:val="clear" w:color="auto" w:fill="DEEAF6"/>
            <w:hideMark/>
          </w:tcPr>
          <w:p w14:paraId="2C4B482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n/a</w:t>
            </w:r>
          </w:p>
        </w:tc>
        <w:tc>
          <w:tcPr>
            <w:tcW w:w="1710" w:type="dxa"/>
            <w:shd w:val="clear" w:color="auto" w:fill="DEEAF6"/>
            <w:hideMark/>
          </w:tcPr>
          <w:p w14:paraId="5F1AD734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 *11 (2014 CE)</w:t>
            </w:r>
          </w:p>
        </w:tc>
      </w:tr>
      <w:tr w:rsidR="0057547D" w:rsidRPr="00B90CB0" w14:paraId="7E04B5CB" w14:textId="77777777" w:rsidTr="0083145E">
        <w:trPr>
          <w:trHeight w:val="790"/>
        </w:trPr>
        <w:tc>
          <w:tcPr>
            <w:tcW w:w="1458" w:type="dxa"/>
            <w:shd w:val="clear" w:color="auto" w:fill="DEEAF6"/>
            <w:hideMark/>
          </w:tcPr>
          <w:p w14:paraId="6A1B8017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GM-9 </w:t>
            </w:r>
          </w:p>
          <w:p w14:paraId="3C0DF149" w14:textId="77777777" w:rsidR="0057547D" w:rsidRPr="00B90CB0" w:rsidRDefault="0057547D" w:rsidP="0083145E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Andy Gump Landslide</w:t>
            </w:r>
          </w:p>
        </w:tc>
        <w:tc>
          <w:tcPr>
            <w:tcW w:w="990" w:type="dxa"/>
            <w:shd w:val="clear" w:color="auto" w:fill="DEEAF6"/>
            <w:hideMark/>
          </w:tcPr>
          <w:p w14:paraId="7DEE4BD1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n/a</w:t>
            </w:r>
          </w:p>
        </w:tc>
        <w:tc>
          <w:tcPr>
            <w:tcW w:w="990" w:type="dxa"/>
            <w:shd w:val="clear" w:color="auto" w:fill="DEEAF6"/>
            <w:hideMark/>
          </w:tcPr>
          <w:p w14:paraId="39DF8A03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Eyewitness</w:t>
            </w:r>
          </w:p>
        </w:tc>
        <w:tc>
          <w:tcPr>
            <w:tcW w:w="1080" w:type="dxa"/>
            <w:shd w:val="clear" w:color="auto" w:fill="DEEAF6"/>
            <w:hideMark/>
          </w:tcPr>
          <w:p w14:paraId="4FBE5CF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39.0081</w:t>
            </w:r>
          </w:p>
        </w:tc>
        <w:tc>
          <w:tcPr>
            <w:tcW w:w="1260" w:type="dxa"/>
            <w:shd w:val="clear" w:color="auto" w:fill="DEEAF6"/>
            <w:hideMark/>
          </w:tcPr>
          <w:p w14:paraId="5500912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-107.9400</w:t>
            </w:r>
          </w:p>
        </w:tc>
        <w:tc>
          <w:tcPr>
            <w:tcW w:w="720" w:type="dxa"/>
            <w:shd w:val="clear" w:color="auto" w:fill="DEEAF6"/>
            <w:hideMark/>
          </w:tcPr>
          <w:p w14:paraId="11CE15FC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2833</w:t>
            </w:r>
          </w:p>
        </w:tc>
        <w:tc>
          <w:tcPr>
            <w:tcW w:w="1440" w:type="dxa"/>
            <w:shd w:val="clear" w:color="auto" w:fill="DEEAF6"/>
            <w:hideMark/>
          </w:tcPr>
          <w:p w14:paraId="2A2E2596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n/a</w:t>
            </w:r>
          </w:p>
        </w:tc>
        <w:tc>
          <w:tcPr>
            <w:tcW w:w="1710" w:type="dxa"/>
            <w:shd w:val="clear" w:color="auto" w:fill="DEEAF6"/>
            <w:hideMark/>
          </w:tcPr>
          <w:p w14:paraId="4764B872" w14:textId="77777777" w:rsidR="0057547D" w:rsidRPr="00B90CB0" w:rsidRDefault="0057547D" w:rsidP="008314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90CB0">
              <w:rPr>
                <w:rFonts w:ascii="Arial" w:eastAsia="Calibri" w:hAnsi="Arial" w:cs="Arial"/>
                <w:sz w:val="20"/>
                <w:szCs w:val="20"/>
              </w:rPr>
              <w:t>*21 (2005 CE)</w:t>
            </w:r>
          </w:p>
        </w:tc>
      </w:tr>
    </w:tbl>
    <w:p w14:paraId="15BF186C" w14:textId="77777777" w:rsidR="0057547D" w:rsidRDefault="0057547D" w:rsidP="0057547D">
      <w:pPr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14:paraId="41B63693" w14:textId="77777777" w:rsidR="001074BC" w:rsidRDefault="001074BC" w:rsidP="007443CE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133866" w14:textId="083F6431" w:rsidR="007443CE" w:rsidRPr="007443CE" w:rsidRDefault="007443CE" w:rsidP="007443CE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4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Supplemental </w:t>
      </w:r>
      <w:r w:rsidR="00BF11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Figures</w:t>
      </w:r>
    </w:p>
    <w:p w14:paraId="73EA7B6F" w14:textId="763E8256" w:rsidR="0057547D" w:rsidRDefault="00011BBF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571B04F1" wp14:editId="2D8DDA71">
            <wp:extent cx="4524375" cy="3079537"/>
            <wp:effectExtent l="0" t="0" r="0" b="0"/>
            <wp:docPr id="6199763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76328" name="Picture 6199763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633" cy="308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18B11" w14:textId="5ADB5A4B" w:rsidR="004C4FB7" w:rsidRPr="004C4FB7" w:rsidRDefault="004C4FB7" w:rsidP="004C4FB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 xml:space="preserve">Supp. </w:t>
      </w:r>
      <w:r w:rsidRPr="004C4FB7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 xml:space="preserve">Fig. </w:t>
      </w:r>
      <w:r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S</w:t>
      </w:r>
      <w:r w:rsidR="00232334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>F 1</w:t>
      </w:r>
      <w:r w:rsidRPr="004C4FB7"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  <w:t xml:space="preserve"> Landslide parameters recorded for each inventory feature. Schematic illustrating geometric, kinematic, and environmental variables used in analysis</w:t>
      </w:r>
      <w:r w:rsidRPr="004C4FB7">
        <w:rPr>
          <w:rFonts w:ascii="Arial" w:eastAsia="Calibri" w:hAnsi="Arial" w:cs="Arial"/>
          <w:b/>
          <w:bCs/>
          <w:i/>
          <w:iCs/>
          <w:color w:val="0070C0"/>
          <w:kern w:val="0"/>
          <w:sz w:val="20"/>
          <w:szCs w:val="20"/>
          <w14:ligatures w14:val="none"/>
        </w:rPr>
        <w:t>.</w:t>
      </w:r>
    </w:p>
    <w:p w14:paraId="67A64054" w14:textId="77777777" w:rsidR="004C4FB7" w:rsidRDefault="004C4FB7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7B45508" w14:textId="0EBA5EC5" w:rsidR="001074BC" w:rsidRDefault="001074BC" w:rsidP="001074BC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2FFDC25A" wp14:editId="544C92D1">
            <wp:extent cx="5419725" cy="2390140"/>
            <wp:effectExtent l="0" t="0" r="9525" b="0"/>
            <wp:docPr id="1365947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74BC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</w:t>
      </w:r>
      <w:r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                  </w:t>
      </w:r>
      <w:r w:rsidRPr="00F045BC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Supp. Fig. SF</w:t>
      </w:r>
      <w:r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2</w:t>
      </w:r>
      <w:r w:rsidRPr="00F045BC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GMSA landslide frequency pie charts. a) Stratigraphy, b) Stratigraphy normalized by the stratigraphic unit thickness</w:t>
      </w:r>
    </w:p>
    <w:p w14:paraId="5B1F4609" w14:textId="2AFBA0E5" w:rsidR="00B84ADE" w:rsidRDefault="00B84ADE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0CB0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12584856" wp14:editId="5FDBC83B">
            <wp:extent cx="3779520" cy="6182757"/>
            <wp:effectExtent l="0" t="0" r="0" b="8890"/>
            <wp:docPr id="762094519" name="Picture 4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94519" name="Picture 4" descr="A screenshot of a grap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672" cy="623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4F5C3" w14:textId="6F2364BE" w:rsidR="00C70839" w:rsidRPr="00970200" w:rsidRDefault="00C70839" w:rsidP="00C70839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  <w:r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Supp</w:t>
      </w:r>
      <w:r w:rsidR="00970200"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.</w:t>
      </w:r>
      <w:r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Fig</w:t>
      </w:r>
      <w:r w:rsidR="00970200"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. SF </w:t>
      </w:r>
      <w:r w:rsidR="001074BC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3</w:t>
      </w:r>
      <w:r w:rsidR="00970200"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</w:t>
      </w:r>
      <w:r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GMSA landslide frequency pie charts. a) State of activity </w:t>
      </w:r>
    </w:p>
    <w:p w14:paraId="45152A88" w14:textId="77777777" w:rsidR="00C70839" w:rsidRPr="00970200" w:rsidRDefault="00C70839" w:rsidP="00C70839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  <w:r w:rsidRPr="00970200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(geomorphic age), b) Style of activity, and c) Varnes type.</w:t>
      </w:r>
    </w:p>
    <w:p w14:paraId="580D8470" w14:textId="77777777" w:rsidR="00C70839" w:rsidRPr="00970200" w:rsidRDefault="00C70839" w:rsidP="00C70839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</w:p>
    <w:p w14:paraId="123C2443" w14:textId="7447B78B" w:rsidR="00C70839" w:rsidRDefault="00C70839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1F7C709" w14:textId="65C44ACE" w:rsidR="00723D21" w:rsidRPr="00F045BC" w:rsidRDefault="00723D21" w:rsidP="00723D21">
      <w:pPr>
        <w:spacing w:after="0" w:line="240" w:lineRule="auto"/>
        <w:rPr>
          <w:rFonts w:ascii="Arial" w:eastAsia="Times New Roman" w:hAnsi="Arial" w:cs="Arial"/>
          <w:i/>
          <w:iCs/>
          <w:color w:val="0070C0"/>
          <w:kern w:val="0"/>
          <w:sz w:val="20"/>
          <w:szCs w:val="20"/>
          <w14:ligatures w14:val="none"/>
        </w:rPr>
      </w:pPr>
      <w:r w:rsidRPr="00F045BC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.</w:t>
      </w:r>
    </w:p>
    <w:p w14:paraId="00C51BFB" w14:textId="77777777" w:rsidR="00723D21" w:rsidRDefault="00723D21" w:rsidP="00B90CB0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4B09E0F" w14:textId="77777777" w:rsidR="006632E0" w:rsidRDefault="006632E0" w:rsidP="006632E0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0CB0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5004096E" wp14:editId="45EA934F">
            <wp:extent cx="5616450" cy="6497320"/>
            <wp:effectExtent l="0" t="0" r="3810" b="0"/>
            <wp:docPr id="1709347531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47531" name="Picture 3" descr="A screenshot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054" cy="649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EB548" w14:textId="08E4846B" w:rsidR="00550F7B" w:rsidRPr="00425B65" w:rsidRDefault="00E23798" w:rsidP="00550F7B">
      <w:pPr>
        <w:spacing w:after="0" w:line="240" w:lineRule="auto"/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</w:pPr>
      <w:r w:rsidRPr="00425B65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Supp. Fig. SF </w:t>
      </w:r>
      <w:r w:rsidR="00550F7B" w:rsidRPr="00425B65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4</w:t>
      </w:r>
      <w:r w:rsidRPr="00425B65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 </w:t>
      </w:r>
      <w:r w:rsidR="00550F7B" w:rsidRPr="00425B65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GMSA landslide histograms. a) Mobility index, b) Headscarp maximum elevation, </w:t>
      </w:r>
    </w:p>
    <w:p w14:paraId="1EACBCD1" w14:textId="0FCD5138" w:rsidR="00E23798" w:rsidRPr="00425B65" w:rsidRDefault="00550F7B" w:rsidP="00550F7B">
      <w:pPr>
        <w:spacing w:after="0" w:line="240" w:lineRule="auto"/>
        <w:rPr>
          <w:rFonts w:ascii="Arial" w:eastAsia="Times New Roman" w:hAnsi="Arial" w:cs="Arial"/>
          <w:i/>
          <w:iCs/>
          <w:color w:val="0070C0"/>
          <w:kern w:val="0"/>
          <w:sz w:val="20"/>
          <w:szCs w:val="20"/>
          <w14:ligatures w14:val="none"/>
        </w:rPr>
      </w:pPr>
      <w:r w:rsidRPr="00425B65">
        <w:rPr>
          <w:rFonts w:ascii="Arial" w:eastAsia="Arial" w:hAnsi="Arial" w:cs="Arial"/>
          <w:i/>
          <w:iCs/>
          <w:color w:val="0070C0"/>
          <w:kern w:val="24"/>
          <w:sz w:val="20"/>
          <w:szCs w:val="20"/>
          <w14:ligatures w14:val="none"/>
        </w:rPr>
        <w:t>c) Pre-initiation slope, d) Headscarp slope, e) pre-and post-initiation headscarp slope difference</w:t>
      </w:r>
    </w:p>
    <w:p w14:paraId="63D45B84" w14:textId="77777777" w:rsidR="00E23798" w:rsidRDefault="00E23798" w:rsidP="00E23798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F1E8ABD" w14:textId="772CA53C" w:rsidR="00E23798" w:rsidRDefault="00BF5FC8" w:rsidP="006632E0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4A61500A" wp14:editId="640D0C0B">
            <wp:extent cx="5981700" cy="7593571"/>
            <wp:effectExtent l="0" t="0" r="0" b="7620"/>
            <wp:docPr id="7441784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99" cy="75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11058" w14:textId="54E549AB" w:rsidR="00BF5FC8" w:rsidRPr="00BF5FC8" w:rsidRDefault="00BF5FC8" w:rsidP="00BF5FC8">
      <w:pPr>
        <w:pStyle w:val="NormalWeb"/>
        <w:spacing w:before="0" w:beforeAutospacing="0" w:after="0" w:afterAutospacing="0" w:line="256" w:lineRule="auto"/>
        <w:rPr>
          <w:rFonts w:ascii="Arial" w:hAnsi="Arial" w:cs="Arial"/>
          <w:i/>
          <w:iCs/>
          <w:color w:val="0070C0"/>
          <w:sz w:val="20"/>
          <w:szCs w:val="20"/>
        </w:rPr>
      </w:pPr>
      <w:r w:rsidRPr="00BF5FC8">
        <w:rPr>
          <w:rFonts w:ascii="Arial" w:hAnsi="Arial" w:cs="Arial"/>
          <w:i/>
          <w:iCs/>
          <w:color w:val="0070C0"/>
          <w:kern w:val="24"/>
          <w:sz w:val="20"/>
          <w:szCs w:val="20"/>
        </w:rPr>
        <w:t>Supp. Fig. SF</w:t>
      </w:r>
      <w:r w:rsidR="004D32FB">
        <w:rPr>
          <w:rFonts w:ascii="Arial" w:hAnsi="Arial" w:cs="Arial"/>
          <w:i/>
          <w:iCs/>
          <w:color w:val="0070C0"/>
          <w:kern w:val="24"/>
          <w:sz w:val="20"/>
          <w:szCs w:val="20"/>
        </w:rPr>
        <w:t xml:space="preserve"> 5</w:t>
      </w:r>
      <w:r w:rsidRPr="00BF5FC8">
        <w:rPr>
          <w:rFonts w:ascii="Arial" w:hAnsi="Arial" w:cs="Arial"/>
          <w:i/>
          <w:iCs/>
          <w:color w:val="0070C0"/>
          <w:kern w:val="24"/>
          <w:sz w:val="20"/>
          <w:szCs w:val="20"/>
        </w:rPr>
        <w:t xml:space="preserve"> Landslide polar histograms and histograms. a) Headscarp aspect, b) Aspect pre-initiation, c) Pre- and post-initiation aspect change, d) Standard deviation of slope, e) Insolation.</w:t>
      </w:r>
    </w:p>
    <w:p w14:paraId="62888BA6" w14:textId="77777777" w:rsidR="00BF5FC8" w:rsidRPr="00B90CB0" w:rsidRDefault="00BF5FC8" w:rsidP="006632E0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1C91234" w14:textId="77777777" w:rsidR="00B90CB0" w:rsidRPr="00B90CB0" w:rsidRDefault="00B90CB0" w:rsidP="00B90CB0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90CB0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04B49E74" wp14:editId="4692F358">
            <wp:extent cx="3244850" cy="5886450"/>
            <wp:effectExtent l="0" t="0" r="0" b="0"/>
            <wp:docPr id="110" name="Picture 11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2" t="874" r="30591" b="3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64" cy="58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BA882" w14:textId="77777777" w:rsidR="00B90CB0" w:rsidRPr="00B90CB0" w:rsidRDefault="00B90CB0" w:rsidP="00B90C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14:ligatures w14:val="none"/>
        </w:rPr>
      </w:pPr>
    </w:p>
    <w:p w14:paraId="0B93AEA7" w14:textId="65C5C28A" w:rsidR="008B6EF1" w:rsidRPr="00A318A7" w:rsidRDefault="00E83BFD" w:rsidP="00A318A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1523A" wp14:editId="5057013E">
                <wp:simplePos x="0" y="0"/>
                <wp:positionH relativeFrom="column">
                  <wp:posOffset>2584450</wp:posOffset>
                </wp:positionH>
                <wp:positionV relativeFrom="paragraph">
                  <wp:posOffset>3389630</wp:posOffset>
                </wp:positionV>
                <wp:extent cx="7690485" cy="646331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78493-D8E0-4ABB-BC34-AB3C770614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90485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020B24" w14:textId="4D46CB15" w:rsidR="005B39BD" w:rsidRPr="008B6EF1" w:rsidRDefault="005B39BD" w:rsidP="005B39BD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</w:rPr>
                            </w:pP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Supp</w:t>
                            </w:r>
                            <w:r w:rsidR="00DD4554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Fig. </w:t>
                            </w:r>
                            <w:r w:rsidR="00DD4554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SF </w:t>
                            </w:r>
                            <w:r w:rsidR="004D32FB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="006037A5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Pre-initiation volume response regression tree. The red arrows mark the regression </w:t>
                            </w:r>
                            <w:r w:rsidR="006037A5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toward the strongest volume response, i.e., the largest-volume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landslides.  The green arrows mark the regression </w:t>
                            </w:r>
                            <w:r w:rsidR="006037A5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toward the weakest volume response, i.e., the smallest-volume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landslides.</w:t>
                            </w:r>
                            <w:r w:rsidRPr="008B6EF1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81523A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203.5pt;margin-top:266.9pt;width:605.55pt;height:50.9pt;rotation:-90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" filled="f" stroked="f">
                <v:textbox style="mso-fit-shape-to-text:t">
                  <w:txbxContent>
                    <w:p w14:paraId="56020B24" w14:textId="4D46CB15" w:rsidR="005B39BD" w:rsidRPr="008B6EF1" w:rsidRDefault="005B39BD" w:rsidP="005B39BD">
                      <w:pPr>
                        <w:spacing w:line="240" w:lineRule="auto"/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</w:rPr>
                      </w:pP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Supp</w:t>
                      </w:r>
                      <w:r w:rsidR="00DD4554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Fig. </w:t>
                      </w:r>
                      <w:r w:rsidR="00DD4554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SF </w:t>
                      </w:r>
                      <w:r w:rsidR="004D32FB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6</w:t>
                      </w:r>
                      <w:r w:rsidR="006037A5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Pre-initiation volume response regression tree. The red arrows mark the regression </w:t>
                      </w:r>
                      <w:r w:rsidR="006037A5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toward the strongest volume response, i.e., the largest-volume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landslides.  The green arrows mark the regression </w:t>
                      </w:r>
                      <w:r w:rsidR="006037A5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toward the weakest volume response, i.e., the smallest-volume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landslides.</w:t>
                      </w:r>
                      <w:r w:rsidRPr="008B6EF1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B212C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09EB69B2" wp14:editId="16467B5F">
            <wp:extent cx="5778500" cy="7403465"/>
            <wp:effectExtent l="152400" t="152400" r="355600" b="368935"/>
            <wp:docPr id="111" name="Picture 1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40" cy="743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8E08B2" w14:textId="77D7E91F" w:rsidR="008B6EF1" w:rsidRPr="00A318A7" w:rsidRDefault="004D32FB" w:rsidP="00A318A7">
      <w:pPr>
        <w:keepNext/>
        <w:spacing w:before="100" w:beforeAutospacing="1" w:after="100" w:afterAutospacing="1"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1FB88" wp14:editId="58770592">
                <wp:simplePos x="0" y="0"/>
                <wp:positionH relativeFrom="column">
                  <wp:posOffset>2352230</wp:posOffset>
                </wp:positionH>
                <wp:positionV relativeFrom="paragraph">
                  <wp:posOffset>3552634</wp:posOffset>
                </wp:positionV>
                <wp:extent cx="7613333" cy="830997"/>
                <wp:effectExtent l="0" t="0" r="0" b="0"/>
                <wp:wrapNone/>
                <wp:docPr id="71258691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13333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4F44D4" w14:textId="7C8A346A" w:rsidR="00AE17B1" w:rsidRPr="004D32FB" w:rsidRDefault="00AE17B1" w:rsidP="00AE17B1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Supp</w:t>
                            </w:r>
                            <w:r w:rsidR="00B33AC1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Fi</w:t>
                            </w:r>
                            <w:r w:rsidR="00B33AC1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  <w:r w:rsidR="00CF70DF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B33AC1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 SF </w:t>
                            </w:r>
                            <w:r w:rsidR="00634455"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7 Post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-initiation volume response regression tree</w:t>
                            </w:r>
                            <w:r w:rsidR="008A6E1E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. T</w:t>
                            </w:r>
                            <w:r w:rsidRPr="004D32F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he red arrows indicate regression toward the strongest-volume response, i.e., the largest-volume landslides. The green dashed arrows denote </w:t>
                            </w:r>
                            <w:r w:rsidR="00CF70DF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 xml:space="preserve">regression toward the smallest-volume landslides. </w:t>
                            </w:r>
                          </w:p>
                          <w:p w14:paraId="78314315" w14:textId="3B10601E" w:rsidR="00AE17B1" w:rsidRPr="008B6EF1" w:rsidRDefault="00AE17B1" w:rsidP="00AE17B1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70C0"/>
                                <w:kern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C1FB88" id="TextBox 13" o:spid="_x0000_s1027" type="#_x0000_t202" style="position:absolute;margin-left:185.2pt;margin-top:279.75pt;width:599.5pt;height:65.45pt;rotation:-9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" filled="f" stroked="f">
                <v:textbox style="mso-fit-shape-to-text:t">
                  <w:txbxContent>
                    <w:p w14:paraId="4B4F44D4" w14:textId="7C8A346A" w:rsidR="00AE17B1" w:rsidRPr="004D32FB" w:rsidRDefault="00AE17B1" w:rsidP="00AE17B1">
                      <w:pPr>
                        <w:spacing w:line="240" w:lineRule="auto"/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</w:pP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Supp</w:t>
                      </w:r>
                      <w:r w:rsidR="00B33AC1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Fi</w:t>
                      </w:r>
                      <w:r w:rsidR="00B33AC1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g</w:t>
                      </w:r>
                      <w:r w:rsidR="00CF70DF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B33AC1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 SF </w:t>
                      </w:r>
                      <w:r w:rsidR="00634455"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7 Post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-initiation volume response regression tree</w:t>
                      </w:r>
                      <w:r w:rsidR="008A6E1E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>. T</w:t>
                      </w:r>
                      <w:r w:rsidRPr="004D32FB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he red arrows indicate regression toward the strongest-volume response, i.e., the largest-volume landslides. The green dashed arrows denote </w:t>
                      </w:r>
                      <w:r w:rsidR="00CF70DF"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:sz w:val="20"/>
                          <w:szCs w:val="20"/>
                        </w:rPr>
                        <w:t xml:space="preserve">regression toward the smallest-volume landslides. </w:t>
                      </w:r>
                    </w:p>
                    <w:p w14:paraId="78314315" w14:textId="3B10601E" w:rsidR="00AE17B1" w:rsidRPr="008B6EF1" w:rsidRDefault="00AE17B1" w:rsidP="00AE17B1">
                      <w:pPr>
                        <w:spacing w:line="240" w:lineRule="auto"/>
                        <w:rPr>
                          <w:rFonts w:ascii="Arial" w:eastAsia="Times New Roman" w:hAnsi="Arial" w:cs="Arial"/>
                          <w:i/>
                          <w:iCs/>
                          <w:color w:val="0070C0"/>
                          <w:kern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34D4">
        <w:rPr>
          <w:noProof/>
        </w:rPr>
        <w:drawing>
          <wp:inline distT="0" distB="0" distL="0" distR="0" wp14:anchorId="33EC6BD6" wp14:editId="3F9281B3">
            <wp:extent cx="5416378" cy="7580630"/>
            <wp:effectExtent l="152400" t="152400" r="356235" b="363220"/>
            <wp:docPr id="21145241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77" cy="7609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44210D" w14:textId="0A6DCBF2" w:rsidR="00AE17B1" w:rsidRPr="008A6E1E" w:rsidRDefault="00D26C17" w:rsidP="008A6E1E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24"/>
          <w:sz w:val="20"/>
          <w:szCs w:val="20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971D1" wp14:editId="1EE3A2DE">
                <wp:simplePos x="0" y="0"/>
                <wp:positionH relativeFrom="margin">
                  <wp:posOffset>2321311</wp:posOffset>
                </wp:positionH>
                <wp:positionV relativeFrom="paragraph">
                  <wp:posOffset>3690268</wp:posOffset>
                </wp:positionV>
                <wp:extent cx="8138984" cy="965200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ED0434-66E8-4E8B-ABA9-027E05B30C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38984" cy="965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B5120" w14:textId="48F7BCDC" w:rsidR="003345C8" w:rsidRPr="003345C8" w:rsidRDefault="003345C8" w:rsidP="003345C8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</w:rPr>
                            </w:pP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Supp</w:t>
                            </w:r>
                            <w:r w:rsidR="002D1475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. Fig. SF 8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Post-initiation volume response regression tree, mobility included as a predictor. The red arrows mark the regression to the strongest volume response, aka largest volume landslides.  The green dashed arrows mark the regression to the weakest volume</w:t>
                            </w:r>
                            <w:r w:rsid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response, aka smallest volume landslides.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71D1" id="TextBox 2" o:spid="_x0000_s1028" type="#_x0000_t202" style="position:absolute;margin-left:182.8pt;margin-top:290.55pt;width:640.85pt;height:7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" filled="f" stroked="f">
                <v:textbox>
                  <w:txbxContent>
                    <w:p w14:paraId="26FB5120" w14:textId="48F7BCDC" w:rsidR="003345C8" w:rsidRPr="003345C8" w:rsidRDefault="003345C8" w:rsidP="003345C8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70C0"/>
                        </w:rPr>
                      </w:pP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Supp</w:t>
                      </w:r>
                      <w:r w:rsidR="002D1475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. Fig. SF 8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. 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Post-initiation volume response regression tree, mobility included as a predictor. The red arrows mark the regression to the strongest volume response, aka largest volume landslides.  The green dashed arrows mark the regression to the weakest volume</w:t>
                      </w:r>
                      <w:r w:rsid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response, aka smallest volume landslides.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7D22">
        <w:rPr>
          <w:rFonts w:ascii="Arial" w:eastAsia="Times New Roman" w:hAnsi="Arial" w:cs="Arial"/>
          <w:b/>
          <w:bCs/>
          <w:noProof/>
          <w:color w:val="000000"/>
          <w:kern w:val="24"/>
          <w:sz w:val="20"/>
          <w:szCs w:val="20"/>
          <w14:ligatures w14:val="none"/>
        </w:rPr>
        <w:drawing>
          <wp:inline distT="0" distB="0" distL="0" distR="0" wp14:anchorId="73ACBC12" wp14:editId="32AD94BD">
            <wp:extent cx="5660390" cy="8028432"/>
            <wp:effectExtent l="152400" t="152400" r="359410" b="353695"/>
            <wp:docPr id="201823546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814" cy="8085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55ADE9" w14:textId="25096602" w:rsidR="003345C8" w:rsidRDefault="004D32FB" w:rsidP="00A318A7">
      <w:pPr>
        <w:pStyle w:val="NormalWeb"/>
        <w:rPr>
          <w:rFonts w:ascii="Arial" w:hAnsi="Arial" w:cs="Arial"/>
          <w:b/>
          <w:bCs/>
          <w:i/>
          <w:iCs/>
          <w:color w:val="0070C0"/>
          <w:kern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9ADA3" wp14:editId="6E6E3EF1">
                <wp:simplePos x="0" y="0"/>
                <wp:positionH relativeFrom="margin">
                  <wp:posOffset>2848610</wp:posOffset>
                </wp:positionH>
                <wp:positionV relativeFrom="paragraph">
                  <wp:posOffset>3204401</wp:posOffset>
                </wp:positionV>
                <wp:extent cx="6820027" cy="830580"/>
                <wp:effectExtent l="0" t="0" r="0" b="0"/>
                <wp:wrapNone/>
                <wp:docPr id="34105586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820027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3C15A0" w14:textId="4804A597" w:rsidR="00AE17B1" w:rsidRPr="004D32FB" w:rsidRDefault="00AE17B1" w:rsidP="00AE17B1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Supp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Fig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. SF 9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6E1E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Pre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-initiation mobility response regression tree.</w:t>
                            </w:r>
                            <w:r w:rsidR="0057547D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70DF" w:rsidRPr="00CF70DF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The red arrows mark the regression to the highest mobility response, aka longest runout landslides.  The green arrows mark the regression to the lowest mobility response, aka shortest runout landslides.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9ADA3" id="_x0000_s1029" type="#_x0000_t202" style="position:absolute;margin-left:224.3pt;margin-top:252.3pt;width:537pt;height:65.4pt;rotation:-90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" filled="f" stroked="f">
                <v:textbox style="mso-fit-shape-to-text:t">
                  <w:txbxContent>
                    <w:p w14:paraId="263C15A0" w14:textId="4804A597" w:rsidR="00AE17B1" w:rsidRPr="004D32FB" w:rsidRDefault="00AE17B1" w:rsidP="00AE17B1">
                      <w:pPr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</w:pP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Supp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.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Fig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. SF 9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8A6E1E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Pre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-initiation mobility response regression tree.</w:t>
                      </w:r>
                      <w:r w:rsidR="0057547D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CF70DF" w:rsidRPr="00CF70DF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The red arrows mark the regression to the highest mobility response, aka longest runout landslides.  The green arrows mark the regression to the lowest mobility response, aka shortest runout landslides.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17B1" w:rsidRPr="00AE17B1">
        <w:rPr>
          <w:rFonts w:ascii="Arial" w:hAnsi="Arial" w:cs="Arial"/>
          <w:b/>
          <w:bCs/>
          <w:i/>
          <w:iCs/>
          <w:color w:val="0070C0"/>
          <w:kern w:val="24"/>
        </w:rPr>
        <w:t xml:space="preserve">. </w:t>
      </w:r>
      <w:r>
        <w:rPr>
          <w:rFonts w:ascii="Arial" w:hAnsi="Arial" w:cs="Arial"/>
          <w:b/>
          <w:bCs/>
          <w:i/>
          <w:iCs/>
          <w:noProof/>
          <w:color w:val="0070C0"/>
          <w:kern w:val="24"/>
        </w:rPr>
        <w:drawing>
          <wp:inline distT="0" distB="0" distL="0" distR="0" wp14:anchorId="53EF8821" wp14:editId="7B4DC667">
            <wp:extent cx="5432425" cy="6880712"/>
            <wp:effectExtent l="152400" t="152400" r="358775" b="358775"/>
            <wp:docPr id="20953119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79" cy="6924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C9FA17" w14:textId="77777777" w:rsidR="008A6E1E" w:rsidRDefault="00AE17B1" w:rsidP="008A6E1E">
      <w:pPr>
        <w:spacing w:before="100" w:beforeAutospacing="1" w:after="100" w:afterAutospacing="1" w:line="240" w:lineRule="auto"/>
        <w:rPr>
          <w:rFonts w:ascii="Arial" w:eastAsia="Calibri" w:hAnsi="Arial" w:cs="Arial"/>
          <w:i/>
          <w:iCs/>
          <w:color w:val="0070C0"/>
          <w:kern w:val="0"/>
          <w:sz w:val="20"/>
          <w:szCs w:val="20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DD5370" wp14:editId="7E21D375">
                <wp:simplePos x="0" y="0"/>
                <wp:positionH relativeFrom="margin">
                  <wp:posOffset>2321562</wp:posOffset>
                </wp:positionH>
                <wp:positionV relativeFrom="paragraph">
                  <wp:posOffset>3514089</wp:posOffset>
                </wp:positionV>
                <wp:extent cx="7753351" cy="676275"/>
                <wp:effectExtent l="0" t="0" r="0" b="0"/>
                <wp:wrapNone/>
                <wp:docPr id="117717343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53351" cy="676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922E0A" w14:textId="1AC8F4D0" w:rsidR="00AE17B1" w:rsidRPr="00AE17B1" w:rsidRDefault="00AE17B1" w:rsidP="00AE17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</w:pP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Sup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p.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Fi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g. SF 10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6E1E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Post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-initiation mobility response regression tree.</w:t>
                            </w:r>
                            <w:r w:rsidR="0057547D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70DF" w:rsidRPr="00CF70DF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The red arrows mark the regression to the highest mobility response, aka longest runout landslides.  The green arrows mark the regression to the lowest mobility response, aka shortest runout landslides.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D5370" id="_x0000_s1030" type="#_x0000_t202" style="position:absolute;margin-left:182.8pt;margin-top:276.7pt;width:610.5pt;height:53.2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" filled="f" stroked="f">
                <v:textbox>
                  <w:txbxContent>
                    <w:p w14:paraId="52922E0A" w14:textId="1AC8F4D0" w:rsidR="00AE17B1" w:rsidRPr="00AE17B1" w:rsidRDefault="00AE17B1" w:rsidP="00AE17B1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</w:rPr>
                      </w:pP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Sup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p.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Fi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g. SF 10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8A6E1E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Post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-initiation mobility response regression tree.</w:t>
                      </w:r>
                      <w:r w:rsidR="0057547D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CF70DF" w:rsidRPr="00CF70DF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The red arrows mark the regression to the highest mobility response, aka longest runout landslides.  The green arrows mark the regression to the lowest mobility response, aka shortest runout landslides.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6E1E">
        <w:rPr>
          <w:rFonts w:ascii="Arial" w:eastAsia="Calibri" w:hAnsi="Arial" w:cs="Arial"/>
          <w:i/>
          <w:iCs/>
          <w:noProof/>
          <w:color w:val="0070C0"/>
          <w:kern w:val="0"/>
          <w:sz w:val="20"/>
          <w:szCs w:val="20"/>
          <w14:ligatures w14:val="none"/>
        </w:rPr>
        <w:drawing>
          <wp:inline distT="0" distB="0" distL="0" distR="0" wp14:anchorId="4CCBF0AC" wp14:editId="3CB657FD">
            <wp:extent cx="5549712" cy="7577328"/>
            <wp:effectExtent l="152400" t="152400" r="356235" b="367030"/>
            <wp:docPr id="4596298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75" cy="7634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9BEA7B" w14:textId="23980F92" w:rsidR="00B90CB0" w:rsidRPr="008A6E1E" w:rsidRDefault="00B90CB0" w:rsidP="008A6E1E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</w:pPr>
    </w:p>
    <w:p w14:paraId="5AA15780" w14:textId="17EF0550" w:rsidR="00B90CB0" w:rsidRPr="00B90CB0" w:rsidRDefault="00CF70DF" w:rsidP="00B90C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24"/>
          <w:sz w:val="20"/>
          <w:szCs w:val="2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3ECD36" wp14:editId="653143EC">
                <wp:simplePos x="0" y="0"/>
                <wp:positionH relativeFrom="margin">
                  <wp:posOffset>2664016</wp:posOffset>
                </wp:positionH>
                <wp:positionV relativeFrom="paragraph">
                  <wp:posOffset>3495483</wp:posOffset>
                </wp:positionV>
                <wp:extent cx="7217410" cy="676275"/>
                <wp:effectExtent l="0" t="0" r="0" b="0"/>
                <wp:wrapNone/>
                <wp:docPr id="136075163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217410" cy="676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51269E" w14:textId="07EF6E4E" w:rsidR="00A318A7" w:rsidRPr="004D32FB" w:rsidRDefault="00A318A7" w:rsidP="00A318A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Supp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 Fig</w:t>
                            </w:r>
                            <w:r w:rsidR="004D32FB"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. SF 1</w:t>
                            </w:r>
                            <w:r w:rsidR="00CF70DF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1</w:t>
                            </w:r>
                            <w:r w:rsidRPr="004D32FB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 xml:space="preserve">. Post-initiation mobility response regression tree, volume included as a predictor. </w:t>
                            </w:r>
                            <w:r w:rsidR="00CF70DF" w:rsidRPr="00CF70DF">
                              <w:rPr>
                                <w:rFonts w:ascii="Arial" w:hAnsi="Arial" w:cs="Arial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The red arrows mark the regression to the highest mobility response, aka longest runout landslides.  The green arrows mark the regression to the lowest mobility response, aka shortest runout landslides.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ECD36" id="_x0000_s1031" type="#_x0000_t202" style="position:absolute;margin-left:209.75pt;margin-top:275.25pt;width:568.3pt;height:53.2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" filled="f" stroked="f">
                <v:textbox>
                  <w:txbxContent>
                    <w:p w14:paraId="4A51269E" w14:textId="07EF6E4E" w:rsidR="00A318A7" w:rsidRPr="004D32FB" w:rsidRDefault="00A318A7" w:rsidP="00A318A7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20"/>
                          <w:szCs w:val="20"/>
                        </w:rPr>
                      </w:pP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Supp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.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Fig</w:t>
                      </w:r>
                      <w:r w:rsidR="004D32FB"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. SF 1</w:t>
                      </w:r>
                      <w:r w:rsidR="00CF70DF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1</w:t>
                      </w:r>
                      <w:r w:rsidRPr="004D32FB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. Post-initiation mobility response regression tree, volume included as a predictor. </w:t>
                      </w:r>
                      <w:r w:rsidR="00CF70DF" w:rsidRPr="00CF70DF">
                        <w:rPr>
                          <w:rFonts w:ascii="Arial" w:hAnsi="Arial" w:cs="Arial"/>
                          <w:i/>
                          <w:iCs/>
                          <w:color w:val="0070C0"/>
                          <w:sz w:val="20"/>
                          <w:szCs w:val="20"/>
                        </w:rPr>
                        <w:t>The red arrows mark the regression to the highest mobility response, aka longest runout landslides.  The green arrows mark the regression to the lowest mobility response, aka shortest runout landslides.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34B3">
        <w:rPr>
          <w:rFonts w:ascii="Arial" w:eastAsia="Times New Roman" w:hAnsi="Arial" w:cs="Arial"/>
          <w:b/>
          <w:bCs/>
          <w:noProof/>
          <w:color w:val="000000"/>
          <w:kern w:val="24"/>
          <w:sz w:val="20"/>
          <w:szCs w:val="20"/>
          <w14:ligatures w14:val="none"/>
        </w:rPr>
        <w:drawing>
          <wp:inline distT="0" distB="0" distL="0" distR="0" wp14:anchorId="7F22CF5D" wp14:editId="4E515356">
            <wp:extent cx="5620385" cy="7290816"/>
            <wp:effectExtent l="152400" t="152400" r="361315" b="367665"/>
            <wp:docPr id="13185733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8" b="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40" cy="7323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6A3A3" w14:textId="790C3800" w:rsidR="00B90CB0" w:rsidRPr="007D3D07" w:rsidRDefault="00B90CB0" w:rsidP="00B90CB0">
      <w:pPr>
        <w:spacing w:after="0" w:line="240" w:lineRule="auto"/>
        <w:rPr>
          <w:rFonts w:ascii="Arial" w:eastAsia="Times New Roman" w:hAnsi="Arial" w:cs="Arial"/>
          <w:i/>
          <w:iCs/>
          <w:color w:val="0070C0"/>
          <w:kern w:val="24"/>
          <w:sz w:val="20"/>
          <w:szCs w:val="20"/>
          <w14:ligatures w14:val="none"/>
        </w:rPr>
      </w:pPr>
      <w:r w:rsidRPr="007D3D07">
        <w:rPr>
          <w:rFonts w:ascii="Arial" w:eastAsia="Times New Roman" w:hAnsi="Arial" w:cs="Arial"/>
          <w:b/>
          <w:bCs/>
          <w:i/>
          <w:iCs/>
          <w:color w:val="0070C0"/>
          <w:kern w:val="24"/>
          <w:sz w:val="20"/>
          <w:szCs w:val="20"/>
          <w14:ligatures w14:val="none"/>
        </w:rPr>
        <w:lastRenderedPageBreak/>
        <w:t xml:space="preserve">Supplemental </w:t>
      </w:r>
      <w:r w:rsidR="00FE0B38" w:rsidRPr="007D3D07">
        <w:rPr>
          <w:rFonts w:ascii="Arial" w:eastAsia="Times New Roman" w:hAnsi="Arial" w:cs="Arial"/>
          <w:b/>
          <w:bCs/>
          <w:i/>
          <w:iCs/>
          <w:color w:val="0070C0"/>
          <w:kern w:val="24"/>
          <w:sz w:val="20"/>
          <w:szCs w:val="20"/>
          <w14:ligatures w14:val="none"/>
        </w:rPr>
        <w:t>References</w:t>
      </w:r>
      <w:r w:rsidRPr="007D3D07">
        <w:rPr>
          <w:rFonts w:ascii="Arial" w:eastAsia="Times New Roman" w:hAnsi="Arial" w:cs="Arial"/>
          <w:b/>
          <w:bCs/>
          <w:i/>
          <w:iCs/>
          <w:color w:val="0070C0"/>
          <w:kern w:val="24"/>
          <w:sz w:val="20"/>
          <w:szCs w:val="20"/>
          <w14:ligatures w14:val="none"/>
        </w:rPr>
        <w:t xml:space="preserve">. </w:t>
      </w:r>
      <w:r w:rsidRPr="007D3D07">
        <w:rPr>
          <w:rFonts w:ascii="Arial" w:eastAsia="Times New Roman" w:hAnsi="Arial" w:cs="Arial"/>
          <w:i/>
          <w:iCs/>
          <w:color w:val="0070C0"/>
          <w:kern w:val="24"/>
          <w:sz w:val="20"/>
          <w:szCs w:val="20"/>
          <w14:ligatures w14:val="none"/>
        </w:rPr>
        <w:t>Map and well references</w:t>
      </w:r>
      <w:r w:rsidR="00DF796B" w:rsidRPr="007D3D07">
        <w:rPr>
          <w:rFonts w:ascii="Arial" w:eastAsia="Times New Roman" w:hAnsi="Arial" w:cs="Arial"/>
          <w:i/>
          <w:iCs/>
          <w:color w:val="0070C0"/>
          <w:kern w:val="24"/>
          <w:sz w:val="20"/>
          <w:szCs w:val="20"/>
          <w14:ligatures w14:val="none"/>
        </w:rPr>
        <w:t xml:space="preserve">. </w:t>
      </w:r>
      <w:r w:rsidRPr="007D3D07">
        <w:rPr>
          <w:rFonts w:ascii="Arial" w:eastAsia="Times New Roman" w:hAnsi="Arial" w:cs="Arial"/>
          <w:i/>
          <w:iCs/>
          <w:color w:val="0070C0"/>
          <w:kern w:val="24"/>
          <w:sz w:val="20"/>
          <w:szCs w:val="20"/>
          <w14:ligatures w14:val="none"/>
        </w:rPr>
        <w:t>These maps and wells were used to determine the stratigraphy and thickness of the stratigraphic units in the GMSA.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</w:tblGrid>
      <w:tr w:rsidR="00DF796B" w:rsidRPr="00B90CB0" w14:paraId="2CF664DA" w14:textId="77777777" w:rsidTr="00DF796B">
        <w:trPr>
          <w:trHeight w:val="268"/>
        </w:trPr>
        <w:tc>
          <w:tcPr>
            <w:tcW w:w="9985" w:type="dxa"/>
            <w:shd w:val="clear" w:color="auto" w:fill="2E74B5"/>
            <w:hideMark/>
          </w:tcPr>
          <w:p w14:paraId="7344AEE4" w14:textId="77777777" w:rsidR="00DF796B" w:rsidRPr="00B90CB0" w:rsidRDefault="00DF796B" w:rsidP="00B90CB0">
            <w:pPr>
              <w:spacing w:line="360" w:lineRule="auto"/>
              <w:rPr>
                <w:rFonts w:ascii="Arial" w:hAnsi="Arial" w:cs="Arial"/>
                <w:b/>
                <w:bCs/>
                <w:color w:val="FFFFFF"/>
                <w:kern w:val="24"/>
                <w:sz w:val="20"/>
                <w:szCs w:val="20"/>
                <w14:ligatures w14:val="none"/>
              </w:rPr>
            </w:pPr>
            <w:r w:rsidRPr="00B90CB0">
              <w:rPr>
                <w:rFonts w:ascii="Arial" w:hAnsi="Arial" w:cs="Arial"/>
                <w:b/>
                <w:bCs/>
                <w:color w:val="FFFFFF"/>
                <w:kern w:val="24"/>
                <w:sz w:val="20"/>
                <w:szCs w:val="20"/>
                <w14:ligatures w14:val="none"/>
              </w:rPr>
              <w:t>Source</w:t>
            </w:r>
          </w:p>
        </w:tc>
      </w:tr>
      <w:tr w:rsidR="00DF796B" w:rsidRPr="00B90CB0" w14:paraId="11242EE2" w14:textId="77777777" w:rsidTr="00DF796B">
        <w:trPr>
          <w:trHeight w:val="545"/>
        </w:trPr>
        <w:tc>
          <w:tcPr>
            <w:tcW w:w="9985" w:type="dxa"/>
            <w:shd w:val="clear" w:color="auto" w:fill="DEEAF6"/>
            <w:hideMark/>
          </w:tcPr>
          <w:p w14:paraId="2917E2D9" w14:textId="77777777" w:rsidR="00DF796B" w:rsidRDefault="00DF796B" w:rsidP="00DF796B">
            <w:r w:rsidRPr="00BE79D5">
              <w:t>Carrara PE (2000) Geologic map of the Palisade quadrangle, Mesa County, Colorado. US Geological Survey Miscellaneous Field Studies Map MF-2326, scale 1:24,000</w:t>
            </w:r>
          </w:p>
          <w:p w14:paraId="0DEE7C53" w14:textId="01E6E48B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7AE3FD6C" w14:textId="77777777" w:rsidTr="001074BC">
        <w:trPr>
          <w:trHeight w:val="674"/>
        </w:trPr>
        <w:tc>
          <w:tcPr>
            <w:tcW w:w="9985" w:type="dxa"/>
            <w:shd w:val="clear" w:color="auto" w:fill="DEEAF6"/>
            <w:hideMark/>
          </w:tcPr>
          <w:p w14:paraId="3B45ABFE" w14:textId="3F1B708A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>Carrara PE (2001) Geologic map of the Clifton quadrangle, Mesa County, Colorado. US Geological Survey Miscellaneous Field Studies Map MF-2359, scale 1:24,000</w:t>
            </w:r>
          </w:p>
        </w:tc>
      </w:tr>
      <w:tr w:rsidR="00DF796B" w:rsidRPr="00B90CB0" w14:paraId="582D12B8" w14:textId="77777777" w:rsidTr="001074BC">
        <w:trPr>
          <w:trHeight w:val="629"/>
        </w:trPr>
        <w:tc>
          <w:tcPr>
            <w:tcW w:w="9985" w:type="dxa"/>
            <w:shd w:val="clear" w:color="auto" w:fill="DEEAF6"/>
            <w:hideMark/>
          </w:tcPr>
          <w:p w14:paraId="10278BDB" w14:textId="4CEABC8E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>Donnell JR, Yeend WE, Smith MC (1984) Preliminary geologic map of the Mesa quadrangle, Mesa County, Colorado. US Geological Survey Miscellaneous Field Studies Map MF-1698, scale 1:24,000</w:t>
            </w:r>
          </w:p>
        </w:tc>
      </w:tr>
      <w:tr w:rsidR="00DF796B" w:rsidRPr="00B90CB0" w14:paraId="5C0FE909" w14:textId="77777777" w:rsidTr="00DF796B">
        <w:trPr>
          <w:trHeight w:val="827"/>
        </w:trPr>
        <w:tc>
          <w:tcPr>
            <w:tcW w:w="9985" w:type="dxa"/>
            <w:shd w:val="clear" w:color="auto" w:fill="DEEAF6"/>
            <w:hideMark/>
          </w:tcPr>
          <w:p w14:paraId="7C348F02" w14:textId="77777777" w:rsidR="00DF796B" w:rsidRDefault="00DF796B" w:rsidP="00DF796B">
            <w:r w:rsidRPr="00BE79D5">
              <w:t>Donnell JR, Yeend WE, Smith MC (1985a) Preliminary geologic map of the Collbran quadrangle, Mesa County, Colorado. US Geological Survey Miscellaneous Field Studies Map MF-1825, scale 1:24,000</w:t>
            </w:r>
          </w:p>
          <w:p w14:paraId="03688701" w14:textId="0FFC31A5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378EF9C3" w14:textId="77777777" w:rsidTr="00DF796B">
        <w:trPr>
          <w:trHeight w:val="657"/>
        </w:trPr>
        <w:tc>
          <w:tcPr>
            <w:tcW w:w="9985" w:type="dxa"/>
            <w:shd w:val="clear" w:color="auto" w:fill="DEEAF6"/>
            <w:hideMark/>
          </w:tcPr>
          <w:p w14:paraId="3667831E" w14:textId="77777777" w:rsidR="00DF796B" w:rsidRDefault="00DF796B" w:rsidP="00DF796B">
            <w:r w:rsidRPr="00BE79D5">
              <w:t>Donnell JR, Yeend WE, Smith MC (1985b) Preliminary geologic map of the Molina quadrangle, Mesa County, Colorado. US Geological Survey Miscellaneous Field Studies Map MF-1784, scale 1:24,000</w:t>
            </w:r>
          </w:p>
          <w:p w14:paraId="3BA156E2" w14:textId="05FBC4AB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56652117" w14:textId="77777777" w:rsidTr="00DF796B">
        <w:trPr>
          <w:trHeight w:val="710"/>
        </w:trPr>
        <w:tc>
          <w:tcPr>
            <w:tcW w:w="9985" w:type="dxa"/>
            <w:shd w:val="clear" w:color="auto" w:fill="DEEAF6"/>
            <w:hideMark/>
          </w:tcPr>
          <w:p w14:paraId="13F26DA5" w14:textId="68C369DD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BE79D5">
              <w:t>Dunrud</w:t>
            </w:r>
            <w:proofErr w:type="spellEnd"/>
            <w:r w:rsidRPr="00BE79D5">
              <w:t xml:space="preserve"> CR (1989) Geologic map and coal stratigraphic framework of the Cedaredge area, Delta County, Colorado. US Geological Survey Coal Investigations Map C-116, scale 1:50,000</w:t>
            </w:r>
          </w:p>
        </w:tc>
      </w:tr>
      <w:tr w:rsidR="00DF796B" w:rsidRPr="00B90CB0" w14:paraId="49B582D8" w14:textId="77777777" w:rsidTr="00DF796B">
        <w:trPr>
          <w:trHeight w:val="679"/>
        </w:trPr>
        <w:tc>
          <w:tcPr>
            <w:tcW w:w="9985" w:type="dxa"/>
            <w:shd w:val="clear" w:color="auto" w:fill="DEEAF6"/>
            <w:hideMark/>
          </w:tcPr>
          <w:p w14:paraId="609D6084" w14:textId="77777777" w:rsidR="00DF796B" w:rsidRDefault="00DF796B" w:rsidP="00DF796B">
            <w:r w:rsidRPr="00BE79D5">
              <w:t>Ellis MS, Freeman VL (1984) Geologic map and cross section of the Carbondale 30′ × 60′ quadrangle, west-central Colorado. US Geological Survey Coal Investigations Map C-97-A, scale 1:100,000</w:t>
            </w:r>
          </w:p>
          <w:p w14:paraId="414330D7" w14:textId="13D62241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77D45ABB" w14:textId="77777777" w:rsidTr="00DF796B">
        <w:trPr>
          <w:trHeight w:val="534"/>
        </w:trPr>
        <w:tc>
          <w:tcPr>
            <w:tcW w:w="9985" w:type="dxa"/>
            <w:shd w:val="clear" w:color="auto" w:fill="DEEAF6"/>
            <w:hideMark/>
          </w:tcPr>
          <w:p w14:paraId="1DC634C3" w14:textId="77777777" w:rsidR="00DF796B" w:rsidRDefault="00DF796B" w:rsidP="00DF796B">
            <w:r w:rsidRPr="00BE79D5">
              <w:t>Ellis MS, Gabaldo V (1989) Geologic map and cross sections of parts of the Grand Junction and Delta 30′ × 60′ quadrangles, west-central Colorado. US Geological Survey Coal Investigations Map C-124, scale 1:100,000</w:t>
            </w:r>
          </w:p>
          <w:p w14:paraId="0F1A1CED" w14:textId="3C3C5425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14469F61" w14:textId="77777777" w:rsidTr="00DF796B">
        <w:trPr>
          <w:trHeight w:val="534"/>
        </w:trPr>
        <w:tc>
          <w:tcPr>
            <w:tcW w:w="9985" w:type="dxa"/>
            <w:shd w:val="clear" w:color="auto" w:fill="DEEAF6"/>
            <w:hideMark/>
          </w:tcPr>
          <w:p w14:paraId="3CF691BF" w14:textId="77777777" w:rsidR="00DF796B" w:rsidRDefault="00DF796B" w:rsidP="00DF796B">
            <w:r w:rsidRPr="00BE79D5">
              <w:t>Gov #1 well (1973) API 05-077-08013, Great Western Drilling Co, Location 39.095275°N, 107.890706°W. ECMC Well Information Database</w:t>
            </w:r>
          </w:p>
          <w:p w14:paraId="67E34122" w14:textId="0038E561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48524599" w14:textId="77777777" w:rsidTr="001074BC">
        <w:trPr>
          <w:trHeight w:val="584"/>
        </w:trPr>
        <w:tc>
          <w:tcPr>
            <w:tcW w:w="9985" w:type="dxa"/>
            <w:shd w:val="clear" w:color="auto" w:fill="DEEAF6"/>
            <w:hideMark/>
          </w:tcPr>
          <w:p w14:paraId="3CB35F0D" w14:textId="1B38E0BF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>Hail WJ Jr (1972) Reconnaissance geologic map of the Cedaredge area, Delta County, Colorado. US Geological Survey Miscellaneous Geologic Investigations Map I-697, scale 1:48,000</w:t>
            </w:r>
          </w:p>
        </w:tc>
      </w:tr>
      <w:tr w:rsidR="00DF796B" w:rsidRPr="00B90CB0" w14:paraId="4089F8C4" w14:textId="77777777" w:rsidTr="00DF796B">
        <w:trPr>
          <w:trHeight w:val="728"/>
        </w:trPr>
        <w:tc>
          <w:tcPr>
            <w:tcW w:w="9985" w:type="dxa"/>
            <w:shd w:val="clear" w:color="auto" w:fill="DEEAF6"/>
            <w:hideMark/>
          </w:tcPr>
          <w:p w14:paraId="784FF734" w14:textId="77777777" w:rsidR="00DF796B" w:rsidRDefault="00DF796B" w:rsidP="00DF796B">
            <w:r w:rsidRPr="00BE79D5">
              <w:t xml:space="preserve">Johnson RC, Granica MP, </w:t>
            </w:r>
            <w:proofErr w:type="spellStart"/>
            <w:r w:rsidRPr="00BE79D5">
              <w:t>Dessenberger</w:t>
            </w:r>
            <w:proofErr w:type="spellEnd"/>
            <w:r w:rsidRPr="00BE79D5">
              <w:t xml:space="preserve"> NC (1979a) Cross section A–A′ of Upper Cretaceous and Lower Tertiary rocks, southern Piceance Creek Basin, Colorado. US Geological Survey Miscellaneous Field Studies Map MF-1130-A, scale 1:63,800</w:t>
            </w:r>
          </w:p>
          <w:p w14:paraId="4ABC9AC3" w14:textId="195BAC7D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419D84C1" w14:textId="77777777" w:rsidTr="00DF796B">
        <w:trPr>
          <w:trHeight w:val="940"/>
        </w:trPr>
        <w:tc>
          <w:tcPr>
            <w:tcW w:w="9985" w:type="dxa"/>
            <w:shd w:val="clear" w:color="auto" w:fill="DEEAF6"/>
            <w:hideMark/>
          </w:tcPr>
          <w:p w14:paraId="33022D9D" w14:textId="77777777" w:rsidR="00DF796B" w:rsidRDefault="00DF796B" w:rsidP="00DF796B">
            <w:r w:rsidRPr="00BE79D5">
              <w:t xml:space="preserve">Johnson RC, Granica MP, </w:t>
            </w:r>
            <w:proofErr w:type="spellStart"/>
            <w:r w:rsidRPr="00BE79D5">
              <w:t>Dessenberger</w:t>
            </w:r>
            <w:proofErr w:type="spellEnd"/>
            <w:r w:rsidRPr="00BE79D5">
              <w:t xml:space="preserve"> NC (1979b) Cross section C–C′ of Upper Cretaceous and Lower Tertiary rocks, southern Piceance Creek Basin, Colorado. US Geological Survey Miscellaneous Field Studies Map MF-1130-C, scale 1:63,800</w:t>
            </w:r>
          </w:p>
          <w:p w14:paraId="5D5283F7" w14:textId="2E253D7D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</w:p>
        </w:tc>
      </w:tr>
      <w:tr w:rsidR="00DF796B" w:rsidRPr="00B90CB0" w14:paraId="44462BDE" w14:textId="77777777" w:rsidTr="001074BC">
        <w:trPr>
          <w:trHeight w:val="629"/>
        </w:trPr>
        <w:tc>
          <w:tcPr>
            <w:tcW w:w="9985" w:type="dxa"/>
            <w:shd w:val="clear" w:color="auto" w:fill="DEEAF6"/>
            <w:hideMark/>
          </w:tcPr>
          <w:p w14:paraId="21408BF6" w14:textId="749E9262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>Kenny Creek C-1 well (1981) API 05-077-08295, Exxon Mobil Corp, Location 39.115515°N, 107.788423°W. ECMC Well Information Database</w:t>
            </w:r>
          </w:p>
        </w:tc>
      </w:tr>
      <w:tr w:rsidR="00DF796B" w:rsidRPr="00B90CB0" w14:paraId="6F12CE1B" w14:textId="77777777" w:rsidTr="001074BC">
        <w:trPr>
          <w:trHeight w:val="647"/>
        </w:trPr>
        <w:tc>
          <w:tcPr>
            <w:tcW w:w="9985" w:type="dxa"/>
            <w:shd w:val="clear" w:color="auto" w:fill="DEEAF6"/>
            <w:hideMark/>
          </w:tcPr>
          <w:p w14:paraId="6810FEFB" w14:textId="2FC50AC4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>Leon Lake #1 well (2010) API 05-029-06048, Gunnison Energy Corp, Location 39.025946°N, 107.852014°W. ECMC Well Information Database</w:t>
            </w:r>
          </w:p>
        </w:tc>
      </w:tr>
      <w:tr w:rsidR="00DF796B" w:rsidRPr="00B90CB0" w14:paraId="66172FC9" w14:textId="77777777" w:rsidTr="001074BC">
        <w:trPr>
          <w:trHeight w:val="647"/>
        </w:trPr>
        <w:tc>
          <w:tcPr>
            <w:tcW w:w="9985" w:type="dxa"/>
            <w:shd w:val="clear" w:color="auto" w:fill="DEEAF6"/>
            <w:hideMark/>
          </w:tcPr>
          <w:p w14:paraId="764592A1" w14:textId="412DC94D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lastRenderedPageBreak/>
              <w:t>Mickelson Federal #1 well (1973) Great Western Drilling Co, Location 39.090013°N, 107.892485°W. ECMC Well Information Database</w:t>
            </w:r>
          </w:p>
        </w:tc>
      </w:tr>
      <w:tr w:rsidR="00DF796B" w:rsidRPr="00B90CB0" w14:paraId="2AA450F1" w14:textId="77777777" w:rsidTr="001074BC">
        <w:trPr>
          <w:trHeight w:val="737"/>
        </w:trPr>
        <w:tc>
          <w:tcPr>
            <w:tcW w:w="9985" w:type="dxa"/>
            <w:shd w:val="clear" w:color="auto" w:fill="DEEAF6"/>
            <w:hideMark/>
          </w:tcPr>
          <w:p w14:paraId="1B4113E1" w14:textId="59E1841F" w:rsidR="00DF796B" w:rsidRPr="00B90CB0" w:rsidRDefault="00DF796B" w:rsidP="00DF796B">
            <w:pPr>
              <w:rPr>
                <w:rFonts w:ascii="Arial" w:hAnsi="Arial" w:cs="Arial"/>
                <w:color w:val="000000"/>
                <w:kern w:val="24"/>
                <w:sz w:val="20"/>
                <w:szCs w:val="20"/>
                <w14:ligatures w14:val="none"/>
              </w:rPr>
            </w:pPr>
            <w:r w:rsidRPr="00BE79D5">
              <w:t xml:space="preserve">Summerville #1 well (1996) API 05-077-08271, </w:t>
            </w:r>
            <w:proofErr w:type="spellStart"/>
            <w:r w:rsidRPr="00BE79D5">
              <w:t>Dyco</w:t>
            </w:r>
            <w:proofErr w:type="spellEnd"/>
            <w:r w:rsidRPr="00BE79D5">
              <w:t xml:space="preserve"> Petroleum Corp, Location 39.060194°N, 108.201025°W. ECMC Well Information Database</w:t>
            </w:r>
          </w:p>
        </w:tc>
      </w:tr>
    </w:tbl>
    <w:p w14:paraId="7D3F6939" w14:textId="77777777" w:rsidR="00B90CB0" w:rsidRPr="00B90CB0" w:rsidRDefault="00B90CB0" w:rsidP="00B90CB0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32252CC" w14:textId="77777777" w:rsidR="000C20E4" w:rsidRDefault="000C20E4"/>
    <w:sectPr w:rsidR="000C20E4" w:rsidSect="008B6EF1">
      <w:footerReference w:type="default" r:id="rId18"/>
      <w:pgSz w:w="12240" w:h="15840"/>
      <w:pgMar w:top="1440" w:right="108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AE04" w14:textId="77777777" w:rsidR="002070FD" w:rsidRDefault="002070FD">
      <w:pPr>
        <w:spacing w:after="0" w:line="240" w:lineRule="auto"/>
      </w:pPr>
      <w:r>
        <w:separator/>
      </w:r>
    </w:p>
  </w:endnote>
  <w:endnote w:type="continuationSeparator" w:id="0">
    <w:p w14:paraId="09D13AF6" w14:textId="77777777" w:rsidR="002070FD" w:rsidRDefault="0020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679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E0D24" w14:textId="77777777" w:rsidR="00B90CB0" w:rsidRDefault="00B90C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2AE184" w14:textId="77777777" w:rsidR="00B90CB0" w:rsidRDefault="00B90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6182" w14:textId="77777777" w:rsidR="002070FD" w:rsidRDefault="002070FD">
      <w:pPr>
        <w:spacing w:after="0" w:line="240" w:lineRule="auto"/>
      </w:pPr>
      <w:r>
        <w:separator/>
      </w:r>
    </w:p>
  </w:footnote>
  <w:footnote w:type="continuationSeparator" w:id="0">
    <w:p w14:paraId="2D1026BE" w14:textId="77777777" w:rsidR="002070FD" w:rsidRDefault="00207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xMDEzMzAwsTA1MTdS0lEKTi0uzszPAykwqQUADW49DiwAAAA="/>
  </w:docVars>
  <w:rsids>
    <w:rsidRoot w:val="000C20E4"/>
    <w:rsid w:val="00011BBF"/>
    <w:rsid w:val="000313F4"/>
    <w:rsid w:val="000334D4"/>
    <w:rsid w:val="00062FBB"/>
    <w:rsid w:val="00073444"/>
    <w:rsid w:val="000A538E"/>
    <w:rsid w:val="000B35EF"/>
    <w:rsid w:val="000C20E4"/>
    <w:rsid w:val="000E464F"/>
    <w:rsid w:val="001033DD"/>
    <w:rsid w:val="001074BC"/>
    <w:rsid w:val="001515EE"/>
    <w:rsid w:val="00163CF4"/>
    <w:rsid w:val="002070FD"/>
    <w:rsid w:val="00232334"/>
    <w:rsid w:val="002A6120"/>
    <w:rsid w:val="002D1475"/>
    <w:rsid w:val="002D22ED"/>
    <w:rsid w:val="002F37CC"/>
    <w:rsid w:val="00313958"/>
    <w:rsid w:val="003327F2"/>
    <w:rsid w:val="003345C8"/>
    <w:rsid w:val="00360394"/>
    <w:rsid w:val="003D3139"/>
    <w:rsid w:val="003D7A3B"/>
    <w:rsid w:val="00420820"/>
    <w:rsid w:val="00425B65"/>
    <w:rsid w:val="0047164A"/>
    <w:rsid w:val="004965B7"/>
    <w:rsid w:val="004C4FB7"/>
    <w:rsid w:val="004D32FB"/>
    <w:rsid w:val="00500B2B"/>
    <w:rsid w:val="0052091B"/>
    <w:rsid w:val="00550F7B"/>
    <w:rsid w:val="00570F00"/>
    <w:rsid w:val="0057547D"/>
    <w:rsid w:val="005B39BD"/>
    <w:rsid w:val="005C7627"/>
    <w:rsid w:val="005E3FF9"/>
    <w:rsid w:val="006037A5"/>
    <w:rsid w:val="00634455"/>
    <w:rsid w:val="00635EF8"/>
    <w:rsid w:val="006632E0"/>
    <w:rsid w:val="00723D21"/>
    <w:rsid w:val="007443CE"/>
    <w:rsid w:val="007A3116"/>
    <w:rsid w:val="007C3494"/>
    <w:rsid w:val="007D3D07"/>
    <w:rsid w:val="00802B40"/>
    <w:rsid w:val="008A6E1E"/>
    <w:rsid w:val="008B2431"/>
    <w:rsid w:val="008B6EF1"/>
    <w:rsid w:val="00930109"/>
    <w:rsid w:val="00944519"/>
    <w:rsid w:val="00955DA7"/>
    <w:rsid w:val="00970200"/>
    <w:rsid w:val="00972799"/>
    <w:rsid w:val="00974467"/>
    <w:rsid w:val="009D5CAB"/>
    <w:rsid w:val="009E5339"/>
    <w:rsid w:val="009E7D22"/>
    <w:rsid w:val="009F7518"/>
    <w:rsid w:val="00A17349"/>
    <w:rsid w:val="00A318A7"/>
    <w:rsid w:val="00A36B7C"/>
    <w:rsid w:val="00A837F3"/>
    <w:rsid w:val="00AB4C0E"/>
    <w:rsid w:val="00AC513A"/>
    <w:rsid w:val="00AE0BCA"/>
    <w:rsid w:val="00AE17B1"/>
    <w:rsid w:val="00B33AC1"/>
    <w:rsid w:val="00B43D2E"/>
    <w:rsid w:val="00B84ADE"/>
    <w:rsid w:val="00B90CB0"/>
    <w:rsid w:val="00BA61F4"/>
    <w:rsid w:val="00BC34B3"/>
    <w:rsid w:val="00BF112B"/>
    <w:rsid w:val="00BF5FC8"/>
    <w:rsid w:val="00C04EC3"/>
    <w:rsid w:val="00C16516"/>
    <w:rsid w:val="00C70839"/>
    <w:rsid w:val="00CA4D0C"/>
    <w:rsid w:val="00CF70DF"/>
    <w:rsid w:val="00D054BA"/>
    <w:rsid w:val="00D26C17"/>
    <w:rsid w:val="00D77265"/>
    <w:rsid w:val="00DB51E5"/>
    <w:rsid w:val="00DD0B27"/>
    <w:rsid w:val="00DD4554"/>
    <w:rsid w:val="00DF796B"/>
    <w:rsid w:val="00E23798"/>
    <w:rsid w:val="00E55894"/>
    <w:rsid w:val="00E83BFD"/>
    <w:rsid w:val="00E901D1"/>
    <w:rsid w:val="00EA16E0"/>
    <w:rsid w:val="00F045BC"/>
    <w:rsid w:val="00F270BD"/>
    <w:rsid w:val="00F46841"/>
    <w:rsid w:val="00F56F12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C0D0E"/>
  <w15:chartTrackingRefBased/>
  <w15:docId w15:val="{B8246842-136B-45B5-BF60-FF55EE2F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0E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B9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CB0"/>
  </w:style>
  <w:style w:type="paragraph" w:styleId="Header">
    <w:name w:val="header"/>
    <w:basedOn w:val="Normal"/>
    <w:link w:val="HeaderChar"/>
    <w:uiPriority w:val="99"/>
    <w:semiHidden/>
    <w:unhideWhenUsed/>
    <w:rsid w:val="00B90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CB0"/>
  </w:style>
  <w:style w:type="table" w:styleId="TableGrid">
    <w:name w:val="Table Grid"/>
    <w:basedOn w:val="TableNormal"/>
    <w:rsid w:val="00B90CB0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90CB0"/>
  </w:style>
  <w:style w:type="paragraph" w:styleId="NormalWeb">
    <w:name w:val="Normal (Web)"/>
    <w:basedOn w:val="Normal"/>
    <w:uiPriority w:val="99"/>
    <w:unhideWhenUsed/>
    <w:rsid w:val="0033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E17B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1029</Words>
  <Characters>5888</Characters>
  <Application>Microsoft Office Word</Application>
  <DocSecurity>0</DocSecurity>
  <Lines>309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chesnutt</dc:creator>
  <cp:keywords/>
  <dc:description/>
  <cp:lastModifiedBy>julian chesnutt</cp:lastModifiedBy>
  <cp:revision>2</cp:revision>
  <dcterms:created xsi:type="dcterms:W3CDTF">2026-05-04T04:44:00Z</dcterms:created>
  <dcterms:modified xsi:type="dcterms:W3CDTF">2026-05-04T04:44:00Z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14ceab9b-7779-465c-bf20-9955e2a6cd2b</vt:lpwstr>
  </property>
</Properties>
</file>