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080F" w14:textId="4747BE14" w:rsidR="007071DA" w:rsidRPr="00FA0906" w:rsidRDefault="007071DA" w:rsidP="00FA0906">
      <w:pPr>
        <w:jc w:val="center"/>
        <w:rPr>
          <w:rFonts w:ascii="Times New Roman" w:hAnsi="Times New Roman" w:cs="Times New Roman"/>
          <w:b/>
          <w:bCs/>
          <w:color w:val="0070C0"/>
        </w:rPr>
      </w:pPr>
      <w:bookmarkStart w:id="0" w:name="_Hlk60079179"/>
      <w:r w:rsidRPr="00FA0906">
        <w:rPr>
          <w:rFonts w:ascii="Times New Roman" w:hAnsi="Times New Roman" w:cs="Times New Roman"/>
          <w:b/>
          <w:bCs/>
          <w:color w:val="0070C0"/>
        </w:rPr>
        <w:t xml:space="preserve">Appendix </w:t>
      </w:r>
      <w:r w:rsidR="00434B81" w:rsidRPr="00FA0906">
        <w:rPr>
          <w:rFonts w:ascii="Times New Roman" w:hAnsi="Times New Roman" w:cs="Times New Roman"/>
          <w:b/>
          <w:bCs/>
          <w:color w:val="0070C0"/>
        </w:rPr>
        <w:t>B</w:t>
      </w:r>
      <w:r w:rsidRPr="00FA0906">
        <w:rPr>
          <w:rFonts w:ascii="Times New Roman" w:hAnsi="Times New Roman" w:cs="Times New Roman"/>
          <w:b/>
          <w:bCs/>
          <w:color w:val="0070C0"/>
        </w:rPr>
        <w:t xml:space="preserve">:  Description of </w:t>
      </w:r>
      <w:r w:rsidR="00DD20D0" w:rsidRPr="00FA0906">
        <w:rPr>
          <w:rFonts w:ascii="Times New Roman" w:hAnsi="Times New Roman" w:cs="Times New Roman"/>
          <w:b/>
          <w:bCs/>
          <w:color w:val="0070C0"/>
        </w:rPr>
        <w:t xml:space="preserve">Landslide </w:t>
      </w:r>
      <w:r w:rsidRPr="00FA0906">
        <w:rPr>
          <w:rFonts w:ascii="Times New Roman" w:hAnsi="Times New Roman" w:cs="Times New Roman"/>
          <w:b/>
          <w:bCs/>
          <w:color w:val="0070C0"/>
        </w:rPr>
        <w:t>Geologic Units</w:t>
      </w:r>
      <w:r w:rsidR="00EF2798" w:rsidRPr="00FA0906">
        <w:rPr>
          <w:rFonts w:ascii="Times New Roman" w:hAnsi="Times New Roman" w:cs="Times New Roman"/>
          <w:b/>
          <w:bCs/>
          <w:color w:val="0070C0"/>
        </w:rPr>
        <w:t xml:space="preserve"> </w:t>
      </w:r>
      <w:bookmarkEnd w:id="0"/>
    </w:p>
    <w:tbl>
      <w:tblPr>
        <w:tblStyle w:val="TableGrid"/>
        <w:tblW w:w="102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570"/>
        <w:gridCol w:w="1440"/>
      </w:tblGrid>
      <w:tr w:rsidR="007071DA" w:rsidRPr="008D3379" w14:paraId="18919BEC" w14:textId="77777777" w:rsidTr="00FA0906">
        <w:trPr>
          <w:trHeight w:val="998"/>
        </w:trPr>
        <w:tc>
          <w:tcPr>
            <w:tcW w:w="1350" w:type="dxa"/>
            <w:shd w:val="clear" w:color="auto" w:fill="2E74B5" w:themeFill="accent5" w:themeFillShade="BF"/>
          </w:tcPr>
          <w:p w14:paraId="6DD7D163" w14:textId="627CD54F" w:rsidR="007071DA" w:rsidRPr="00D65EA3" w:rsidRDefault="007071DA" w:rsidP="008A639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65EA3">
              <w:rPr>
                <w:rFonts w:ascii="Arial" w:hAnsi="Arial" w:cs="Arial"/>
                <w:b/>
                <w:color w:val="FFFFFF" w:themeColor="background1"/>
              </w:rPr>
              <w:t>Grand Mesa Landslide Geologic Unit (Lithology)</w:t>
            </w:r>
          </w:p>
        </w:tc>
        <w:tc>
          <w:tcPr>
            <w:tcW w:w="900" w:type="dxa"/>
            <w:shd w:val="clear" w:color="auto" w:fill="2E74B5" w:themeFill="accent5" w:themeFillShade="BF"/>
          </w:tcPr>
          <w:p w14:paraId="6411EC3B" w14:textId="1F00A912" w:rsidR="007071DA" w:rsidRPr="00D65EA3" w:rsidRDefault="007071DA" w:rsidP="008A639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65EA3">
              <w:rPr>
                <w:rFonts w:ascii="Arial" w:hAnsi="Arial" w:cs="Arial"/>
                <w:b/>
                <w:color w:val="FFFFFF" w:themeColor="background1"/>
              </w:rPr>
              <w:t>Symbol</w:t>
            </w:r>
          </w:p>
        </w:tc>
        <w:tc>
          <w:tcPr>
            <w:tcW w:w="6570" w:type="dxa"/>
            <w:shd w:val="clear" w:color="auto" w:fill="2E74B5" w:themeFill="accent5" w:themeFillShade="BF"/>
          </w:tcPr>
          <w:p w14:paraId="2553431F" w14:textId="6A83F9C5" w:rsidR="007071DA" w:rsidRPr="00D65EA3" w:rsidRDefault="007071DA" w:rsidP="008A639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65EA3">
              <w:rPr>
                <w:rFonts w:ascii="Arial" w:hAnsi="Arial" w:cs="Arial"/>
                <w:b/>
                <w:color w:val="FFFFFF" w:themeColor="background1"/>
              </w:rPr>
              <w:t>Description</w:t>
            </w:r>
          </w:p>
        </w:tc>
        <w:tc>
          <w:tcPr>
            <w:tcW w:w="1440" w:type="dxa"/>
            <w:shd w:val="clear" w:color="auto" w:fill="2E74B5" w:themeFill="accent5" w:themeFillShade="BF"/>
          </w:tcPr>
          <w:p w14:paraId="0B88C246" w14:textId="67DA525C" w:rsidR="007071DA" w:rsidRPr="00D65EA3" w:rsidRDefault="00C779A9" w:rsidP="008A639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65EA3">
              <w:rPr>
                <w:rFonts w:ascii="Arial" w:hAnsi="Arial" w:cs="Arial"/>
                <w:b/>
                <w:color w:val="FFFFFF" w:themeColor="background1"/>
              </w:rPr>
              <w:t xml:space="preserve">Primary </w:t>
            </w:r>
            <w:r w:rsidR="007071DA" w:rsidRPr="00D65EA3">
              <w:rPr>
                <w:rFonts w:ascii="Arial" w:hAnsi="Arial" w:cs="Arial"/>
                <w:b/>
                <w:color w:val="FFFFFF" w:themeColor="background1"/>
              </w:rPr>
              <w:t>Source</w:t>
            </w:r>
            <w:r w:rsidRPr="00D65EA3">
              <w:rPr>
                <w:rFonts w:ascii="Arial" w:hAnsi="Arial" w:cs="Arial"/>
                <w:b/>
                <w:color w:val="FFFFFF" w:themeColor="background1"/>
              </w:rPr>
              <w:t xml:space="preserve"> of </w:t>
            </w:r>
            <w:r w:rsidR="00FA0906"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Pr="00D65EA3">
              <w:rPr>
                <w:rFonts w:ascii="Arial" w:hAnsi="Arial" w:cs="Arial"/>
                <w:b/>
                <w:color w:val="FFFFFF" w:themeColor="background1"/>
              </w:rPr>
              <w:t>nit Description</w:t>
            </w:r>
          </w:p>
        </w:tc>
      </w:tr>
      <w:tr w:rsidR="007071DA" w:rsidRPr="008D3379" w14:paraId="48242994" w14:textId="77777777" w:rsidTr="00FA0906">
        <w:tc>
          <w:tcPr>
            <w:tcW w:w="1350" w:type="dxa"/>
            <w:shd w:val="clear" w:color="auto" w:fill="BDD6EE" w:themeFill="accent5" w:themeFillTint="66"/>
          </w:tcPr>
          <w:p w14:paraId="251771D2" w14:textId="77777777" w:rsidR="007071DA" w:rsidRPr="00D65EA3" w:rsidRDefault="007071DA" w:rsidP="008A6394">
            <w:pPr>
              <w:rPr>
                <w:b/>
                <w:bCs/>
                <w:i/>
                <w:iCs/>
              </w:rPr>
            </w:pPr>
            <w:r w:rsidRPr="00D65EA3">
              <w:rPr>
                <w:b/>
                <w:bCs/>
                <w:i/>
                <w:iCs/>
              </w:rPr>
              <w:t>Basalt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0EB4A3C4" w14:textId="5A8E6745" w:rsidR="007071DA" w:rsidRPr="000701BB" w:rsidRDefault="005D10A3" w:rsidP="008A6394">
            <w:r w:rsidRPr="000701BB">
              <w:t>Nb</w:t>
            </w:r>
          </w:p>
        </w:tc>
        <w:tc>
          <w:tcPr>
            <w:tcW w:w="6570" w:type="dxa"/>
            <w:shd w:val="clear" w:color="auto" w:fill="BDD6EE" w:themeFill="accent5" w:themeFillTint="66"/>
          </w:tcPr>
          <w:p w14:paraId="05F5034B" w14:textId="2F960230" w:rsidR="007071DA" w:rsidRDefault="00BB7ECA" w:rsidP="00DB2872">
            <w:pPr>
              <w:autoSpaceDE w:val="0"/>
              <w:autoSpaceDN w:val="0"/>
              <w:adjustRightInd w:val="0"/>
            </w:pPr>
            <w:r w:rsidRPr="000701BB">
              <w:rPr>
                <w:b/>
                <w:bCs/>
              </w:rPr>
              <w:t>Miocene</w:t>
            </w:r>
            <w:r w:rsidRPr="000701BB">
              <w:t>—Dark-gray, gray-black</w:t>
            </w:r>
            <w:r w:rsidR="00FB5F66" w:rsidRPr="000701BB">
              <w:t xml:space="preserve"> </w:t>
            </w:r>
            <w:r w:rsidRPr="000701BB">
              <w:t xml:space="preserve">to reddish-gray basalt </w:t>
            </w:r>
            <w:r w:rsidR="00A22F75">
              <w:t xml:space="preserve">that </w:t>
            </w:r>
            <w:r w:rsidRPr="000701BB">
              <w:t>forms the Grand Mesa Volcanic Field (GMVF)</w:t>
            </w:r>
            <w:r w:rsidR="00FB5F66" w:rsidRPr="000701BB">
              <w:t xml:space="preserve"> </w:t>
            </w:r>
            <w:r w:rsidRPr="000701BB">
              <w:t>capping the Grand Mesa. U.S. Bureau of Reclamation (USBR) well logs on</w:t>
            </w:r>
            <w:r w:rsidR="00FB5F66" w:rsidRPr="000701BB">
              <w:t xml:space="preserve"> </w:t>
            </w:r>
            <w:r w:rsidRPr="000701BB">
              <w:t>the Palisade Lobe intersected up to 17 individual lava flows (Weston</w:t>
            </w:r>
            <w:r w:rsidR="00A22F75">
              <w:t xml:space="preserve"> </w:t>
            </w:r>
            <w:r w:rsidRPr="000701BB">
              <w:t xml:space="preserve">1987; Cole </w:t>
            </w:r>
            <w:r w:rsidR="00804239" w:rsidRPr="000701BB">
              <w:t>et al.</w:t>
            </w:r>
            <w:r w:rsidR="003413BE" w:rsidRPr="000701BB">
              <w:t xml:space="preserve"> </w:t>
            </w:r>
            <w:r w:rsidRPr="000701BB">
              <w:t xml:space="preserve">2010; Cole </w:t>
            </w:r>
            <w:r w:rsidR="00804239" w:rsidRPr="000701BB">
              <w:t>et al.</w:t>
            </w:r>
            <w:r w:rsidRPr="000701BB">
              <w:t xml:space="preserve"> 2016). Individual flows are typically highly jointed</w:t>
            </w:r>
            <w:r w:rsidR="003413BE" w:rsidRPr="000701BB">
              <w:t xml:space="preserve"> </w:t>
            </w:r>
            <w:r w:rsidRPr="000701BB">
              <w:t>and texturally zoned from dense to highly vesicular. Long diameters of</w:t>
            </w:r>
            <w:r w:rsidR="00FB5F66" w:rsidRPr="000701BB">
              <w:t xml:space="preserve"> </w:t>
            </w:r>
            <w:r w:rsidRPr="000701BB">
              <w:t>stretched vesicles approximate flow directions</w:t>
            </w:r>
            <w:r w:rsidR="00DB2872">
              <w:t>,</w:t>
            </w:r>
            <w:r w:rsidRPr="000701BB">
              <w:t xml:space="preserve"> which generally trend</w:t>
            </w:r>
            <w:r w:rsidR="00FB5F66" w:rsidRPr="000701BB">
              <w:t xml:space="preserve"> </w:t>
            </w:r>
            <w:r w:rsidRPr="000701BB">
              <w:t xml:space="preserve">westward. Multiple flows </w:t>
            </w:r>
            <w:r w:rsidR="00A22F75">
              <w:t>are commonly</w:t>
            </w:r>
            <w:r w:rsidRPr="000701BB">
              <w:t xml:space="preserve"> separated by red</w:t>
            </w:r>
            <w:r w:rsidR="003413BE" w:rsidRPr="000701BB">
              <w:t xml:space="preserve"> </w:t>
            </w:r>
            <w:r w:rsidRPr="000701BB">
              <w:t>paleosols that may be baked by contact metamorphism. Above the mesa rim,</w:t>
            </w:r>
            <w:r w:rsidR="003413BE" w:rsidRPr="000701BB">
              <w:t xml:space="preserve"> </w:t>
            </w:r>
            <w:r w:rsidRPr="000701BB">
              <w:t>the pockmarked, stained, and edge-worn surfaces of t</w:t>
            </w:r>
            <w:r w:rsidR="003413BE" w:rsidRPr="000701BB">
              <w:t>h</w:t>
            </w:r>
            <w:r w:rsidRPr="000701BB">
              <w:t>e GMVF basalt have</w:t>
            </w:r>
            <w:r w:rsidR="003413BE" w:rsidRPr="000701BB">
              <w:t xml:space="preserve"> </w:t>
            </w:r>
            <w:r w:rsidRPr="000701BB">
              <w:t>been exposed to long-term weathering and periglacial processes since the</w:t>
            </w:r>
            <w:r w:rsidR="003413BE" w:rsidRPr="000701BB">
              <w:t xml:space="preserve"> </w:t>
            </w:r>
            <w:r w:rsidRPr="000701BB">
              <w:t>Miocene. In many areas,</w:t>
            </w:r>
            <w:r w:rsidR="003413BE" w:rsidRPr="000701BB">
              <w:t xml:space="preserve"> </w:t>
            </w:r>
            <w:r w:rsidRPr="000701BB">
              <w:t xml:space="preserve">subsequent erosion of the soil profile </w:t>
            </w:r>
            <w:r w:rsidR="00FA0906">
              <w:t>has left reddish-brown-</w:t>
            </w:r>
            <w:r w:rsidRPr="000701BB">
              <w:t>stained basaltic cobble- and boulder-sized rocks</w:t>
            </w:r>
            <w:r w:rsidR="003413BE" w:rsidRPr="000701BB">
              <w:t xml:space="preserve"> </w:t>
            </w:r>
            <w:r w:rsidRPr="000701BB">
              <w:t xml:space="preserve">exposed </w:t>
            </w:r>
            <w:proofErr w:type="gramStart"/>
            <w:r w:rsidRPr="000701BB">
              <w:t>at</w:t>
            </w:r>
            <w:proofErr w:type="gramEnd"/>
            <w:r w:rsidRPr="000701BB">
              <w:t xml:space="preserve"> the surface.</w:t>
            </w:r>
            <w:r w:rsidR="00FB5F66" w:rsidRPr="000701BB">
              <w:t xml:space="preserve"> </w:t>
            </w:r>
            <w:r w:rsidRPr="000701BB">
              <w:t>Reported age dates ranging from 10.49 ± 0.06 to 9.63 ± 0.16 Ma were</w:t>
            </w:r>
            <w:r w:rsidR="00FB5F66" w:rsidRPr="000701BB">
              <w:t xml:space="preserve"> </w:t>
            </w:r>
            <w:r w:rsidRPr="000701BB">
              <w:t>collected by Inductively Coupled Plasma Mass Spectrometry analyses and Energy-Dispersive X-ray Fluorescence analyses (Cole</w:t>
            </w:r>
            <w:r w:rsidR="00A22F75">
              <w:t xml:space="preserve"> et al.</w:t>
            </w:r>
            <w:r w:rsidRPr="000701BB">
              <w:t xml:space="preserve"> 2017; Cole </w:t>
            </w:r>
            <w:r w:rsidR="00A22F75">
              <w:t>et al.</w:t>
            </w:r>
            <w:r w:rsidRPr="000701BB">
              <w:t xml:space="preserve"> 2010; Kunk</w:t>
            </w:r>
            <w:r w:rsidR="00A22F75">
              <w:t xml:space="preserve"> et al.</w:t>
            </w:r>
            <w:r w:rsidRPr="000701BB">
              <w:t xml:space="preserve"> 2002). The </w:t>
            </w:r>
            <w:r w:rsidR="002F70E6">
              <w:t>T</w:t>
            </w:r>
            <w:r w:rsidRPr="000701BB">
              <w:t>hickness of the GMVF</w:t>
            </w:r>
            <w:r w:rsidR="000C42E0" w:rsidRPr="000701BB">
              <w:t xml:space="preserve"> </w:t>
            </w:r>
            <w:r w:rsidRPr="000701BB">
              <w:t xml:space="preserve">basalt pile thins to the west, </w:t>
            </w:r>
            <w:r w:rsidR="000C42E0" w:rsidRPr="000701BB">
              <w:t>w</w:t>
            </w:r>
            <w:r w:rsidRPr="000701BB">
              <w:t>ith unit thicknesses ranging from 61</w:t>
            </w:r>
            <w:r w:rsidR="00FA0906">
              <w:t xml:space="preserve"> to 122 m, as reported in USBR logs,</w:t>
            </w:r>
            <w:r w:rsidRPr="000701BB">
              <w:t xml:space="preserve"> with 10 sediment interbeds between</w:t>
            </w:r>
            <w:r w:rsidR="000C42E0" w:rsidRPr="000701BB">
              <w:t xml:space="preserve"> </w:t>
            </w:r>
            <w:r w:rsidRPr="000701BB">
              <w:t xml:space="preserve">lava flows (Weston 1987). A gentle </w:t>
            </w:r>
            <w:r w:rsidR="000C42E0" w:rsidRPr="000701BB">
              <w:t>w</w:t>
            </w:r>
            <w:r w:rsidRPr="000701BB">
              <w:t>estward-dipping gradient of</w:t>
            </w:r>
            <w:r w:rsidR="00383293" w:rsidRPr="000701BB">
              <w:t xml:space="preserve"> </w:t>
            </w:r>
            <w:r w:rsidRPr="000701BB">
              <w:t>6.2 m/km is observed at the unconformable contact between the</w:t>
            </w:r>
            <w:r w:rsidR="000C42E0" w:rsidRPr="000701BB">
              <w:t xml:space="preserve"> </w:t>
            </w:r>
            <w:r w:rsidRPr="000701BB">
              <w:t>basalts of the GMVF and the</w:t>
            </w:r>
            <w:r w:rsidR="000C42E0" w:rsidRPr="000701BB">
              <w:t xml:space="preserve"> </w:t>
            </w:r>
            <w:r w:rsidRPr="000701BB">
              <w:t>underlying Neo</w:t>
            </w:r>
            <w:r w:rsidR="000C42E0" w:rsidRPr="000701BB">
              <w:t>g</w:t>
            </w:r>
            <w:r w:rsidRPr="000701BB">
              <w:t>ene/Paleogene sedimentary</w:t>
            </w:r>
            <w:r w:rsidR="000C42E0" w:rsidRPr="000701BB">
              <w:t xml:space="preserve"> </w:t>
            </w:r>
            <w:r w:rsidRPr="000701BB">
              <w:t xml:space="preserve">bedrock. </w:t>
            </w:r>
            <w:r w:rsidR="00B91C57" w:rsidRPr="000701BB">
              <w:t xml:space="preserve">Present </w:t>
            </w:r>
            <w:r w:rsidR="00A01A5E" w:rsidRPr="000701BB">
              <w:t xml:space="preserve">on the mesa top </w:t>
            </w:r>
            <w:r w:rsidR="00B91C57" w:rsidRPr="000701BB">
              <w:t>in the Palisade North, Palisade South, Flowing Park Northwest</w:t>
            </w:r>
            <w:r w:rsidR="00A22F75">
              <w:t>,</w:t>
            </w:r>
            <w:r w:rsidR="00B91C57" w:rsidRPr="000701BB">
              <w:t xml:space="preserve"> and Flowing Park Southeast sectors (Ellis and Gabaldo 1989). Two small exposures in the Leon Peak </w:t>
            </w:r>
            <w:r w:rsidR="00FA0906">
              <w:t>area</w:t>
            </w:r>
            <w:r w:rsidR="00B91C57" w:rsidRPr="000701BB">
              <w:t xml:space="preserve"> (Ellis and Freeman 1984)</w:t>
            </w:r>
            <w:r w:rsidR="00CA00A6" w:rsidRPr="000701BB">
              <w:t xml:space="preserve">. </w:t>
            </w:r>
          </w:p>
          <w:p w14:paraId="48F21099" w14:textId="67A6D2E2" w:rsidR="00DB2872" w:rsidRPr="000701BB" w:rsidRDefault="00DB2872" w:rsidP="00DB287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14:paraId="7B68ED37" w14:textId="7AD925FA" w:rsidR="00BB7ECA" w:rsidRPr="000701BB" w:rsidRDefault="00BB7ECA" w:rsidP="00BB7ECA">
            <w:pPr>
              <w:autoSpaceDE w:val="0"/>
              <w:autoSpaceDN w:val="0"/>
              <w:adjustRightInd w:val="0"/>
            </w:pPr>
            <w:r w:rsidRPr="000701BB">
              <w:t>Chesnutt et al.</w:t>
            </w:r>
            <w:r w:rsidR="003C11B8">
              <w:t>,</w:t>
            </w:r>
            <w:r w:rsidRPr="000701BB">
              <w:t xml:space="preserve"> 2019; White and Palkovic</w:t>
            </w:r>
            <w:r w:rsidR="003C11B8">
              <w:t>,</w:t>
            </w:r>
          </w:p>
          <w:p w14:paraId="0F764AE7" w14:textId="7967FDAC" w:rsidR="007071DA" w:rsidRPr="000701BB" w:rsidRDefault="00BB7ECA" w:rsidP="00BB7ECA">
            <w:r w:rsidRPr="000701BB">
              <w:t>2018</w:t>
            </w:r>
          </w:p>
        </w:tc>
      </w:tr>
      <w:tr w:rsidR="007071DA" w:rsidRPr="008D3379" w14:paraId="6F3B1A02" w14:textId="77777777" w:rsidTr="00FA0906">
        <w:tc>
          <w:tcPr>
            <w:tcW w:w="1350" w:type="dxa"/>
            <w:shd w:val="clear" w:color="auto" w:fill="BDD6EE" w:themeFill="accent5" w:themeFillTint="66"/>
          </w:tcPr>
          <w:p w14:paraId="2E5BEC4E" w14:textId="7E36352D" w:rsidR="007071DA" w:rsidRPr="00D65EA3" w:rsidRDefault="007071DA" w:rsidP="008A6394">
            <w:pPr>
              <w:rPr>
                <w:b/>
                <w:bCs/>
                <w:i/>
                <w:iCs/>
              </w:rPr>
            </w:pPr>
            <w:r w:rsidRPr="00D65EA3">
              <w:rPr>
                <w:b/>
                <w:bCs/>
                <w:i/>
                <w:iCs/>
              </w:rPr>
              <w:t>Goodenough</w:t>
            </w:r>
            <w:r w:rsidR="00D86287" w:rsidRPr="00D65EA3">
              <w:rPr>
                <w:b/>
                <w:bCs/>
                <w:i/>
                <w:iCs/>
              </w:rPr>
              <w:t xml:space="preserve"> Formation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3C2416F2" w14:textId="78B86366" w:rsidR="007071DA" w:rsidRPr="000701BB" w:rsidRDefault="005D10A3" w:rsidP="008A6394">
            <w:r w:rsidRPr="000701BB">
              <w:t>Ng</w:t>
            </w:r>
          </w:p>
        </w:tc>
        <w:tc>
          <w:tcPr>
            <w:tcW w:w="6570" w:type="dxa"/>
            <w:shd w:val="clear" w:color="auto" w:fill="BDD6EE" w:themeFill="accent5" w:themeFillTint="66"/>
          </w:tcPr>
          <w:p w14:paraId="7E7B30F4" w14:textId="77777777" w:rsidR="007071DA" w:rsidRDefault="007E2D8A" w:rsidP="00DB2872">
            <w:pPr>
              <w:autoSpaceDE w:val="0"/>
              <w:autoSpaceDN w:val="0"/>
              <w:adjustRightInd w:val="0"/>
            </w:pPr>
            <w:r w:rsidRPr="000701BB">
              <w:rPr>
                <w:b/>
                <w:bCs/>
              </w:rPr>
              <w:t>Miocene?</w:t>
            </w:r>
            <w:r w:rsidRPr="000701BB">
              <w:t xml:space="preserve"> —</w:t>
            </w:r>
            <w:r w:rsidR="00BB7ECA" w:rsidRPr="000701BB">
              <w:t>Variegated maroon</w:t>
            </w:r>
            <w:r w:rsidR="00687C38" w:rsidRPr="000701BB">
              <w:t xml:space="preserve"> </w:t>
            </w:r>
            <w:r w:rsidR="00BB7ECA" w:rsidRPr="000701BB">
              <w:t>and greenish-gray, weakly consolidated claystone and siltstone interbedded with tan, brown, and light greenish-gray fine-grained to pebble</w:t>
            </w:r>
            <w:r w:rsidR="00687C38" w:rsidRPr="000701BB">
              <w:t xml:space="preserve"> </w:t>
            </w:r>
            <w:r w:rsidR="00BB7ECA" w:rsidRPr="000701BB">
              <w:t>conglomerate sandstone and minor grayish-white cherty limestone. Pebble</w:t>
            </w:r>
            <w:r w:rsidR="00687C38" w:rsidRPr="000701BB">
              <w:t xml:space="preserve"> </w:t>
            </w:r>
            <w:r w:rsidR="00BB7ECA" w:rsidRPr="000701BB">
              <w:t xml:space="preserve">clasts are predominantly andesite. </w:t>
            </w:r>
            <w:r w:rsidR="00A22F75">
              <w:t>The u</w:t>
            </w:r>
            <w:r w:rsidR="00BB7ECA" w:rsidRPr="000701BB">
              <w:t>nit may contain streaks of orange-tan</w:t>
            </w:r>
            <w:r w:rsidR="00687C38" w:rsidRPr="000701BB">
              <w:t xml:space="preserve"> </w:t>
            </w:r>
            <w:r w:rsidR="00BB7ECA" w:rsidRPr="000701BB">
              <w:t>staining</w:t>
            </w:r>
            <w:r w:rsidR="00A01A5E" w:rsidRPr="000701BB">
              <w:t xml:space="preserve"> </w:t>
            </w:r>
            <w:r w:rsidR="0055322C" w:rsidRPr="000701BB">
              <w:t>(</w:t>
            </w:r>
            <w:r w:rsidR="00A01A5E" w:rsidRPr="000701BB">
              <w:t>Cole et al. 2013</w:t>
            </w:r>
            <w:r w:rsidR="00A22F75">
              <w:t>) and</w:t>
            </w:r>
            <w:r w:rsidR="00BB7ECA" w:rsidRPr="000701BB">
              <w:t xml:space="preserve"> is in unconformable contact with basalts of the overlying</w:t>
            </w:r>
            <w:r w:rsidR="00687C38" w:rsidRPr="000701BB">
              <w:t xml:space="preserve"> </w:t>
            </w:r>
            <w:r w:rsidR="00BB7ECA" w:rsidRPr="000701BB">
              <w:t>GMVF</w:t>
            </w:r>
            <w:r w:rsidR="00A22F75">
              <w:t>. G</w:t>
            </w:r>
            <w:r w:rsidR="00BB7ECA" w:rsidRPr="000701BB">
              <w:t>round</w:t>
            </w:r>
            <w:r w:rsidR="00A01A5E" w:rsidRPr="000701BB">
              <w:t xml:space="preserve"> </w:t>
            </w:r>
            <w:r w:rsidR="00BB7ECA" w:rsidRPr="000701BB">
              <w:t xml:space="preserve">movements have disturbed the unit along the rim. </w:t>
            </w:r>
          </w:p>
          <w:p w14:paraId="33CDFD10" w14:textId="4E647221" w:rsidR="00DB2872" w:rsidRPr="000701BB" w:rsidRDefault="00DB2872" w:rsidP="00DB287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14:paraId="45FC9FD8" w14:textId="663817CD" w:rsidR="00687C38" w:rsidRPr="000701BB" w:rsidRDefault="00687C38" w:rsidP="00687C38">
            <w:pPr>
              <w:autoSpaceDE w:val="0"/>
              <w:autoSpaceDN w:val="0"/>
              <w:adjustRightInd w:val="0"/>
            </w:pPr>
            <w:r w:rsidRPr="000701BB">
              <w:t>Chesnutt et al.</w:t>
            </w:r>
            <w:r w:rsidR="003C11B8">
              <w:t>,</w:t>
            </w:r>
            <w:r w:rsidR="000701BB" w:rsidRPr="000701BB">
              <w:t xml:space="preserve"> </w:t>
            </w:r>
            <w:r w:rsidRPr="000701BB">
              <w:t>2019; White and Palkovic</w:t>
            </w:r>
            <w:r w:rsidR="003C11B8">
              <w:t>,</w:t>
            </w:r>
          </w:p>
          <w:p w14:paraId="17854880" w14:textId="078CEFD9" w:rsidR="007071DA" w:rsidRPr="000701BB" w:rsidRDefault="00687C38" w:rsidP="00687C38">
            <w:r w:rsidRPr="000701BB">
              <w:t>2018</w:t>
            </w:r>
          </w:p>
        </w:tc>
      </w:tr>
      <w:tr w:rsidR="00D86287" w:rsidRPr="008D3379" w14:paraId="54F8C8E0" w14:textId="77777777" w:rsidTr="00FA0906">
        <w:tc>
          <w:tcPr>
            <w:tcW w:w="1350" w:type="dxa"/>
            <w:shd w:val="clear" w:color="auto" w:fill="BDD6EE" w:themeFill="accent5" w:themeFillTint="66"/>
          </w:tcPr>
          <w:p w14:paraId="4961B1D1" w14:textId="33E3145B" w:rsidR="00D86287" w:rsidRPr="00D65EA3" w:rsidRDefault="00D86287" w:rsidP="00D86287">
            <w:pPr>
              <w:rPr>
                <w:b/>
                <w:bCs/>
                <w:i/>
                <w:iCs/>
              </w:rPr>
            </w:pPr>
            <w:r w:rsidRPr="00D65EA3">
              <w:rPr>
                <w:b/>
                <w:bCs/>
                <w:i/>
                <w:iCs/>
              </w:rPr>
              <w:t>Uinta Formation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0BF3F786" w14:textId="0D4E1631" w:rsidR="00D86287" w:rsidRPr="000701BB" w:rsidRDefault="00D86287" w:rsidP="00D86287">
            <w:r w:rsidRPr="000701BB">
              <w:t>P</w:t>
            </w:r>
            <w:r w:rsidRPr="000701BB">
              <w:rPr>
                <w:vertAlign w:val="subscript"/>
              </w:rPr>
              <w:t>Ɛ</w:t>
            </w:r>
            <w:r w:rsidRPr="000701BB">
              <w:t>u</w:t>
            </w:r>
          </w:p>
        </w:tc>
        <w:tc>
          <w:tcPr>
            <w:tcW w:w="6570" w:type="dxa"/>
            <w:shd w:val="clear" w:color="auto" w:fill="BDD6EE" w:themeFill="accent5" w:themeFillTint="66"/>
          </w:tcPr>
          <w:p w14:paraId="343E3AFB" w14:textId="2AF25E79" w:rsidR="00D86287" w:rsidRPr="000701BB" w:rsidRDefault="00D86287" w:rsidP="00FA0906">
            <w:pPr>
              <w:autoSpaceDE w:val="0"/>
              <w:autoSpaceDN w:val="0"/>
              <w:adjustRightInd w:val="0"/>
            </w:pPr>
            <w:r w:rsidRPr="000701BB">
              <w:rPr>
                <w:b/>
                <w:bCs/>
              </w:rPr>
              <w:t>Eocene</w:t>
            </w:r>
            <w:r w:rsidRPr="000701BB">
              <w:t>—</w:t>
            </w:r>
            <w:r w:rsidR="0055322C" w:rsidRPr="000701BB">
              <w:t>Light-brown to gray sandstone, gray marlstone, and gray siltstone</w:t>
            </w:r>
            <w:r w:rsidR="00DB2872">
              <w:t>,</w:t>
            </w:r>
            <w:r w:rsidR="0055322C" w:rsidRPr="000701BB">
              <w:t xml:space="preserve"> which</w:t>
            </w:r>
            <w:r w:rsidRPr="000701BB">
              <w:t xml:space="preserve"> interfingers with the upper part of the Green River </w:t>
            </w:r>
            <w:r w:rsidR="00DB2872">
              <w:t>F</w:t>
            </w:r>
            <w:r w:rsidRPr="000701BB">
              <w:t>ormation</w:t>
            </w:r>
            <w:r w:rsidR="0055322C" w:rsidRPr="000701BB">
              <w:t xml:space="preserve"> (</w:t>
            </w:r>
            <w:r w:rsidRPr="000701BB">
              <w:t>Baum and Odom 1996)</w:t>
            </w:r>
            <w:r w:rsidR="00563983" w:rsidRPr="000701BB">
              <w:t xml:space="preserve">. </w:t>
            </w:r>
            <w:r w:rsidR="00B93715" w:rsidRPr="000701BB">
              <w:t xml:space="preserve">Most exposures are in the Leon Peak </w:t>
            </w:r>
            <w:r w:rsidR="00FA0906">
              <w:t xml:space="preserve">area. </w:t>
            </w:r>
          </w:p>
        </w:tc>
        <w:tc>
          <w:tcPr>
            <w:tcW w:w="1440" w:type="dxa"/>
          </w:tcPr>
          <w:p w14:paraId="30356A51" w14:textId="45FFA356" w:rsidR="00D86287" w:rsidRPr="000701BB" w:rsidRDefault="00D86287" w:rsidP="00D86287">
            <w:pPr>
              <w:autoSpaceDE w:val="0"/>
              <w:autoSpaceDN w:val="0"/>
              <w:adjustRightInd w:val="0"/>
            </w:pPr>
            <w:r w:rsidRPr="000701BB">
              <w:t>Chesnutt et al.</w:t>
            </w:r>
            <w:r w:rsidR="003C11B8">
              <w:t>,</w:t>
            </w:r>
            <w:r w:rsidRPr="000701BB">
              <w:t xml:space="preserve"> 2019; White and Palkovic</w:t>
            </w:r>
            <w:r w:rsidR="003C11B8">
              <w:t>,</w:t>
            </w:r>
          </w:p>
          <w:p w14:paraId="43EF78C4" w14:textId="0C3C6F4F" w:rsidR="00D86287" w:rsidRPr="000701BB" w:rsidRDefault="00D86287" w:rsidP="00D86287">
            <w:r w:rsidRPr="000701BB">
              <w:t>2018</w:t>
            </w:r>
          </w:p>
        </w:tc>
      </w:tr>
      <w:tr w:rsidR="00D86287" w:rsidRPr="002D0A42" w14:paraId="4AECC2B7" w14:textId="77777777" w:rsidTr="00FA0906">
        <w:tc>
          <w:tcPr>
            <w:tcW w:w="1350" w:type="dxa"/>
            <w:shd w:val="clear" w:color="auto" w:fill="BDD6EE" w:themeFill="accent5" w:themeFillTint="66"/>
          </w:tcPr>
          <w:p w14:paraId="673F12C3" w14:textId="21978BDD" w:rsidR="00D86287" w:rsidRPr="00D65EA3" w:rsidRDefault="00D86287" w:rsidP="00D86287">
            <w:pPr>
              <w:rPr>
                <w:b/>
                <w:bCs/>
                <w:i/>
                <w:iCs/>
                <w:highlight w:val="yellow"/>
              </w:rPr>
            </w:pPr>
            <w:r w:rsidRPr="00D65EA3">
              <w:rPr>
                <w:b/>
                <w:bCs/>
                <w:i/>
                <w:iCs/>
              </w:rPr>
              <w:t>Green River Formation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1C068D8B" w14:textId="35E8B0E3" w:rsidR="00D86287" w:rsidRPr="000701BB" w:rsidRDefault="00D86287" w:rsidP="00D86287">
            <w:pPr>
              <w:rPr>
                <w:highlight w:val="yellow"/>
              </w:rPr>
            </w:pPr>
            <w:r w:rsidRPr="000701BB">
              <w:t>P</w:t>
            </w:r>
            <w:r w:rsidRPr="000701BB">
              <w:rPr>
                <w:vertAlign w:val="subscript"/>
              </w:rPr>
              <w:t>Ɛ</w:t>
            </w:r>
            <w:r w:rsidRPr="000701BB">
              <w:t>g</w:t>
            </w:r>
          </w:p>
        </w:tc>
        <w:tc>
          <w:tcPr>
            <w:tcW w:w="6570" w:type="dxa"/>
            <w:shd w:val="clear" w:color="auto" w:fill="BDD6EE" w:themeFill="accent5" w:themeFillTint="66"/>
          </w:tcPr>
          <w:p w14:paraId="36670098" w14:textId="676122EE" w:rsidR="00BF7BE5" w:rsidRPr="000701BB" w:rsidRDefault="00D86287" w:rsidP="00FA0906">
            <w:pPr>
              <w:autoSpaceDE w:val="0"/>
              <w:autoSpaceDN w:val="0"/>
              <w:adjustRightInd w:val="0"/>
            </w:pPr>
            <w:r w:rsidRPr="000701BB">
              <w:rPr>
                <w:b/>
                <w:bCs/>
              </w:rPr>
              <w:t>Eocene</w:t>
            </w:r>
            <w:r w:rsidRPr="000701BB">
              <w:t>—Gray-white to gray,</w:t>
            </w:r>
            <w:r w:rsidR="00563983" w:rsidRPr="000701BB">
              <w:t xml:space="preserve"> </w:t>
            </w:r>
            <w:r w:rsidRPr="000701BB">
              <w:t>yellow-tan to li</w:t>
            </w:r>
            <w:r w:rsidR="00563983" w:rsidRPr="000701BB">
              <w:t>g</w:t>
            </w:r>
            <w:r w:rsidRPr="000701BB">
              <w:t>ht-brown, and lig</w:t>
            </w:r>
            <w:r w:rsidR="00563983" w:rsidRPr="000701BB">
              <w:t>h</w:t>
            </w:r>
            <w:r w:rsidRPr="000701BB">
              <w:t>t green-gray mudstone, very fine- to fine</w:t>
            </w:r>
            <w:r w:rsidR="00A22F75">
              <w:t>-</w:t>
            </w:r>
            <w:r w:rsidRPr="000701BB">
              <w:t>grained sandstone, limestone, marlstone, and minor oil shale. This unit creates steeper slopes above the</w:t>
            </w:r>
            <w:r w:rsidR="00563983" w:rsidRPr="000701BB">
              <w:t xml:space="preserve"> </w:t>
            </w:r>
            <w:r w:rsidRPr="000701BB">
              <w:t xml:space="preserve">underlying, conformable Wasatch </w:t>
            </w:r>
            <w:r w:rsidR="00A22F75">
              <w:t>f</w:t>
            </w:r>
            <w:r w:rsidRPr="000701BB">
              <w:t>ormation contact and an unconformable</w:t>
            </w:r>
            <w:r w:rsidR="00563983" w:rsidRPr="000701BB">
              <w:t xml:space="preserve"> </w:t>
            </w:r>
            <w:r w:rsidRPr="000701BB">
              <w:t>contact with the overlying Goodenough formation. This unit is prone to</w:t>
            </w:r>
            <w:r w:rsidR="00CA6226" w:rsidRPr="000701BB">
              <w:t xml:space="preserve"> </w:t>
            </w:r>
            <w:r w:rsidRPr="000701BB">
              <w:t xml:space="preserve">slope failure. Disaggregation and flow of </w:t>
            </w:r>
            <w:r w:rsidR="00FA0906">
              <w:t>rock-mass debris can cause rapid landslides; rock-avalanche/earth</w:t>
            </w:r>
            <w:r w:rsidRPr="000701BB">
              <w:t>flow pathways hav</w:t>
            </w:r>
            <w:r w:rsidR="00CA6226" w:rsidRPr="000701BB">
              <w:t xml:space="preserve">e </w:t>
            </w:r>
            <w:r w:rsidRPr="000701BB">
              <w:t>mo</w:t>
            </w:r>
            <w:r w:rsidR="00CA6226" w:rsidRPr="000701BB">
              <w:t>v</w:t>
            </w:r>
            <w:r w:rsidRPr="000701BB">
              <w:t>ed</w:t>
            </w:r>
            <w:r w:rsidR="00CA6226" w:rsidRPr="000701BB">
              <w:t xml:space="preserve"> </w:t>
            </w:r>
            <w:r w:rsidRPr="000701BB">
              <w:t xml:space="preserve">over 1.6 km down the Grand Mesa slopes. </w:t>
            </w:r>
          </w:p>
        </w:tc>
        <w:tc>
          <w:tcPr>
            <w:tcW w:w="1440" w:type="dxa"/>
          </w:tcPr>
          <w:p w14:paraId="116BEEA5" w14:textId="1574050F" w:rsidR="00563983" w:rsidRPr="000701BB" w:rsidRDefault="00563983" w:rsidP="00563983">
            <w:pPr>
              <w:autoSpaceDE w:val="0"/>
              <w:autoSpaceDN w:val="0"/>
              <w:adjustRightInd w:val="0"/>
            </w:pPr>
            <w:r w:rsidRPr="000701BB">
              <w:t>Chesnutt et al.</w:t>
            </w:r>
            <w:r w:rsidR="003C11B8">
              <w:t>,</w:t>
            </w:r>
            <w:r w:rsidRPr="000701BB">
              <w:t xml:space="preserve"> 2019; White and Palkovic</w:t>
            </w:r>
            <w:r w:rsidR="003C11B8">
              <w:t>,</w:t>
            </w:r>
          </w:p>
          <w:p w14:paraId="79BFB76D" w14:textId="74AEDD7F" w:rsidR="00D86287" w:rsidRPr="000701BB" w:rsidRDefault="00563983" w:rsidP="00563983">
            <w:pPr>
              <w:rPr>
                <w:highlight w:val="yellow"/>
              </w:rPr>
            </w:pPr>
            <w:r w:rsidRPr="000701BB">
              <w:t>2018</w:t>
            </w:r>
          </w:p>
        </w:tc>
      </w:tr>
      <w:tr w:rsidR="00D86287" w:rsidRPr="008D3379" w14:paraId="071FFB87" w14:textId="77777777" w:rsidTr="00FA0906">
        <w:tc>
          <w:tcPr>
            <w:tcW w:w="1350" w:type="dxa"/>
            <w:shd w:val="clear" w:color="auto" w:fill="BDD6EE" w:themeFill="accent5" w:themeFillTint="66"/>
          </w:tcPr>
          <w:p w14:paraId="77F6B288" w14:textId="23EA7CF4" w:rsidR="00D86287" w:rsidRPr="00D65EA3" w:rsidRDefault="00D86287" w:rsidP="00D86287">
            <w:pPr>
              <w:rPr>
                <w:b/>
                <w:bCs/>
                <w:i/>
                <w:iCs/>
              </w:rPr>
            </w:pPr>
            <w:r w:rsidRPr="00D65EA3">
              <w:rPr>
                <w:b/>
                <w:bCs/>
                <w:i/>
                <w:iCs/>
              </w:rPr>
              <w:t>Wasatch Formation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7C1AB171" w14:textId="1746F743" w:rsidR="00D86287" w:rsidRPr="000701BB" w:rsidRDefault="000701BB" w:rsidP="00D86287">
            <w:r>
              <w:t>P</w:t>
            </w:r>
            <w:r w:rsidRPr="000701BB">
              <w:rPr>
                <w:vertAlign w:val="subscript"/>
              </w:rPr>
              <w:t>Ɛ</w:t>
            </w:r>
            <w:r>
              <w:t>w</w:t>
            </w:r>
          </w:p>
        </w:tc>
        <w:tc>
          <w:tcPr>
            <w:tcW w:w="6570" w:type="dxa"/>
            <w:shd w:val="clear" w:color="auto" w:fill="BDD6EE" w:themeFill="accent5" w:themeFillTint="66"/>
          </w:tcPr>
          <w:p w14:paraId="0D702D80" w14:textId="49FE15A6" w:rsidR="00D86287" w:rsidRDefault="00D86287" w:rsidP="00DB2872">
            <w:pPr>
              <w:autoSpaceDE w:val="0"/>
              <w:autoSpaceDN w:val="0"/>
              <w:adjustRightInd w:val="0"/>
            </w:pPr>
            <w:r w:rsidRPr="000701BB">
              <w:rPr>
                <w:b/>
                <w:bCs/>
              </w:rPr>
              <w:t>Eocene and Paleocene</w:t>
            </w:r>
            <w:r w:rsidRPr="000701BB">
              <w:t>—</w:t>
            </w:r>
            <w:proofErr w:type="gramStart"/>
            <w:r w:rsidR="00A22F75">
              <w:t>Light-gray</w:t>
            </w:r>
            <w:proofErr w:type="gramEnd"/>
            <w:r w:rsidR="00A22F75">
              <w:t xml:space="preserve"> to lavender m</w:t>
            </w:r>
            <w:r w:rsidRPr="000701BB">
              <w:t>udstone,</w:t>
            </w:r>
            <w:r w:rsidR="00CA6226" w:rsidRPr="000701BB">
              <w:t xml:space="preserve"> </w:t>
            </w:r>
            <w:r w:rsidR="00A22F75">
              <w:t>r</w:t>
            </w:r>
            <w:r w:rsidR="00A22F75" w:rsidRPr="00A22F75">
              <w:t xml:space="preserve">eddish-gray </w:t>
            </w:r>
            <w:r w:rsidRPr="000701BB">
              <w:t>sandstone, and siltstone.</w:t>
            </w:r>
            <w:r w:rsidR="00965CC9" w:rsidRPr="000701BB">
              <w:rPr>
                <w:rFonts w:eastAsiaTheme="minorHAnsi"/>
              </w:rPr>
              <w:t xml:space="preserve"> </w:t>
            </w:r>
            <w:r w:rsidR="00965CC9" w:rsidRPr="000701BB">
              <w:t>The unit consists of soft, weakly consolidated mudstones and friable sandstones</w:t>
            </w:r>
            <w:r w:rsidR="00FA0906">
              <w:t>, which are easily eroded and covered by</w:t>
            </w:r>
            <w:r w:rsidR="00965CC9" w:rsidRPr="000701BB">
              <w:t xml:space="preserve"> </w:t>
            </w:r>
            <w:r w:rsidR="00965CC9" w:rsidRPr="000701BB">
              <w:lastRenderedPageBreak/>
              <w:t>rocky surficial deposits. Slopes in the Wasatch Formation are prone to instability and landsliding. The</w:t>
            </w:r>
            <w:r w:rsidRPr="000701BB">
              <w:t xml:space="preserve"> formation includes three</w:t>
            </w:r>
            <w:r w:rsidR="00594B01" w:rsidRPr="000701BB">
              <w:t xml:space="preserve"> </w:t>
            </w:r>
            <w:r w:rsidRPr="000701BB">
              <w:t>members</w:t>
            </w:r>
            <w:r w:rsidR="006D5C87" w:rsidRPr="000701BB">
              <w:t xml:space="preserve"> in the GMSA</w:t>
            </w:r>
            <w:r w:rsidRPr="000701BB">
              <w:t>: the upper Shire Member is composed of prominently banded,</w:t>
            </w:r>
            <w:r w:rsidR="006F44D2" w:rsidRPr="000701BB">
              <w:t xml:space="preserve"> </w:t>
            </w:r>
            <w:r w:rsidRPr="000701BB">
              <w:t>variegated light-gray, gray, lavender</w:t>
            </w:r>
            <w:r w:rsidR="00A22F75">
              <w:t>,</w:t>
            </w:r>
            <w:r w:rsidRPr="000701BB">
              <w:t xml:space="preserve"> maroon, mudstone</w:t>
            </w:r>
            <w:r w:rsidR="00A22F75">
              <w:t>,</w:t>
            </w:r>
            <w:r w:rsidRPr="000701BB">
              <w:t xml:space="preserve"> and channel</w:t>
            </w:r>
            <w:r w:rsidR="006F44D2" w:rsidRPr="000701BB">
              <w:t xml:space="preserve"> </w:t>
            </w:r>
            <w:r w:rsidRPr="000701BB">
              <w:t xml:space="preserve">sandstones </w:t>
            </w:r>
            <w:r w:rsidR="00DB2872">
              <w:t xml:space="preserve">that </w:t>
            </w:r>
            <w:r w:rsidRPr="000701BB">
              <w:t>may have conglomeritic lenses. The middle Molina Member</w:t>
            </w:r>
            <w:r w:rsidR="006F44D2" w:rsidRPr="000701BB">
              <w:t xml:space="preserve"> </w:t>
            </w:r>
            <w:r w:rsidR="001C70D8" w:rsidRPr="000701BB">
              <w:t>is a light brown to olive-tan, medium- to coarse-grained</w:t>
            </w:r>
            <w:r w:rsidR="00FA0906">
              <w:t xml:space="preserve"> friable sandstone, with infrequent gray, green, and maroon beds and</w:t>
            </w:r>
            <w:r w:rsidR="001C70D8" w:rsidRPr="000701BB">
              <w:t xml:space="preserve"> lavender mudstone. </w:t>
            </w:r>
            <w:r w:rsidR="00F8356D" w:rsidRPr="000701BB">
              <w:t>T</w:t>
            </w:r>
            <w:r w:rsidRPr="000701BB">
              <w:t>he basal Atwell Gulch Member is banded light</w:t>
            </w:r>
            <w:r w:rsidR="00F8356D" w:rsidRPr="000701BB">
              <w:t xml:space="preserve"> </w:t>
            </w:r>
            <w:r w:rsidRPr="000701BB">
              <w:t xml:space="preserve">gray, olive-gray, </w:t>
            </w:r>
            <w:r w:rsidR="00A22F75">
              <w:t>maroon mudstone, and siltstone</w:t>
            </w:r>
            <w:r w:rsidRPr="000701BB">
              <w:t xml:space="preserve"> </w:t>
            </w:r>
            <w:r w:rsidR="001C70D8" w:rsidRPr="000701BB">
              <w:t>with a thin (</w:t>
            </w:r>
            <w:r w:rsidRPr="000701BB">
              <w:t>46 m), tan</w:t>
            </w:r>
            <w:r w:rsidR="00A22F75">
              <w:t xml:space="preserve">- </w:t>
            </w:r>
            <w:r w:rsidRPr="000701BB">
              <w:t>to brown</w:t>
            </w:r>
            <w:r w:rsidR="00F8356D" w:rsidRPr="000701BB">
              <w:t xml:space="preserve"> </w:t>
            </w:r>
            <w:r w:rsidRPr="000701BB">
              <w:t xml:space="preserve">sandstone. </w:t>
            </w:r>
          </w:p>
          <w:p w14:paraId="0255732B" w14:textId="57059D4B" w:rsidR="00DB2872" w:rsidRPr="000701BB" w:rsidRDefault="00DB2872" w:rsidP="00DB287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14:paraId="05D2D504" w14:textId="654A0AA0" w:rsidR="008C0A45" w:rsidRPr="008C0A45" w:rsidRDefault="008C0A45" w:rsidP="008C0A45">
            <w:r w:rsidRPr="008C0A45">
              <w:lastRenderedPageBreak/>
              <w:t>Chesnutt et al.</w:t>
            </w:r>
            <w:r w:rsidR="003C11B8">
              <w:t>,</w:t>
            </w:r>
            <w:r w:rsidRPr="008C0A45">
              <w:t xml:space="preserve"> 2019; White and Palkovic</w:t>
            </w:r>
            <w:r w:rsidR="003C11B8">
              <w:t>,</w:t>
            </w:r>
          </w:p>
          <w:p w14:paraId="4E2BF342" w14:textId="04429D99" w:rsidR="00D86287" w:rsidRPr="000701BB" w:rsidRDefault="008C0A45" w:rsidP="008C0A45">
            <w:r w:rsidRPr="000701BB">
              <w:lastRenderedPageBreak/>
              <w:t>2018</w:t>
            </w:r>
          </w:p>
        </w:tc>
      </w:tr>
      <w:tr w:rsidR="00D86287" w:rsidRPr="008D3379" w14:paraId="28DCC29E" w14:textId="77777777" w:rsidTr="00FA0906">
        <w:tc>
          <w:tcPr>
            <w:tcW w:w="1350" w:type="dxa"/>
            <w:shd w:val="clear" w:color="auto" w:fill="BDD6EE" w:themeFill="accent5" w:themeFillTint="66"/>
          </w:tcPr>
          <w:p w14:paraId="710127A2" w14:textId="5D6FD146" w:rsidR="00D86287" w:rsidRPr="00D65EA3" w:rsidRDefault="00D86287" w:rsidP="00D86287">
            <w:pPr>
              <w:rPr>
                <w:b/>
                <w:bCs/>
                <w:i/>
                <w:iCs/>
              </w:rPr>
            </w:pPr>
            <w:r w:rsidRPr="00D65EA3">
              <w:rPr>
                <w:b/>
                <w:bCs/>
                <w:i/>
                <w:iCs/>
              </w:rPr>
              <w:lastRenderedPageBreak/>
              <w:t>Mesa</w:t>
            </w:r>
            <w:r w:rsidR="00D65EA3" w:rsidRPr="00D65EA3">
              <w:rPr>
                <w:b/>
                <w:bCs/>
                <w:i/>
                <w:iCs/>
              </w:rPr>
              <w:t>v</w:t>
            </w:r>
            <w:r w:rsidRPr="00D65EA3">
              <w:rPr>
                <w:b/>
                <w:bCs/>
                <w:i/>
                <w:iCs/>
              </w:rPr>
              <w:t>erde Group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1BD2F2C6" w14:textId="222AEA02" w:rsidR="00D86287" w:rsidRPr="000701BB" w:rsidRDefault="000701BB" w:rsidP="00D86287">
            <w:r>
              <w:t>Kmv</w:t>
            </w:r>
          </w:p>
        </w:tc>
        <w:tc>
          <w:tcPr>
            <w:tcW w:w="6570" w:type="dxa"/>
            <w:shd w:val="clear" w:color="auto" w:fill="BDD6EE" w:themeFill="accent5" w:themeFillTint="66"/>
          </w:tcPr>
          <w:p w14:paraId="25A0ED0E" w14:textId="02412704" w:rsidR="00D86287" w:rsidRPr="000701BB" w:rsidRDefault="000F7D7E" w:rsidP="00D862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701BB">
              <w:rPr>
                <w:b/>
                <w:bCs/>
              </w:rPr>
              <w:t>Paleocene (?) to Upper Cretaceous—</w:t>
            </w:r>
            <w:r w:rsidR="006D5C87" w:rsidRPr="000701BB">
              <w:t>There are two exposures of the</w:t>
            </w:r>
            <w:r w:rsidRPr="000701BB">
              <w:t xml:space="preserve"> Mesa Verde group </w:t>
            </w:r>
            <w:r w:rsidR="006D5C87" w:rsidRPr="000701BB">
              <w:t xml:space="preserve">in the GMSA: The </w:t>
            </w:r>
            <w:r w:rsidR="00D86287" w:rsidRPr="000701BB">
              <w:t>Ohio Creek Formatio</w:t>
            </w:r>
            <w:r w:rsidR="006D5C87" w:rsidRPr="000701BB">
              <w:t xml:space="preserve">n is a </w:t>
            </w:r>
            <w:proofErr w:type="gramStart"/>
            <w:r w:rsidR="006D5C87" w:rsidRPr="000701BB">
              <w:t>g</w:t>
            </w:r>
            <w:r w:rsidR="00D86287" w:rsidRPr="000701BB">
              <w:t>ray</w:t>
            </w:r>
            <w:r w:rsidR="006D5C87" w:rsidRPr="000701BB">
              <w:t>-</w:t>
            </w:r>
            <w:r w:rsidR="00D86287" w:rsidRPr="000701BB">
              <w:t>white</w:t>
            </w:r>
            <w:proofErr w:type="gramEnd"/>
            <w:r w:rsidR="00D86287" w:rsidRPr="000701BB">
              <w:t>,</w:t>
            </w:r>
          </w:p>
          <w:p w14:paraId="29B2ED6E" w14:textId="14B82377" w:rsidR="00D86287" w:rsidRPr="000701BB" w:rsidRDefault="00D86287" w:rsidP="00D86287">
            <w:pPr>
              <w:autoSpaceDE w:val="0"/>
              <w:autoSpaceDN w:val="0"/>
              <w:adjustRightInd w:val="0"/>
            </w:pPr>
            <w:proofErr w:type="gramStart"/>
            <w:r w:rsidRPr="000701BB">
              <w:t>light-gray</w:t>
            </w:r>
            <w:proofErr w:type="gramEnd"/>
            <w:r w:rsidRPr="000701BB">
              <w:t>, to light-brown sandstone, conglomerate, and minor thin</w:t>
            </w:r>
          </w:p>
          <w:p w14:paraId="504B6968" w14:textId="42DB5DA2" w:rsidR="00D86287" w:rsidRPr="000701BB" w:rsidRDefault="00D86287" w:rsidP="00D86287">
            <w:pPr>
              <w:autoSpaceDE w:val="0"/>
              <w:autoSpaceDN w:val="0"/>
              <w:adjustRightInd w:val="0"/>
            </w:pPr>
            <w:r w:rsidRPr="000701BB">
              <w:t>beds of mudstone. Massive bedded, medium-</w:t>
            </w:r>
            <w:r w:rsidR="00645CCE" w:rsidRPr="000701BB">
              <w:t xml:space="preserve"> </w:t>
            </w:r>
            <w:r w:rsidRPr="000701BB">
              <w:t>to coarse-grained sandstone</w:t>
            </w:r>
          </w:p>
          <w:p w14:paraId="78178974" w14:textId="4F405D5C" w:rsidR="00D86287" w:rsidRPr="000701BB" w:rsidRDefault="00D86287" w:rsidP="00D86287">
            <w:pPr>
              <w:autoSpaceDE w:val="0"/>
              <w:autoSpaceDN w:val="0"/>
              <w:adjustRightInd w:val="0"/>
            </w:pPr>
            <w:r w:rsidRPr="000701BB">
              <w:t>beds contain channel-form cross-stratified lenses ranging in grain sizes from</w:t>
            </w:r>
          </w:p>
          <w:p w14:paraId="3A011CB4" w14:textId="24991538" w:rsidR="00D86287" w:rsidRPr="000701BB" w:rsidRDefault="00D86287" w:rsidP="00D86287">
            <w:pPr>
              <w:autoSpaceDE w:val="0"/>
              <w:autoSpaceDN w:val="0"/>
              <w:adjustRightInd w:val="0"/>
            </w:pPr>
            <w:r w:rsidRPr="000701BB">
              <w:t xml:space="preserve">very coarse-grained sandstone, granule conglomerate, to very </w:t>
            </w:r>
            <w:proofErr w:type="gramStart"/>
            <w:r w:rsidRPr="000701BB">
              <w:t>coarse-pebble</w:t>
            </w:r>
            <w:proofErr w:type="gramEnd"/>
          </w:p>
          <w:p w14:paraId="57B6FF14" w14:textId="6A965900" w:rsidR="00D86287" w:rsidRPr="000701BB" w:rsidRDefault="00D86287" w:rsidP="00D86287">
            <w:pPr>
              <w:autoSpaceDE w:val="0"/>
              <w:autoSpaceDN w:val="0"/>
              <w:adjustRightInd w:val="0"/>
            </w:pPr>
            <w:r w:rsidRPr="000701BB">
              <w:t>conglomerate with scattered small cobbles &lt;8 cm. Polylithic</w:t>
            </w:r>
            <w:r w:rsidR="00BF7BE5">
              <w:t>,</w:t>
            </w:r>
            <w:r w:rsidRPr="000701BB">
              <w:t xml:space="preserve"> rounded</w:t>
            </w:r>
          </w:p>
          <w:p w14:paraId="22648C5E" w14:textId="6BBB5C98" w:rsidR="00D86287" w:rsidRPr="000701BB" w:rsidRDefault="00D86287" w:rsidP="00D86287">
            <w:pPr>
              <w:autoSpaceDE w:val="0"/>
              <w:autoSpaceDN w:val="0"/>
              <w:adjustRightInd w:val="0"/>
            </w:pPr>
            <w:r w:rsidRPr="000701BB">
              <w:t>to subrounded pebbles consist of chert, quartzite, sandstone, minor igneous</w:t>
            </w:r>
          </w:p>
          <w:p w14:paraId="0669AD6C" w14:textId="65DADB52" w:rsidR="00D86287" w:rsidRPr="000701BB" w:rsidRDefault="00D86287" w:rsidP="00D86287">
            <w:pPr>
              <w:autoSpaceDE w:val="0"/>
              <w:autoSpaceDN w:val="0"/>
              <w:adjustRightInd w:val="0"/>
            </w:pPr>
            <w:r w:rsidRPr="000701BB">
              <w:t xml:space="preserve">and metamorphic rocks, and clay rip-up clasts. </w:t>
            </w:r>
            <w:proofErr w:type="gramStart"/>
            <w:r w:rsidRPr="000701BB">
              <w:t>Dark-gray</w:t>
            </w:r>
            <w:proofErr w:type="gramEnd"/>
            <w:r w:rsidRPr="000701BB">
              <w:t xml:space="preserve"> to lavender</w:t>
            </w:r>
          </w:p>
          <w:p w14:paraId="2189B858" w14:textId="61287018" w:rsidR="00D86287" w:rsidRDefault="00D86287" w:rsidP="00DB2872">
            <w:pPr>
              <w:autoSpaceDE w:val="0"/>
              <w:autoSpaceDN w:val="0"/>
              <w:adjustRightInd w:val="0"/>
            </w:pPr>
            <w:r w:rsidRPr="000701BB">
              <w:t xml:space="preserve">mudstone beds are thin, </w:t>
            </w:r>
            <w:r w:rsidR="00FA0906">
              <w:t xml:space="preserve">ranging from lamination partings to 1 </w:t>
            </w:r>
            <w:r w:rsidRPr="000701BB">
              <w:t>m thick.</w:t>
            </w:r>
            <w:r w:rsidR="006D5C87" w:rsidRPr="000701BB">
              <w:t xml:space="preserve"> </w:t>
            </w:r>
            <w:r w:rsidRPr="000701BB">
              <w:t xml:space="preserve">Sandstone at </w:t>
            </w:r>
            <w:r w:rsidR="00FA0906">
              <w:t>the lower contact with mudstone beds contains vertical root casts. The Williams Fork Formation is a buff to tan, massive, cross-stratified, non-calcareous sandstone, interbedded with</w:t>
            </w:r>
            <w:r w:rsidRPr="000701BB">
              <w:t xml:space="preserve"> gray siltstone, dark-gray shale, carbonaceous shale, and basal</w:t>
            </w:r>
            <w:r w:rsidR="00FA0906">
              <w:t xml:space="preserve"> </w:t>
            </w:r>
            <w:r w:rsidRPr="000701BB">
              <w:t>coal. This unit was deposited in a terrestrial floodplain environment. The top</w:t>
            </w:r>
            <w:r w:rsidR="00FA0906">
              <w:t xml:space="preserve"> </w:t>
            </w:r>
            <w:r w:rsidRPr="000701BB">
              <w:t>half of the unit is predominantly massive bedded, laterally extensive, cross</w:t>
            </w:r>
            <w:r w:rsidR="00DB2872">
              <w:t>-</w:t>
            </w:r>
            <w:r w:rsidRPr="000701BB">
              <w:t>stratified</w:t>
            </w:r>
            <w:r w:rsidR="00645CCE" w:rsidRPr="000701BB">
              <w:t xml:space="preserve"> </w:t>
            </w:r>
            <w:r w:rsidRPr="000701BB">
              <w:t>sandstone interbedded with thin- to medium-bedded siltstone and</w:t>
            </w:r>
            <w:r w:rsidR="00FA0906">
              <w:t xml:space="preserve"> </w:t>
            </w:r>
            <w:r w:rsidRPr="000701BB">
              <w:t xml:space="preserve">shale. In rare occurrences, </w:t>
            </w:r>
            <w:r w:rsidR="00BF7BE5">
              <w:t>narrow</w:t>
            </w:r>
            <w:r w:rsidRPr="000701BB">
              <w:t xml:space="preserve"> shale beds are </w:t>
            </w:r>
            <w:proofErr w:type="gramStart"/>
            <w:r w:rsidRPr="000701BB">
              <w:t>maroon-red.</w:t>
            </w:r>
            <w:proofErr w:type="gramEnd"/>
            <w:r w:rsidRPr="000701BB">
              <w:t xml:space="preserve"> The sandstone is</w:t>
            </w:r>
            <w:r w:rsidR="00FA0906">
              <w:t xml:space="preserve"> </w:t>
            </w:r>
            <w:r w:rsidRPr="000701BB">
              <w:t>very coarse- to medium-grained, well</w:t>
            </w:r>
            <w:r w:rsidR="00A22F75">
              <w:t>-</w:t>
            </w:r>
            <w:r w:rsidRPr="000701BB">
              <w:t>sorted, and contains occasional lenses</w:t>
            </w:r>
            <w:r w:rsidR="00FA0906">
              <w:t xml:space="preserve"> </w:t>
            </w:r>
            <w:r w:rsidRPr="000701BB">
              <w:t>of shale rip-up clasts. There are common small iron-oxide concretions.</w:t>
            </w:r>
            <w:r w:rsidR="00FA0906">
              <w:t xml:space="preserve"> </w:t>
            </w:r>
            <w:r w:rsidRPr="000701BB">
              <w:t>Contorted penecontemporaneous load-deformation structures occur. The</w:t>
            </w:r>
            <w:r w:rsidR="00FA0906">
              <w:t xml:space="preserve"> </w:t>
            </w:r>
            <w:r w:rsidRPr="000701BB">
              <w:t xml:space="preserve">upper part of the unit forms steep bench-forming cliffs. Down section, </w:t>
            </w:r>
            <w:r w:rsidR="00A22F75">
              <w:t xml:space="preserve">the </w:t>
            </w:r>
            <w:r w:rsidRPr="000701BB">
              <w:t>unit</w:t>
            </w:r>
            <w:r w:rsidR="00FA0906">
              <w:t xml:space="preserve"> </w:t>
            </w:r>
            <w:r w:rsidRPr="000701BB">
              <w:t xml:space="preserve">becomes increasingly shaley and </w:t>
            </w:r>
            <w:r w:rsidR="00FA0906">
              <w:t xml:space="preserve">slope-forming, composed of stacked sequences of thick mudstone beds and interbedded, laterally discontinuous </w:t>
            </w:r>
            <w:r w:rsidRPr="000701BB">
              <w:t>channel sandstone benches. Orange-brown concretions and fossil wood are</w:t>
            </w:r>
            <w:r w:rsidR="00FA0906">
              <w:t xml:space="preserve"> </w:t>
            </w:r>
            <w:r w:rsidRPr="000701BB">
              <w:t>present</w:t>
            </w:r>
            <w:r w:rsidR="006D5C87" w:rsidRPr="000701BB">
              <w:t>.</w:t>
            </w:r>
            <w:r w:rsidR="00FA1599" w:rsidRPr="000701BB">
              <w:t xml:space="preserve"> </w:t>
            </w:r>
          </w:p>
          <w:p w14:paraId="0186E0FE" w14:textId="16F3C999" w:rsidR="00DB2872" w:rsidRPr="000701BB" w:rsidRDefault="00DB2872" w:rsidP="00DB287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14:paraId="545A5787" w14:textId="1905ECC3" w:rsidR="00D86287" w:rsidRPr="000701BB" w:rsidRDefault="00D86287" w:rsidP="00D86287">
            <w:r w:rsidRPr="000701BB">
              <w:t>White and Palkovi</w:t>
            </w:r>
            <w:r w:rsidR="008C0A45" w:rsidRPr="000701BB">
              <w:t>c</w:t>
            </w:r>
            <w:r w:rsidR="003C11B8">
              <w:t>,</w:t>
            </w:r>
            <w:r w:rsidR="00845A55" w:rsidRPr="000701BB">
              <w:t xml:space="preserve"> </w:t>
            </w:r>
            <w:r w:rsidRPr="000701BB">
              <w:t>2018; Noe et al.</w:t>
            </w:r>
            <w:r w:rsidR="003C11B8">
              <w:t>,</w:t>
            </w:r>
            <w:r w:rsidRPr="000701BB">
              <w:t xml:space="preserve"> 2015</w:t>
            </w:r>
          </w:p>
        </w:tc>
      </w:tr>
      <w:tr w:rsidR="00D86287" w:rsidRPr="008D3379" w14:paraId="53B18DB4" w14:textId="77777777" w:rsidTr="00FA0906">
        <w:tc>
          <w:tcPr>
            <w:tcW w:w="1350" w:type="dxa"/>
            <w:shd w:val="clear" w:color="auto" w:fill="BDD6EE" w:themeFill="accent5" w:themeFillTint="66"/>
          </w:tcPr>
          <w:p w14:paraId="3822E271" w14:textId="02A9BB6B" w:rsidR="00D86287" w:rsidRPr="00D65EA3" w:rsidRDefault="00D86287" w:rsidP="00D86287">
            <w:pPr>
              <w:rPr>
                <w:b/>
                <w:bCs/>
                <w:i/>
                <w:iCs/>
              </w:rPr>
            </w:pPr>
            <w:r w:rsidRPr="00D65EA3">
              <w:rPr>
                <w:b/>
                <w:bCs/>
                <w:i/>
                <w:iCs/>
              </w:rPr>
              <w:t>Mancos Group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67C8023C" w14:textId="6FFDB1FD" w:rsidR="00D86287" w:rsidRPr="000701BB" w:rsidRDefault="000701BB" w:rsidP="00D86287">
            <w:r>
              <w:t>Km</w:t>
            </w:r>
          </w:p>
        </w:tc>
        <w:tc>
          <w:tcPr>
            <w:tcW w:w="6570" w:type="dxa"/>
            <w:shd w:val="clear" w:color="auto" w:fill="BDD6EE" w:themeFill="accent5" w:themeFillTint="66"/>
          </w:tcPr>
          <w:p w14:paraId="1BCAF201" w14:textId="5BFCC4D2" w:rsidR="00E5214F" w:rsidRPr="000701BB" w:rsidRDefault="006B1E2C" w:rsidP="00C44DE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701BB">
              <w:rPr>
                <w:b/>
                <w:bCs/>
              </w:rPr>
              <w:t>Upper Cretaceous</w:t>
            </w:r>
            <w:r w:rsidR="00D86287" w:rsidRPr="000701BB">
              <w:t>—Olive-gray to pale-yellowish-brown, non-calcareous, silty to sandy</w:t>
            </w:r>
            <w:r w:rsidR="00E5214F" w:rsidRPr="000701BB">
              <w:t xml:space="preserve"> </w:t>
            </w:r>
            <w:r w:rsidR="00D86287" w:rsidRPr="000701BB">
              <w:t>shale</w:t>
            </w:r>
            <w:r w:rsidRPr="000701BB">
              <w:t xml:space="preserve"> is the most prominent in the GMSA. </w:t>
            </w:r>
            <w:r w:rsidR="00C44DE1" w:rsidRPr="000701BB">
              <w:t>There are four members in addition to the upper part described above:</w:t>
            </w:r>
            <w:r w:rsidRPr="000701BB">
              <w:t xml:space="preserve"> the </w:t>
            </w:r>
            <w:r w:rsidR="00D86287" w:rsidRPr="000701BB">
              <w:t>Sharon Springs Membe</w:t>
            </w:r>
            <w:r w:rsidRPr="000701BB">
              <w:t>r, a</w:t>
            </w:r>
            <w:r w:rsidR="00D86287" w:rsidRPr="000701BB">
              <w:t xml:space="preserve"> </w:t>
            </w:r>
            <w:proofErr w:type="gramStart"/>
            <w:r w:rsidRPr="000701BB">
              <w:t>d</w:t>
            </w:r>
            <w:r w:rsidR="00D86287" w:rsidRPr="000701BB">
              <w:t>ark-gray</w:t>
            </w:r>
            <w:proofErr w:type="gramEnd"/>
            <w:r w:rsidR="00D86287" w:rsidRPr="000701BB">
              <w:t xml:space="preserve"> to black, organic-rich clay shale. In outcrop, it weathers to</w:t>
            </w:r>
            <w:r w:rsidR="00E5214F" w:rsidRPr="000701BB">
              <w:t xml:space="preserve"> </w:t>
            </w:r>
            <w:r w:rsidR="00D86287" w:rsidRPr="000701BB">
              <w:t>mottled pale to moderate red to grayish red. This relatively thin unit is mostly covered by landslides</w:t>
            </w:r>
            <w:r w:rsidR="00E5214F" w:rsidRPr="000701BB">
              <w:t xml:space="preserve"> </w:t>
            </w:r>
            <w:r w:rsidR="00D86287" w:rsidRPr="000701BB">
              <w:t>but is well</w:t>
            </w:r>
            <w:r w:rsidR="00DB2872">
              <w:t>-</w:t>
            </w:r>
            <w:r w:rsidR="00D86287" w:rsidRPr="000701BB">
              <w:t xml:space="preserve">exposed at a few locations. </w:t>
            </w:r>
            <w:r w:rsidR="00B257E3">
              <w:t>T</w:t>
            </w:r>
            <w:r w:rsidR="00C44DE1" w:rsidRPr="000701BB">
              <w:t xml:space="preserve">he </w:t>
            </w:r>
            <w:r w:rsidR="00D86287" w:rsidRPr="000701BB">
              <w:t>Prairie Canyon Membe</w:t>
            </w:r>
            <w:r w:rsidR="00C44DE1" w:rsidRPr="000701BB">
              <w:t>r is a l</w:t>
            </w:r>
            <w:r w:rsidR="00D86287" w:rsidRPr="000701BB">
              <w:t xml:space="preserve">ight- to </w:t>
            </w:r>
            <w:proofErr w:type="gramStart"/>
            <w:r w:rsidR="00D86287" w:rsidRPr="000701BB">
              <w:t>medium-gray</w:t>
            </w:r>
            <w:proofErr w:type="gramEnd"/>
            <w:r w:rsidR="00D86287" w:rsidRPr="000701BB">
              <w:t xml:space="preserve"> to pale-yellowish-brown, silty to sandy shale.</w:t>
            </w:r>
            <w:r w:rsidR="00E5214F" w:rsidRPr="000701BB">
              <w:t xml:space="preserve"> </w:t>
            </w:r>
            <w:r w:rsidR="00D86287" w:rsidRPr="000701BB">
              <w:t xml:space="preserve">In </w:t>
            </w:r>
            <w:proofErr w:type="gramStart"/>
            <w:r w:rsidR="00D86287" w:rsidRPr="000701BB">
              <w:t>outcrop</w:t>
            </w:r>
            <w:proofErr w:type="gramEnd"/>
            <w:r w:rsidR="00D86287" w:rsidRPr="000701BB">
              <w:t xml:space="preserve">, </w:t>
            </w:r>
            <w:proofErr w:type="gramStart"/>
            <w:r w:rsidR="00D86287" w:rsidRPr="000701BB">
              <w:t>it</w:t>
            </w:r>
            <w:proofErr w:type="gramEnd"/>
            <w:r w:rsidR="00D86287" w:rsidRPr="000701BB">
              <w:t xml:space="preserve"> weathers </w:t>
            </w:r>
            <w:r w:rsidR="00FA0906">
              <w:t xml:space="preserve">to a </w:t>
            </w:r>
            <w:proofErr w:type="gramStart"/>
            <w:r w:rsidR="00FA0906">
              <w:t>grayish-orange</w:t>
            </w:r>
            <w:proofErr w:type="gramEnd"/>
            <w:r w:rsidR="00FA0906">
              <w:t xml:space="preserve"> to grayish-yellow color</w:t>
            </w:r>
            <w:r w:rsidR="00D86287" w:rsidRPr="000701BB">
              <w:t>. This unit forms extensive, residuum</w:t>
            </w:r>
            <w:r w:rsidR="00DB2872">
              <w:t>-</w:t>
            </w:r>
            <w:r w:rsidR="00D86287" w:rsidRPr="000701BB">
              <w:t>covered</w:t>
            </w:r>
            <w:r w:rsidR="00E5214F" w:rsidRPr="000701BB">
              <w:t xml:space="preserve"> </w:t>
            </w:r>
            <w:r w:rsidR="00D86287" w:rsidRPr="000701BB">
              <w:t>outcrops</w:t>
            </w:r>
            <w:r w:rsidR="00B257E3">
              <w:t>.</w:t>
            </w:r>
            <w:r w:rsidR="00C44DE1" w:rsidRPr="000701BB">
              <w:t xml:space="preserve"> </w:t>
            </w:r>
            <w:r w:rsidR="00B257E3">
              <w:t>T</w:t>
            </w:r>
            <w:r w:rsidR="00C44DE1" w:rsidRPr="000701BB">
              <w:t xml:space="preserve">he </w:t>
            </w:r>
            <w:r w:rsidR="00D86287" w:rsidRPr="000701BB">
              <w:t>Smoky Hill Member</w:t>
            </w:r>
            <w:r w:rsidR="00E5214F" w:rsidRPr="000701BB">
              <w:t xml:space="preserve"> </w:t>
            </w:r>
            <w:r w:rsidR="00D86287" w:rsidRPr="000701BB">
              <w:t xml:space="preserve">consists mainly of </w:t>
            </w:r>
            <w:proofErr w:type="gramStart"/>
            <w:r w:rsidR="00D86287" w:rsidRPr="000701BB">
              <w:t>dark-gray</w:t>
            </w:r>
            <w:proofErr w:type="gramEnd"/>
            <w:r w:rsidR="00D86287" w:rsidRPr="000701BB">
              <w:t xml:space="preserve"> to light-gray </w:t>
            </w:r>
            <w:r w:rsidR="00DB2872">
              <w:t xml:space="preserve">and </w:t>
            </w:r>
            <w:r w:rsidR="00D86287" w:rsidRPr="000701BB">
              <w:t>slightly calcareous to</w:t>
            </w:r>
            <w:r w:rsidR="00E5214F" w:rsidRPr="000701BB">
              <w:t xml:space="preserve"> </w:t>
            </w:r>
            <w:r w:rsidR="00D86287" w:rsidRPr="000701BB">
              <w:t>calcareous shale. It crops out extensively just to the north of the Gunnison River</w:t>
            </w:r>
            <w:r w:rsidR="00C44DE1" w:rsidRPr="000701BB">
              <w:t xml:space="preserve">. </w:t>
            </w:r>
            <w:r w:rsidR="00DB2872">
              <w:t>Finally, t</w:t>
            </w:r>
            <w:r w:rsidR="00D86287" w:rsidRPr="000701BB">
              <w:t>he Fort Hays Member forms the basal strata of the Niobrara interval</w:t>
            </w:r>
            <w:r w:rsidR="00E5214F" w:rsidRPr="000701BB">
              <w:t xml:space="preserve"> </w:t>
            </w:r>
            <w:r w:rsidR="00D86287" w:rsidRPr="000701BB">
              <w:t>and overlies a regional unconformity. It consists of thinly interbedded limestone, marl, and shale</w:t>
            </w:r>
            <w:r w:rsidR="00E5214F" w:rsidRPr="000701BB">
              <w:t xml:space="preserve"> </w:t>
            </w:r>
            <w:r w:rsidR="00D86287" w:rsidRPr="000701BB">
              <w:t>beds</w:t>
            </w:r>
            <w:r w:rsidR="00C44DE1" w:rsidRPr="000701BB">
              <w:t xml:space="preserve">. </w:t>
            </w:r>
          </w:p>
          <w:p w14:paraId="6ABE5AD6" w14:textId="65177067" w:rsidR="00D86287" w:rsidRPr="000701BB" w:rsidRDefault="00D86287" w:rsidP="00E5214F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14:paraId="2D55E7FD" w14:textId="1358B79B" w:rsidR="00D86287" w:rsidRPr="000701BB" w:rsidRDefault="00D86287" w:rsidP="00D86287">
            <w:r w:rsidRPr="000701BB">
              <w:t>Noe et al</w:t>
            </w:r>
            <w:r w:rsidR="00845A55" w:rsidRPr="000701BB">
              <w:t>.</w:t>
            </w:r>
            <w:r w:rsidR="003C11B8">
              <w:t>,</w:t>
            </w:r>
            <w:r w:rsidR="00845A55" w:rsidRPr="000701BB">
              <w:t xml:space="preserve"> </w:t>
            </w:r>
            <w:r w:rsidRPr="000701BB">
              <w:t>2015</w:t>
            </w:r>
          </w:p>
        </w:tc>
      </w:tr>
    </w:tbl>
    <w:p w14:paraId="1C49296C" w14:textId="77777777" w:rsidR="005E5D4C" w:rsidRDefault="005E5D4C" w:rsidP="00A22F7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E5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I0MjAyN7I0NjcyMDNU0lEKTi0uzszPAymwrAUAJyDzCiwAAAA="/>
  </w:docVars>
  <w:rsids>
    <w:rsidRoot w:val="007071DA"/>
    <w:rsid w:val="000701BB"/>
    <w:rsid w:val="000C42E0"/>
    <w:rsid w:val="000F7D7E"/>
    <w:rsid w:val="0018189A"/>
    <w:rsid w:val="001B228C"/>
    <w:rsid w:val="001C012F"/>
    <w:rsid w:val="001C70D8"/>
    <w:rsid w:val="0020044C"/>
    <w:rsid w:val="0025470F"/>
    <w:rsid w:val="002A42A9"/>
    <w:rsid w:val="002F70E6"/>
    <w:rsid w:val="003413BE"/>
    <w:rsid w:val="00383293"/>
    <w:rsid w:val="003C11B8"/>
    <w:rsid w:val="00420820"/>
    <w:rsid w:val="00434B81"/>
    <w:rsid w:val="0055322C"/>
    <w:rsid w:val="00563983"/>
    <w:rsid w:val="00564A8F"/>
    <w:rsid w:val="0057767C"/>
    <w:rsid w:val="00594B01"/>
    <w:rsid w:val="005B2977"/>
    <w:rsid w:val="005D10A3"/>
    <w:rsid w:val="005E3E54"/>
    <w:rsid w:val="005E5D4C"/>
    <w:rsid w:val="006418DA"/>
    <w:rsid w:val="00642A2F"/>
    <w:rsid w:val="00645CCE"/>
    <w:rsid w:val="00687C38"/>
    <w:rsid w:val="00696BEC"/>
    <w:rsid w:val="006B1E2C"/>
    <w:rsid w:val="006D5C87"/>
    <w:rsid w:val="006F0BA8"/>
    <w:rsid w:val="006F44D2"/>
    <w:rsid w:val="007071DA"/>
    <w:rsid w:val="0071002D"/>
    <w:rsid w:val="00751D8A"/>
    <w:rsid w:val="007E2D8A"/>
    <w:rsid w:val="00804239"/>
    <w:rsid w:val="00845A55"/>
    <w:rsid w:val="008638A3"/>
    <w:rsid w:val="00883586"/>
    <w:rsid w:val="008C0A45"/>
    <w:rsid w:val="008F5CBD"/>
    <w:rsid w:val="0090476D"/>
    <w:rsid w:val="009331CF"/>
    <w:rsid w:val="0096322E"/>
    <w:rsid w:val="009648F6"/>
    <w:rsid w:val="00965CC9"/>
    <w:rsid w:val="00985DED"/>
    <w:rsid w:val="00A01A5E"/>
    <w:rsid w:val="00A15BE8"/>
    <w:rsid w:val="00A22F75"/>
    <w:rsid w:val="00A444C9"/>
    <w:rsid w:val="00A609E9"/>
    <w:rsid w:val="00AB702F"/>
    <w:rsid w:val="00AD4277"/>
    <w:rsid w:val="00B06B5F"/>
    <w:rsid w:val="00B257E3"/>
    <w:rsid w:val="00B870A1"/>
    <w:rsid w:val="00B91C57"/>
    <w:rsid w:val="00B93715"/>
    <w:rsid w:val="00B94FCA"/>
    <w:rsid w:val="00BB7ECA"/>
    <w:rsid w:val="00BF7BE5"/>
    <w:rsid w:val="00C07596"/>
    <w:rsid w:val="00C44DE1"/>
    <w:rsid w:val="00C55B70"/>
    <w:rsid w:val="00C779A9"/>
    <w:rsid w:val="00C97C8D"/>
    <w:rsid w:val="00CA00A6"/>
    <w:rsid w:val="00CA6226"/>
    <w:rsid w:val="00D0290D"/>
    <w:rsid w:val="00D2103F"/>
    <w:rsid w:val="00D65EA3"/>
    <w:rsid w:val="00D84BA8"/>
    <w:rsid w:val="00D86287"/>
    <w:rsid w:val="00D92E60"/>
    <w:rsid w:val="00DA6571"/>
    <w:rsid w:val="00DA71BD"/>
    <w:rsid w:val="00DB2872"/>
    <w:rsid w:val="00DC7AE0"/>
    <w:rsid w:val="00DD20D0"/>
    <w:rsid w:val="00E5214F"/>
    <w:rsid w:val="00E758FC"/>
    <w:rsid w:val="00E97903"/>
    <w:rsid w:val="00EF2798"/>
    <w:rsid w:val="00F26A39"/>
    <w:rsid w:val="00F8356D"/>
    <w:rsid w:val="00FA0906"/>
    <w:rsid w:val="00FA1599"/>
    <w:rsid w:val="00FB5F66"/>
    <w:rsid w:val="00FC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F6CF"/>
  <w15:chartTrackingRefBased/>
  <w15:docId w15:val="{B8A20064-F087-4A66-96A3-13FC01D0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6144</Characters>
  <Application>Microsoft Office Word</Application>
  <DocSecurity>0</DocSecurity>
  <Lines>157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JMCHESNU</dc:creator>
  <cp:keywords/>
  <dc:description/>
  <cp:lastModifiedBy>julian chesnutt</cp:lastModifiedBy>
  <cp:revision>2</cp:revision>
  <dcterms:created xsi:type="dcterms:W3CDTF">2026-05-04T05:14:00Z</dcterms:created>
  <dcterms:modified xsi:type="dcterms:W3CDTF">2026-05-04T05:14:00Z</dcterms:modified>
</cp:coreProperties>
</file>