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A541DB" w14:textId="77777777" w:rsidR="00BF0CFF" w:rsidRDefault="00000000">
      <w:pPr>
        <w:spacing w:after="480" w:line="480" w:lineRule="auto"/>
        <w:jc w:val="center"/>
        <w:rPr>
          <w:rFonts w:ascii="Calibri" w:eastAsia="Calibri" w:hAnsi="Calibri" w:cs="Calibri"/>
        </w:rPr>
      </w:pPr>
      <w:r>
        <w:rPr>
          <w:rFonts w:ascii="Calibri" w:eastAsia="Calibri" w:hAnsi="Calibri" w:cs="Calibri"/>
          <w:b/>
          <w:bCs/>
          <w:sz w:val="36"/>
          <w:szCs w:val="36"/>
        </w:rPr>
        <w:t>Supplementary Material</w:t>
      </w:r>
    </w:p>
    <w:p w14:paraId="06DC42A2" w14:textId="77777777" w:rsidR="00BF0CFF" w:rsidRDefault="00000000">
      <w:pPr>
        <w:pStyle w:val="Heading1"/>
        <w:spacing w:line="480" w:lineRule="auto"/>
        <w:rPr>
          <w:rFonts w:ascii="Calibri" w:eastAsia="Calibri" w:hAnsi="Calibri" w:cs="Calibri"/>
        </w:rPr>
      </w:pPr>
      <w:r>
        <w:rPr>
          <w:rFonts w:ascii="Calibri" w:eastAsia="Calibri" w:hAnsi="Calibri" w:cs="Calibri"/>
        </w:rPr>
        <w:t>Supplementary Methods</w:t>
      </w:r>
    </w:p>
    <w:p w14:paraId="4AF4ECAF" w14:textId="77777777" w:rsidR="00BF0CFF" w:rsidRDefault="00000000">
      <w:pPr>
        <w:pStyle w:val="Heading2"/>
        <w:spacing w:line="480" w:lineRule="auto"/>
        <w:rPr>
          <w:rFonts w:ascii="Calibri" w:eastAsia="Calibri" w:hAnsi="Calibri" w:cs="Calibri"/>
        </w:rPr>
      </w:pPr>
      <w:r>
        <w:rPr>
          <w:rFonts w:ascii="Calibri" w:eastAsia="Calibri" w:hAnsi="Calibri" w:cs="Calibri"/>
        </w:rPr>
        <w:t>SVM Classifier</w:t>
      </w:r>
    </w:p>
    <w:p w14:paraId="3128D961" w14:textId="77777777" w:rsidR="00BF0CFF" w:rsidRDefault="00000000">
      <w:pPr>
        <w:spacing w:after="160" w:line="480" w:lineRule="auto"/>
        <w:rPr>
          <w:rFonts w:ascii="Calibri" w:eastAsia="Calibri" w:hAnsi="Calibri" w:cs="Calibri"/>
          <w:shd w:val="clear" w:color="auto" w:fill="CCCCCC"/>
        </w:rPr>
      </w:pPr>
      <w:r>
        <w:rPr>
          <w:rFonts w:ascii="Calibri" w:eastAsia="Calibri" w:hAnsi="Calibri" w:cs="Calibri"/>
        </w:rPr>
        <w:t xml:space="preserve">A support vector machine (SVM) classifier was trained to replicate the severe psychosis subtype solution (cluster 5) previously identified in the PsyCourse Study </w:t>
      </w:r>
      <w:r w:rsidR="0080099D">
        <w:rPr>
          <w:rFonts w:ascii="Calibri" w:eastAsia="Calibri" w:hAnsi="Calibri" w:cs="Calibri"/>
        </w:rPr>
        <w:fldChar w:fldCharType="begin"/>
      </w:r>
      <w:r w:rsidR="0080099D">
        <w:rPr>
          <w:rFonts w:ascii="Calibri" w:eastAsia="Calibri" w:hAnsi="Calibri" w:cs="Calibri"/>
        </w:rPr>
        <w:instrText xml:space="preserve"> ADDIN ZOTERO_ITEM CSL_CITATION {"citationID":"N0SnELOA","properties":{"formattedCitation":"(1)","plainCitation":"(1)","noteIndex":0},"citationItems":[{"id":3,"uris":["http://zotero.org/users/15000375/items/RIABSHNK"],"itemData":{"id":3,"type":"article-journal","citation-key":"Dwyer2020a","container-title":"JAMA Psychiatry","DOI":"10.1001/jamapsychiatry.2019.4910","ISSN":"2168-622X","issue":"5","journalAbbreviation":"JAMA Psychiatry","language":"en","page":"523","source":"DOI.org (Crossref)","title":"An Investigation of Psychosis Subgroups With Prognostic Validation and Exploration of Genetic Underpinnings: The PsyCourse Study","title-short":"An Investigation of Psychosis Subgroups With Prognostic Validation and Exploration of Genetic Underpinnings","volume":"77","author":[{"family":"Dwyer","given":"Dominic B."},{"family":"Kalman","given":"Janos L."},{"family":"Budde","given":"Monika"},{"family":"Kambeitz","given":"Joseph"},{"family":"Ruef","given":"Anne"},{"family":"Antonucci","given":"Linda A."},{"family":"Kambeitz-Ilankovic","given":"Lana"},{"family":"Hasan","given":"Alkomiet"},{"family":"Kondofersky","given":"Ivan"},{"family":"Anderson-Schmidt","given":"Heike"},{"family":"Gade","given":"Katrin"},{"family":"Reich-Erkelenz","given":"Daniela"},{"family":"Adorjan","given":"Kristina"},{"family":"Senner","given":"Fanny"},{"family":"Schaupp","given":"Sabrina"},{"family":"Andlauer","given":"Till F. M."},{"family":"Comes","given":"Ashley L."},{"family":"Schulte","given":"Eva C."},{"family":"Klöhn-Saghatolislam","given":"Farah"},{"family":"Gryaznova","given":"Anna"},{"family":"Hake","given":"Maria"},{"family":"Bartholdi","given":"Kim"},{"family":"Flatau-Nagel","given":"Laura"},{"family":"Reitt","given":"Markus"},{"family":"Quast","given":"Silke"},{"family":"Stegmaier","given":"Sophia"},{"family":"Meyers","given":"Milena"},{"family":"Emons","given":"Barbara"},{"family":"Haußleiter","given":"Ida Sybille"},{"family":"Juckel","given":"Georg"},{"family":"Nieratschker","given":"Vanessa"},{"family":"Dannlowski","given":"Udo"},{"family":"Yoshida","given":"Tomoya"},{"family":"Schmauß","given":"Max"},{"family":"Zimmermann","given":"Jörg"},{"family":"Reimer","given":"Jens"},{"family":"Wiltfang","given":"Jens"},{"family":"Reininghaus","given":"Eva"},{"family":"Anghelescu","given":"Ion-George"},{"family":"Arolt","given":"Volker"},{"family":"Baune","given":"Bernhard T."},{"family":"Konrad","given":"Carsten"},{"family":"Thiel","given":"Andreas"},{"family":"Fallgatter","given":"Andreas J."},{"family":"Figge","given":"Christian"},{"family":"Von Hagen","given":"Martin"},{"family":"Koller","given":"Manfred"},{"family":"Lang","given":"Fabian U."},{"family":"Wigand","given":"Moritz E."},{"family":"Becker","given":"Thomas"},{"family":"Jäger","given":"Markus"},{"family":"Dietrich","given":"Detlef E."},{"family":"Scherk","given":"Harald"},{"family":"Spitzer","given":"Carsten"},{"family":"Folkerts","given":"Here"},{"family":"Witt","given":"Stephanie H."},{"family":"Degenhardt","given":"Franziska"},{"family":"Forstner","given":"Andreas J."},{"family":"Rietschel","given":"Marcella"},{"family":"Nöthen","given":"Markus M."},{"family":"Mueller","given":"Nikola"},{"family":"Papiol","given":"Sergi"},{"family":"Heilbronner","given":"Urs"},{"family":"Falkai","given":"Peter"},{"family":"Schulze","given":"Thomas G."},{"family":"Koutsouleris","given":"Nikolaos"}],"issued":{"date-parts":[["2020",5,1]]}}}],"schema":"https://github.com/citation-style-language/schema/raw/master/csl-citation.json"} </w:instrText>
      </w:r>
      <w:r w:rsidR="0080099D">
        <w:rPr>
          <w:rFonts w:ascii="Calibri" w:eastAsia="Calibri" w:hAnsi="Calibri" w:cs="Calibri"/>
        </w:rPr>
        <w:fldChar w:fldCharType="separate"/>
      </w:r>
      <w:r w:rsidR="0080099D">
        <w:rPr>
          <w:rFonts w:ascii="Calibri" w:eastAsia="Calibri" w:hAnsi="Calibri" w:cs="Calibri"/>
          <w:noProof/>
        </w:rPr>
        <w:t>(1)</w:t>
      </w:r>
      <w:r w:rsidR="0080099D">
        <w:rPr>
          <w:rFonts w:ascii="Calibri" w:eastAsia="Calibri" w:hAnsi="Calibri" w:cs="Calibri"/>
        </w:rPr>
        <w:fldChar w:fldCharType="end"/>
      </w:r>
      <w:r>
        <w:rPr>
          <w:rFonts w:ascii="Calibri" w:eastAsia="Calibri" w:hAnsi="Calibri" w:cs="Calibri"/>
        </w:rPr>
        <w:t xml:space="preserve"> using version 4 of the dataset (n=1,217), and to generate a continuous probability score for subtype membership in the current sample (n=1,320). The severe psychosis subtype is characterized by elevated positive symptoms (hallucinations, delusions), cognitive impairment, and functional disability; further details are provided in the original publication</w:t>
      </w:r>
      <w:r w:rsidR="0080099D" w:rsidRPr="0080099D">
        <w:rPr>
          <w:rFonts w:ascii="Calibri" w:eastAsia="Calibri" w:hAnsi="Calibri" w:cs="Calibri"/>
          <w:lang w:val="en-US"/>
        </w:rPr>
        <w:t xml:space="preserve"> </w:t>
      </w:r>
      <w:r w:rsidR="0080099D">
        <w:rPr>
          <w:rFonts w:ascii="Calibri" w:eastAsia="Calibri" w:hAnsi="Calibri" w:cs="Calibri"/>
          <w:lang w:val="en-US"/>
        </w:rPr>
        <w:fldChar w:fldCharType="begin"/>
      </w:r>
      <w:r w:rsidR="0080099D">
        <w:rPr>
          <w:rFonts w:ascii="Calibri" w:eastAsia="Calibri" w:hAnsi="Calibri" w:cs="Calibri"/>
          <w:lang w:val="en-US"/>
        </w:rPr>
        <w:instrText xml:space="preserve"> ADDIN ZOTERO_ITEM CSL_CITATION {"citationID":"gX5zYbMx","properties":{"formattedCitation":"(1)","plainCitation":"(1)","noteIndex":0},"citationItems":[{"id":3,"uris":["http://zotero.org/users/15000375/items/RIABSHNK"],"itemData":{"id":3,"type":"article-journal","citation-key":"Dwyer2020a","container-title":"JAMA Psychiatry","DOI":"10.1001/jamapsychiatry.2019.4910","ISSN":"2168-622X","issue":"5","journalAbbreviation":"JAMA Psychiatry","language":"en","page":"523","source":"DOI.org (Crossref)","title":"An Investigation of Psychosis Subgroups With Prognostic Validation and Exploration of Genetic Underpinnings: The PsyCourse Study","title-short":"An Investigation of Psychosis Subgroups With Prognostic Validation and Exploration of Genetic Underpinnings","volume":"77","author":[{"family":"Dwyer","given":"Dominic B."},{"family":"Kalman","given":"Janos L."},{"family":"Budde","given":"Monika"},{"family":"Kambeitz","given":"Joseph"},{"family":"Ruef","given":"Anne"},{"family":"Antonucci","given":"Linda A."},{"family":"Kambeitz-Ilankovic","given":"Lana"},{"family":"Hasan","given":"Alkomiet"},{"family":"Kondofersky","given":"Ivan"},{"family":"Anderson-Schmidt","given":"Heike"},{"family":"Gade","given":"Katrin"},{"family":"Reich-Erkelenz","given":"Daniela"},{"family":"Adorjan","given":"Kristina"},{"family":"Senner","given":"Fanny"},{"family":"Schaupp","given":"Sabrina"},{"family":"Andlauer","given":"Till F. M."},{"family":"Comes","given":"Ashley L."},{"family":"Schulte","given":"Eva C."},{"family":"Klöhn-Saghatolislam","given":"Farah"},{"family":"Gryaznova","given":"Anna"},{"family":"Hake","given":"Maria"},{"family":"Bartholdi","given":"Kim"},{"family":"Flatau-Nagel","given":"Laura"},{"family":"Reitt","given":"Markus"},{"family":"Quast","given":"Silke"},{"family":"Stegmaier","given":"Sophia"},{"family":"Meyers","given":"Milena"},{"family":"Emons","given":"Barbara"},{"family":"Haußleiter","given":"Ida Sybille"},{"family":"Juckel","given":"Georg"},{"family":"Nieratschker","given":"Vanessa"},{"family":"Dannlowski","given":"Udo"},{"family":"Yoshida","given":"Tomoya"},{"family":"Schmauß","given":"Max"},{"family":"Zimmermann","given":"Jörg"},{"family":"Reimer","given":"Jens"},{"family":"Wiltfang","given":"Jens"},{"family":"Reininghaus","given":"Eva"},{"family":"Anghelescu","given":"Ion-George"},{"family":"Arolt","given":"Volker"},{"family":"Baune","given":"Bernhard T."},{"family":"Konrad","given":"Carsten"},{"family":"Thiel","given":"Andreas"},{"family":"Fallgatter","given":"Andreas J."},{"family":"Figge","given":"Christian"},{"family":"Von Hagen","given":"Martin"},{"family":"Koller","given":"Manfred"},{"family":"Lang","given":"Fabian U."},{"family":"Wigand","given":"Moritz E."},{"family":"Becker","given":"Thomas"},{"family":"Jäger","given":"Markus"},{"family":"Dietrich","given":"Detlef E."},{"family":"Scherk","given":"Harald"},{"family":"Spitzer","given":"Carsten"},{"family":"Folkerts","given":"Here"},{"family":"Witt","given":"Stephanie H."},{"family":"Degenhardt","given":"Franziska"},{"family":"Forstner","given":"Andreas J."},{"family":"Rietschel","given":"Marcella"},{"family":"Nöthen","given":"Markus M."},{"family":"Mueller","given":"Nikola"},{"family":"Papiol","given":"Sergi"},{"family":"Heilbronner","given":"Urs"},{"family":"Falkai","given":"Peter"},{"family":"Schulze","given":"Thomas G."},{"family":"Koutsouleris","given":"Nikolaos"}],"issued":{"date-parts":[["2020",5,1]]}}}],"schema":"https://github.com/citation-style-language/schema/raw/master/csl-citation.json"} </w:instrText>
      </w:r>
      <w:r w:rsidR="0080099D">
        <w:rPr>
          <w:rFonts w:ascii="Calibri" w:eastAsia="Calibri" w:hAnsi="Calibri" w:cs="Calibri"/>
          <w:lang w:val="en-US"/>
        </w:rPr>
        <w:fldChar w:fldCharType="separate"/>
      </w:r>
      <w:r w:rsidR="0080099D">
        <w:rPr>
          <w:rFonts w:ascii="Calibri" w:eastAsia="Calibri" w:hAnsi="Calibri" w:cs="Calibri"/>
          <w:noProof/>
          <w:lang w:val="en-US"/>
        </w:rPr>
        <w:t>(1)</w:t>
      </w:r>
      <w:r w:rsidR="0080099D">
        <w:rPr>
          <w:rFonts w:ascii="Calibri" w:eastAsia="Calibri" w:hAnsi="Calibri" w:cs="Calibri"/>
          <w:lang w:val="en-US"/>
        </w:rPr>
        <w:fldChar w:fldCharType="end"/>
      </w:r>
      <w:r w:rsidR="0080099D">
        <w:rPr>
          <w:rFonts w:ascii="Calibri" w:eastAsia="Calibri" w:hAnsi="Calibri" w:cs="Calibri"/>
          <w:lang w:val="en-US"/>
        </w:rPr>
        <w:t>.</w:t>
      </w:r>
    </w:p>
    <w:p w14:paraId="072835FC" w14:textId="77777777" w:rsidR="00BF0CFF" w:rsidRDefault="00000000">
      <w:pPr>
        <w:pStyle w:val="Heading3"/>
        <w:spacing w:line="480" w:lineRule="auto"/>
        <w:rPr>
          <w:rFonts w:ascii="Calibri" w:eastAsia="Calibri" w:hAnsi="Calibri" w:cs="Calibri"/>
        </w:rPr>
      </w:pPr>
      <w:r>
        <w:rPr>
          <w:rFonts w:ascii="Calibri" w:eastAsia="Calibri" w:hAnsi="Calibri" w:cs="Calibri"/>
        </w:rPr>
        <w:t>Input Features and Preprocessing</w:t>
      </w:r>
    </w:p>
    <w:p w14:paraId="2CABAC8F" w14:textId="77777777" w:rsidR="00BF0CFF" w:rsidRDefault="00000000">
      <w:pPr>
        <w:spacing w:after="160" w:line="480" w:lineRule="auto"/>
        <w:rPr>
          <w:rFonts w:ascii="Calibri" w:eastAsia="Calibri" w:hAnsi="Calibri" w:cs="Calibri"/>
        </w:rPr>
      </w:pPr>
      <w:r>
        <w:rPr>
          <w:rFonts w:ascii="Calibri" w:eastAsia="Calibri" w:hAnsi="Calibri" w:cs="Calibri"/>
        </w:rPr>
        <w:t xml:space="preserve">The feature matrix comprised the same clinical, cognitive, and demographic variables used in the original sparse SVM classifier, with cluster labels serving as the target variable </w:t>
      </w:r>
      <w:r w:rsidRPr="00A74EA7">
        <w:rPr>
          <w:rFonts w:ascii="Calibri" w:eastAsia="Calibri" w:hAnsi="Calibri" w:cs="Calibri"/>
        </w:rPr>
        <w:t>(</w:t>
      </w:r>
      <w:r w:rsidRPr="00A74EA7">
        <w:rPr>
          <w:rFonts w:ascii="Calibri" w:eastAsia="Calibri" w:hAnsi="Calibri" w:cs="Calibri"/>
          <w:b/>
          <w:bCs/>
        </w:rPr>
        <w:t>Supplementary Table 1</w:t>
      </w:r>
      <w:r w:rsidRPr="00A74EA7">
        <w:rPr>
          <w:rFonts w:ascii="Calibri" w:eastAsia="Calibri" w:hAnsi="Calibri" w:cs="Calibri"/>
        </w:rPr>
        <w:t>).</w:t>
      </w:r>
      <w:r>
        <w:rPr>
          <w:rFonts w:ascii="Calibri" w:eastAsia="Calibri" w:hAnsi="Calibri" w:cs="Calibri"/>
        </w:rPr>
        <w:t xml:space="preserve"> </w:t>
      </w:r>
    </w:p>
    <w:p w14:paraId="5107C3A3" w14:textId="77777777" w:rsidR="00BF0CFF" w:rsidRDefault="00000000">
      <w:pPr>
        <w:spacing w:after="160" w:line="480" w:lineRule="auto"/>
        <w:rPr>
          <w:rFonts w:ascii="Calibri" w:eastAsia="Calibri" w:hAnsi="Calibri" w:cs="Calibri"/>
        </w:rPr>
      </w:pPr>
      <w:r>
        <w:rPr>
          <w:rFonts w:ascii="Calibri" w:eastAsia="Calibri" w:hAnsi="Calibri" w:cs="Calibri"/>
        </w:rPr>
        <w:t>Features with zero variance were removed prior to modelling. Missing values were imputed using a k-nearest neighbours approach (k=7), with median imputation as a fallback for continuous variables. Features were scaled to the range [−1, 1] using min-max normalization. Dimensionality reduction was performed via principal component analysis (PCA), with the number of retained components treated as a tunable hyperparameter (see Hyperparameter Optimisation below).</w:t>
      </w:r>
    </w:p>
    <w:p w14:paraId="31E92E51" w14:textId="77777777" w:rsidR="00BF0CFF" w:rsidRDefault="00000000">
      <w:pPr>
        <w:pStyle w:val="Heading3"/>
        <w:spacing w:line="480" w:lineRule="auto"/>
        <w:rPr>
          <w:rFonts w:ascii="Calibri" w:eastAsia="Calibri" w:hAnsi="Calibri" w:cs="Calibri"/>
        </w:rPr>
      </w:pPr>
      <w:r>
        <w:rPr>
          <w:rFonts w:ascii="Calibri" w:eastAsia="Calibri" w:hAnsi="Calibri" w:cs="Calibri"/>
        </w:rPr>
        <w:lastRenderedPageBreak/>
        <w:t>Model Architecture</w:t>
      </w:r>
    </w:p>
    <w:p w14:paraId="59A294B1" w14:textId="77777777" w:rsidR="00BF0CFF" w:rsidRDefault="00000000">
      <w:pPr>
        <w:spacing w:after="160" w:line="480" w:lineRule="auto"/>
        <w:rPr>
          <w:rFonts w:ascii="Calibri" w:eastAsia="Calibri" w:hAnsi="Calibri" w:cs="Calibri"/>
        </w:rPr>
      </w:pPr>
      <w:r>
        <w:rPr>
          <w:rFonts w:ascii="Calibri" w:eastAsia="Calibri" w:hAnsi="Calibri" w:cs="Calibri"/>
        </w:rPr>
        <w:t>Classification was performed using a linear support vector classifier (LinearSVC; L2 penalty, hinge loss, balanced class weights) configured within a one-vs-one multiclass scheme (OneVsOneClassifier). To obtain calibrated probability estimates, the one-vs-one classifier was wrapped in a Platt scaling procedure using 5-fold cross-validation (CalibratedClassifierCV, cv=5). The full preprocessing and classification steps were implemented as a sequential pipeline.</w:t>
      </w:r>
    </w:p>
    <w:p w14:paraId="4D2F3E24" w14:textId="77777777" w:rsidR="00BF0CFF" w:rsidRDefault="00000000">
      <w:pPr>
        <w:pStyle w:val="Heading3"/>
        <w:spacing w:line="480" w:lineRule="auto"/>
        <w:rPr>
          <w:rFonts w:ascii="Calibri" w:eastAsia="Calibri" w:hAnsi="Calibri" w:cs="Calibri"/>
        </w:rPr>
      </w:pPr>
      <w:r>
        <w:rPr>
          <w:rFonts w:ascii="Calibri" w:eastAsia="Calibri" w:hAnsi="Calibri" w:cs="Calibri"/>
        </w:rPr>
        <w:t>Hyperparameter Optimisation</w:t>
      </w:r>
    </w:p>
    <w:p w14:paraId="286FBDE0" w14:textId="77777777" w:rsidR="00BF0CFF" w:rsidRDefault="00000000">
      <w:pPr>
        <w:spacing w:after="160" w:line="480" w:lineRule="auto"/>
        <w:rPr>
          <w:rFonts w:ascii="Calibri" w:eastAsia="Calibri" w:hAnsi="Calibri" w:cs="Calibri"/>
        </w:rPr>
      </w:pPr>
      <w:r>
        <w:rPr>
          <w:rFonts w:ascii="Calibri" w:eastAsia="Calibri" w:hAnsi="Calibri" w:cs="Calibri"/>
        </w:rPr>
        <w:t>Two hyperparameters were jointly optimised via grid search: the proportion of PCA variance retained (0.25, 0.50, 0.75, or 1.0) and the SVM regularisation parameter C (2⁻⁶ to 2⁴ in multiplicative steps). Balanced accuracy was used as the scoring criterion to account for class imbalance across the five cluster labels.</w:t>
      </w:r>
    </w:p>
    <w:p w14:paraId="61D40933" w14:textId="77777777" w:rsidR="00BF0CFF" w:rsidRDefault="00000000">
      <w:pPr>
        <w:pStyle w:val="Heading3"/>
        <w:spacing w:line="480" w:lineRule="auto"/>
        <w:rPr>
          <w:rFonts w:ascii="Calibri" w:eastAsia="Calibri" w:hAnsi="Calibri" w:cs="Calibri"/>
        </w:rPr>
      </w:pPr>
      <w:r>
        <w:rPr>
          <w:rFonts w:ascii="Calibri" w:eastAsia="Calibri" w:hAnsi="Calibri" w:cs="Calibri"/>
        </w:rPr>
        <w:t>Nested Cross-Validation</w:t>
      </w:r>
    </w:p>
    <w:p w14:paraId="1E71C6AA" w14:textId="77777777" w:rsidR="00BF0CFF" w:rsidRDefault="00000000">
      <w:pPr>
        <w:spacing w:after="160" w:line="480" w:lineRule="auto"/>
        <w:rPr>
          <w:rFonts w:ascii="Calibri" w:eastAsia="Calibri" w:hAnsi="Calibri" w:cs="Calibri"/>
        </w:rPr>
      </w:pPr>
      <w:r>
        <w:rPr>
          <w:rFonts w:ascii="Calibri" w:eastAsia="Calibri" w:hAnsi="Calibri" w:cs="Calibri"/>
        </w:rPr>
        <w:t>Model performance was evaluated using nested cross-validation with 10 outer folds and 10 inner folds, both stratified by cluster label (random seed=42). The inner loop performed grid search hyperparameter tuning; the outer loop estimated generalisation performance on held-out data. The final model was selected based on best inner-loop balanced accuracy, then refit on a stratified 70% training partition and evaluated on a held-out 30% test set.</w:t>
      </w:r>
    </w:p>
    <w:p w14:paraId="0DDF3922" w14:textId="77777777" w:rsidR="00BF0CFF" w:rsidRDefault="00000000">
      <w:pPr>
        <w:pStyle w:val="Heading3"/>
        <w:spacing w:line="480" w:lineRule="auto"/>
        <w:rPr>
          <w:rFonts w:ascii="Calibri" w:eastAsia="Calibri" w:hAnsi="Calibri" w:cs="Calibri"/>
        </w:rPr>
      </w:pPr>
      <w:r>
        <w:rPr>
          <w:rFonts w:ascii="Calibri" w:eastAsia="Calibri" w:hAnsi="Calibri" w:cs="Calibri"/>
        </w:rPr>
        <w:t>Final Model and Probability Score</w:t>
      </w:r>
    </w:p>
    <w:p w14:paraId="479F8ADE" w14:textId="276DAA8F" w:rsidR="00BF0CFF" w:rsidRPr="00CF3091" w:rsidRDefault="00000000">
      <w:pPr>
        <w:spacing w:after="160" w:line="480" w:lineRule="auto"/>
        <w:rPr>
          <w:rFonts w:ascii="Calibri" w:eastAsia="Calibri" w:hAnsi="Calibri" w:cs="Calibri"/>
          <w:lang w:val="en-US"/>
        </w:rPr>
      </w:pPr>
      <w:r>
        <w:rPr>
          <w:rFonts w:ascii="Calibri" w:eastAsia="Calibri" w:hAnsi="Calibri" w:cs="Calibri"/>
        </w:rPr>
        <w:t xml:space="preserve">Following evaluation, the best-performing pipeline (optimal PCA components and C) was refit on the entire sample (n=1,320). The resulting model generated a calibrated probability score </w:t>
      </w:r>
      <w:r>
        <w:rPr>
          <w:rFonts w:ascii="Calibri" w:eastAsia="Calibri" w:hAnsi="Calibri" w:cs="Calibri"/>
        </w:rPr>
        <w:lastRenderedPageBreak/>
        <w:t xml:space="preserve">(Platt scaling) for cluster 5 (severe psychosis subtype) membership for each participant, ranging from 0 to 1, which served as the continuous severity outcome in all downstream analyses. Classifier performance (ROC curves, AUC, balanced accuracy) is reported in </w:t>
      </w:r>
      <w:r w:rsidR="007E53A0" w:rsidRPr="007E53A0">
        <w:rPr>
          <w:rFonts w:ascii="Calibri" w:eastAsia="Calibri" w:hAnsi="Calibri" w:cs="Calibri"/>
          <w:b/>
          <w:bCs/>
          <w:lang w:val="en-US"/>
        </w:rPr>
        <w:t>Supplementary</w:t>
      </w:r>
      <w:r w:rsidR="007E53A0" w:rsidRPr="007E53A0">
        <w:rPr>
          <w:rFonts w:ascii="Calibri" w:eastAsia="Calibri" w:hAnsi="Calibri" w:cs="Calibri"/>
          <w:lang w:val="en-US"/>
        </w:rPr>
        <w:t xml:space="preserve"> </w:t>
      </w:r>
      <w:r w:rsidR="00CF3091" w:rsidRPr="00CF3091">
        <w:rPr>
          <w:rFonts w:ascii="Calibri" w:eastAsia="Calibri" w:hAnsi="Calibri" w:cs="Calibri"/>
          <w:b/>
          <w:bCs/>
          <w:lang w:val="en-US"/>
        </w:rPr>
        <w:t>Figure S1</w:t>
      </w:r>
      <w:r w:rsidR="00CF3091">
        <w:rPr>
          <w:rFonts w:ascii="Calibri" w:eastAsia="Calibri" w:hAnsi="Calibri" w:cs="Calibri"/>
          <w:lang w:val="en-US"/>
        </w:rPr>
        <w:t>.</w:t>
      </w:r>
    </w:p>
    <w:p w14:paraId="4E9F455B" w14:textId="77777777" w:rsidR="00BF0CFF" w:rsidRDefault="00000000">
      <w:pPr>
        <w:pStyle w:val="Heading2"/>
        <w:spacing w:line="480" w:lineRule="auto"/>
        <w:rPr>
          <w:rFonts w:ascii="Calibri" w:eastAsia="Calibri" w:hAnsi="Calibri" w:cs="Calibri"/>
        </w:rPr>
      </w:pPr>
      <w:r>
        <w:rPr>
          <w:rFonts w:ascii="Calibri" w:eastAsia="Calibri" w:hAnsi="Calibri" w:cs="Calibri"/>
        </w:rPr>
        <w:t>Genotyping and Polygenic Risk Scores</w:t>
      </w:r>
    </w:p>
    <w:p w14:paraId="4F34A4AD" w14:textId="77777777" w:rsidR="00BF0CFF" w:rsidRDefault="00000000">
      <w:pPr>
        <w:spacing w:after="160" w:line="480" w:lineRule="auto"/>
        <w:rPr>
          <w:rFonts w:ascii="Calibri" w:eastAsia="Calibri" w:hAnsi="Calibri" w:cs="Calibri"/>
        </w:rPr>
      </w:pPr>
      <w:r>
        <w:rPr>
          <w:rFonts w:ascii="Calibri" w:eastAsia="Calibri" w:hAnsi="Calibri" w:cs="Calibri"/>
        </w:rPr>
        <w:t>Participants were genotyped using the Illumina Infinium Global Screening Array-24 Kit (GSA Array, versions 1 and 3; Illumina, San Diego, CA). Quality control and imputation (HRC reference panel v1.1 2016) followed the pipeline described in</w:t>
      </w:r>
      <w:r w:rsidR="0080099D" w:rsidRPr="0080099D">
        <w:rPr>
          <w:rFonts w:ascii="Calibri" w:eastAsia="Calibri" w:hAnsi="Calibri" w:cs="Calibri"/>
          <w:lang w:val="en-US"/>
        </w:rPr>
        <w:t xml:space="preserve"> </w:t>
      </w:r>
      <w:r w:rsidR="0080099D">
        <w:rPr>
          <w:rFonts w:ascii="Calibri" w:eastAsia="Calibri" w:hAnsi="Calibri" w:cs="Calibri"/>
          <w:lang w:val="en-US"/>
        </w:rPr>
        <w:fldChar w:fldCharType="begin"/>
      </w:r>
      <w:r w:rsidR="0080099D">
        <w:rPr>
          <w:rFonts w:ascii="Calibri" w:eastAsia="Calibri" w:hAnsi="Calibri" w:cs="Calibri"/>
          <w:lang w:val="en-US"/>
        </w:rPr>
        <w:instrText xml:space="preserve"> ADDIN ZOTERO_ITEM CSL_CITATION {"citationID":"OHPJbQH5","properties":{"formattedCitation":"(2)","plainCitation":"(2)","noteIndex":0},"citationItems":[{"id":5586,"uris":["http://zotero.org/users/15000375/items/4YRQAW35"],"itemData":{"id":5586,"type":"article-journal","abstract":"Objective: This study aimed to identify transdiagnostic patient clusters based on disease severity and explore the underlying biological mechanisms independently of the traditional categorical classification. Design: We utilized data from 443 participants diagnosed with SMD of the PsyCourse Study, a longitudinal study with deep phenotyping across up to four visits. We performed longitudinal clustering to group patients based on symptom trajectories and cognitive performance. The resulting clusters were compared on cross-sectional variables, including independent measures of severity as well as polygenic risk scores, serum protein quantification, miRNA expression, and DNA methylation.\nResults: We identified two distinct clusters of patients that exhibited marked differences in illness severity but did not differ significantly in age, sex, or diagnostic proportions. We found 19 serum proteins significantly dysregulated between the two clusters. Functional enrichment pointed to a convergence of immune system dysregulation and neurodevelopmental processes.\nConclusion: The observed differences in serum protein expression suggest that disease severity is associated with the convergence of immune system dysregulation and neurodevelopmental alterations, particularly involving pathways related to inflammation and brain plasticity. The identification of pro-inflammatory proteins among the differentially expressed markers underscores the potential role of systemic inflammation in the pathophysiology of SMD. These results highlight the importance of considering illness severity as a core dimension in psychiatric research and clinical practice and suggest that targeting immune-related mechanisms may offer promising new therapeutic avenues for patients with SMD.","citation-key":"Solomon2025","container-title":"Brain, Behavior, and Immunity","DOI":"10.1016/j.bbi.2025.06.004","ISSN":"08891591","journalAbbreviation":"Brain, Behavior, and Immunity","language":"en","page":"359-372","source":"DOI.org (Crossref)","title":"Disease severity across psychiatric disorders is linked to pro-inflammatory cytokines","volume":"129","author":[{"family":"Solomon","given":"Pierre"},{"family":"Budde","given":"Monika"},{"family":"Kohshour","given":"Mojtaba Oraki"},{"family":"Adorjan","given":"Kristina"},{"family":"Heilbronner","given":"Maria"},{"family":"Navarro-Flores","given":"Alba"},{"family":"Papiol","given":"Sergi"},{"family":"Reich-Erkelenz","given":"Daniela"},{"family":"Schulte","given":"Eva C."},{"family":"Senner","given":"Fanny"},{"family":"Vogl","given":"Thomas"},{"family":"Kaurani","given":"Lalit"},{"family":"Krüger","given":"Dennis M."},{"family":"Sananbenesi","given":"Farahnaz"},{"family":"Pena","given":"Tonatiuh"},{"family":"Burkhardt","given":"Susanne"},{"family":"Schütz","given":"Anna-Lena"},{"family":"Anghelescu","given":"Ion-George"},{"family":"Arolt","given":"Volker"},{"family":"Baune","given":"Bernhardt T."},{"family":"Dannlowski","given":"Udo"},{"family":"Dietrich","given":"Detlef E."},{"family":"Fallgatter","given":"Andreas J."},{"family":"Figge","given":"Christian"},{"family":"Juckel","given":"Georg"},{"family":"Konrad","given":"Carsten"},{"family":"Lang","given":"Fabian U."},{"family":"Reimer","given":"Jens"},{"family":"Reininghaus","given":"Eva Z."},{"family":"Schmauß","given":"Max"},{"family":"Spitzer","given":"Carsten"},{"family":"Wiltfang","given":"Jens"},{"family":"Zimmermann","given":"Jörg"},{"family":"Fischer","given":"André"},{"family":"Falkai","given":"Peter"},{"family":"Schulze","given":"Thomas G."},{"family":"Heilbronner","given":"Urs"},{"family":"Poschmann","given":"Jeremie"}],"issued":{"date-parts":[["2025",10]]}}}],"schema":"https://github.com/citation-style-language/schema/raw/master/csl-citation.json"} </w:instrText>
      </w:r>
      <w:r w:rsidR="0080099D">
        <w:rPr>
          <w:rFonts w:ascii="Calibri" w:eastAsia="Calibri" w:hAnsi="Calibri" w:cs="Calibri"/>
          <w:lang w:val="en-US"/>
        </w:rPr>
        <w:fldChar w:fldCharType="separate"/>
      </w:r>
      <w:r w:rsidR="0080099D">
        <w:rPr>
          <w:rFonts w:ascii="Calibri" w:eastAsia="Calibri" w:hAnsi="Calibri" w:cs="Calibri"/>
          <w:noProof/>
          <w:lang w:val="en-US"/>
        </w:rPr>
        <w:t>(2)</w:t>
      </w:r>
      <w:r w:rsidR="0080099D">
        <w:rPr>
          <w:rFonts w:ascii="Calibri" w:eastAsia="Calibri" w:hAnsi="Calibri" w:cs="Calibri"/>
          <w:lang w:val="en-US"/>
        </w:rPr>
        <w:fldChar w:fldCharType="end"/>
      </w:r>
      <w:r>
        <w:rPr>
          <w:rFonts w:ascii="Calibri" w:eastAsia="Calibri" w:hAnsi="Calibri" w:cs="Calibri"/>
        </w:rPr>
        <w:t>.</w:t>
      </w:r>
    </w:p>
    <w:p w14:paraId="319E5AEA" w14:textId="61845347" w:rsidR="00BF0CFF" w:rsidRDefault="00000000">
      <w:pPr>
        <w:spacing w:after="160" w:line="480" w:lineRule="auto"/>
        <w:rPr>
          <w:rFonts w:ascii="Calibri" w:eastAsia="Calibri" w:hAnsi="Calibri" w:cs="Calibri"/>
        </w:rPr>
      </w:pPr>
      <w:r>
        <w:rPr>
          <w:rFonts w:ascii="Calibri" w:eastAsia="Calibri" w:hAnsi="Calibri" w:cs="Calibri"/>
        </w:rPr>
        <w:t xml:space="preserve">We constructed a hypothesis-driven PRS battery encompassing: psychiatric liability — schizophrenia (SCZ; </w:t>
      </w:r>
      <w:r w:rsidR="0080099D">
        <w:rPr>
          <w:rFonts w:ascii="Calibri" w:eastAsia="Calibri" w:hAnsi="Calibri" w:cs="Calibri"/>
        </w:rPr>
        <w:fldChar w:fldCharType="begin"/>
      </w:r>
      <w:r w:rsidR="0080099D">
        <w:rPr>
          <w:rFonts w:ascii="Calibri" w:eastAsia="Calibri" w:hAnsi="Calibri" w:cs="Calibri"/>
        </w:rPr>
        <w:instrText xml:space="preserve"> ADDIN ZOTERO_ITEM CSL_CITATION {"citationID":"59SpBDcK","properties":{"formattedCitation":"(3)","plainCitation":"(3)","noteIndex":0},"citationItems":[{"id":1866,"uris":["http://zotero.org/users/15000375/items/ARXWFN64"],"itemData":{"id":1866,"type":"article-journal","abstract":"Schizophrenia has a heritability of 60–80%1, much of which is attributable to common risk alleles. Here, in a two-stage genome-wide association study of up to 76,755 individuals with schizophrenia and 243,649 control individuals, we report common variant associations at 287 distinct genomic loci. Associations were concentrated in genes that are expressed in excitatory and inhibitory neurons of the central nervous system, but not in other tissues or cell types. Using fine-mapping and functional genomic data, we identify 120 genes (106 protein-coding) that are likely to underpin associations at some of these loci, including 16 genes with credible causal non-synonymous or untranslated region variation. We also implicate fundamental processes related to neuronal function, including synaptic organization, differentiation and transmission. Fine-mapped candidates were enriched for genes associated with rare disruptive coding variants in people with schizophrenia, including the glutamate receptor subunit GRIN2A and transcription factor SP4, and were also enriched for genes implicated by such variants in neurodevelopmental disorders. We identify biological processes relevant to schizophrenia pathophysiology; show convergence of common and rare variant associations in schizophrenia and neurodevelopmental disorders; and provide a resource of prioritized genes and variants to advance mechanistic studies.","citation-key":"Trubetskoy2022","container-title":"Nature","DOI":"10.1038/s41586-022-04434-5","ISSN":"1476-4687","issue":"7906","language":"en","license":"2022 The Author(s), under exclusive licence to Springer Nature Limited","page":"502-508","publisher":"Nature Publishing Group","source":"www.nature.com","title":"Mapping genomic loci implicates genes and synaptic biology in schizophrenia","volume":"604","author":[{"family":"Trubetskoy","given":"Vassily"},{"family":"Pardiñas","given":"Antonio F."},{"family":"Qi","given":"Ting"},{"family":"Panagiotaropoulou","given":"Georgia"},{"family":"Awasthi","given":"Swapnil"},{"family":"Bigdeli","given":"Tim B."},{"family":"Bryois","given":"Julien"},{"family":"Chen","given":"Chia-Yen"},{"family":"Dennison","given":"Charlotte A."},{"family":"Hall","given":"Lynsey S."},{"family":"Lam","given":"Max"},{"family":"Watanabe","given":"Kyoko"},{"family":"Frei","given":"Oleksandr"},{"family":"Ge","given":"Tian"},{"family":"Harwood","given":"Janet C."},{"family":"Koopmans","given":"Frank"},{"family":"Magnusson","given":"Sigurdur"},{"family":"Richards","given":"Alexander L."},{"family":"Sidorenko","given":"Julia"},{"family":"Wu","given":"Yang"},{"family":"Zeng","given":"Jian"},{"family":"Grove","given":"Jakob"},{"family":"Kim","given":"Minsoo"},{"family":"Li","given":"Zhiqiang"},{"family":"Voloudakis","given":"Georgios"},{"family":"Zhang","given":"Wen"},{"family":"Adams","given":"Mark"},{"family":"Agartz","given":"Ingrid"},{"family":"Atkinson","given":"Elizabeth G."},{"family":"Agerbo","given":"Esben"},{"family":"Al Eissa","given":"Mariam"},{"family":"Albus","given":"Margot"},{"family":"Alexander","given":"Madeline"},{"family":"Alizadeh","given":"Behrooz Z."},{"family":"Alptekin","given":"Köksal"},{"family":"Als","given":"Thomas D."},{"family":"Amin","given":"Farooq"},{"family":"Arolt","given":"Volker"},{"family":"Arrojo","given":"Manuel"},{"family":"Athanasiu","given":"Lavinia"},{"family":"Azevedo","given":"Maria Helena"},{"family":"Bacanu","given":"Silviu A."},{"family":"Bass","given":"Nicholas J."},{"family":"Begemann","given":"Martin"},{"family":"Belliveau","given":"Richard A."},{"family":"Bene","given":"Judit"},{"family":"Benyamin","given":"Beben"},{"family":"Bergen","given":"Sarah E."},{"family":"Blasi","given":"Giuseppe"},{"family":"Bobes","given":"Julio"},{"family":"Bonassi","given":"Stefano"},{"family":"Braun","given":"Alice"},{"family":"Bressan","given":"Rodrigo Affonseca"},{"family":"Bromet","given":"Evelyn J."},{"family":"Bruggeman","given":"Richard"},{"family":"Buckley","given":"Peter F."},{"family":"Buckner","given":"Randy L."},{"family":"Bybjerg-Grauholm","given":"Jonas"},{"family":"Cahn","given":"Wiepke"},{"family":"Cairns","given":"Murray J."},{"family":"Calkins","given":"Monica E."},{"family":"Carr","given":"Vaughan J."},{"family":"Castle","given":"David"},{"family":"Catts","given":"Stanley V."},{"family":"Chambert","given":"Kimberley D."},{"family":"Chan","given":"Raymond C. K."},{"family":"Chaumette","given":"Boris"},{"family":"Cheng","given":"Wei"},{"family":"Cheung","given":"Eric F. C."},{"family":"Chong","given":"Siow Ann"},{"family":"Cohen","given":"David"},{"family":"Consoli","given":"Angèle"},{"family":"Cordeiro","given":"Quirino"},{"family":"Costas","given":"Javier"},{"family":"Curtis","given":"Charles"},{"family":"Davidson","given":"Michael"},{"family":"Davis","given":"Kenneth L."},{"family":"Haan","given":"Lieuwe","non-dropping-particle":"de"},{"family":"Degenhardt","given":"Franziska"},{"family":"DeLisi","given":"Lynn E."},{"family":"Demontis","given":"Ditte"},{"family":"Dickerson","given":"Faith"},{"family":"Dikeos","given":"Dimitris"},{"family":"Dinan","given":"Timothy"},{"family":"Djurovic","given":"Srdjan"},{"family":"Duan","given":"Jubao"},{"family":"Ducci","given":"Giuseppe"},{"family":"Dudbridge","given":"Frank"},{"family":"Eriksson","given":"Johan G."},{"family":"Fañanás","given":"Lourdes"},{"family":"Faraone","given":"Stephen V."},{"family":"Fiorentino","given":"Alessia"},{"family":"Forstner","given":"Andreas"},{"family":"Frank","given":"Josef"},{"family":"Freimer","given":"Nelson B."},{"family":"Fromer","given":"Menachem"},{"family":"Frustaci","given":"Alessandra"},{"family":"Gadelha","given":"Ary"},{"family":"Genovese","given":"Giulio"},{"family":"Gershon","given":"Elliot S."},{"family":"Giannitelli","given":"Marianna"},{"family":"Giegling","given":"Ina"},{"family":"Giusti-Rodríguez","given":"Paola"},{"family":"Godard","given":"Stephanie"},{"family":"Goldstein","given":"Jacqueline I."},{"family":"González Peñas","given":"Javier"},{"family":"González-Pinto","given":"Ana"},{"family":"Gopal","given":"Srihari"},{"family":"Gratten","given":"Jacob"},{"family":"Green","given":"Michael F."},{"family":"Greenwood","given":"Tiffany A."},{"family":"Guillin","given":"Olivier"},{"family":"Gülöksüz","given":"Sinan"},{"family":"Gur","given":"Raquel E."},{"family":"Gur","given":"Ruben C."},{"family":"Gutiérrez","given":"Blanca"},{"family":"Hahn","given":"Eric"},{"family":"Hakonarson","given":"Hakon"},{"family":"Haroutunian","given":"Vahram"},{"family":"Hartmann","given":"Annette M."},{"family":"Harvey","given":"Carol"},{"family":"Hayward","given":"Caroline"},{"family":"Henskens","given":"Frans A."},{"family":"Herms","given":"Stefan"},{"family":"Hoffmann","given":"Per"},{"family":"Howrigan","given":"Daniel P."},{"family":"Ikeda","given":"Masashi"},{"family":"Iyegbe","given":"Conrad"},{"family":"Joa","given":"Inge"},{"family":"Julià","given":"Antonio"},{"family":"Kähler","given":"Anna K."},{"family":"Kam-Thong","given":"Tony"},{"family":"Kamatani","given":"Yoichiro"},{"family":"Karachanak-Yankova","given":"Sena"},{"family":"Kebir","given":"Oussama"},{"family":"Keller","given":"Matthew C."},{"family":"Kelly","given":"Brian J."},{"family":"Khrunin","given":"Andrey"},{"family":"Kim","given":"Sung-Wan"},{"family":"Klovins","given":"Janis"},{"family":"Kondratiev","given":"Nikolay"},{"family":"Konte","given":"Bettina"},{"family":"Kraft","given":"Julia"},{"family":"Kubo","given":"Michiaki"},{"family":"Kučinskas","given":"Vaidutis"},{"family":"Kučinskiene","given":"Zita Ausrele"},{"family":"Kusumawardhani","given":"Agung"},{"family":"Kuzelova-Ptackova","given":"Hana"},{"family":"Landi","given":"Stefano"},{"family":"Lazzeroni","given":"Laura C."},{"family":"Lee","given":"Phil H."},{"family":"Legge","given":"Sophie E."},{"family":"Lehrer","given":"Douglas S."},{"family":"Lencer","given":"Rebecca"},{"family":"Lerer","given":"Bernard"},{"family":"Li","given":"Miaoxin"},{"family":"Lieberman","given":"Jeffrey"},{"family":"Light","given":"Gregory A."},{"family":"Limborska","given":"Svetlana"},{"family":"Liu","given":"Chih-Min"},{"family":"Lönnqvist","given":"Jouko"},{"family":"Loughland","given":"Carmel M."},{"family":"Lubinski","given":"Jan"},{"family":"Luykx","given":"Jurjen J."},{"family":"Lynham","given":"Amy"},{"family":"Macek","given":"Milan"},{"family":"Mackinnon","given":"Andrew"},{"family":"Magnusson","given":"Patrik K. E."},{"family":"Maher","given":"Brion S."},{"family":"Maier","given":"Wolfgang"},{"family":"Malaspina","given":"Dolores"},{"family":"Mallet","given":"Jacques"},{"family":"Marder","given":"Stephen R."},{"family":"Marsal","given":"Sara"},{"family":"Martin","given":"Alicia R."},{"family":"Martorell","given":"Lourdes"},{"family":"Mattheisen","given":"Manuel"},{"family":"McCarley","given":"Robert W."},{"family":"McDonald","given":"Colm"},{"family":"McGrath","given":"John J."},{"family":"Medeiros","given":"Helena"},{"family":"Meier","given":"Sandra"},{"family":"Melegh","given":"Bela"},{"family":"Melle","given":"Ingrid"},{"family":"Mesholam-Gately","given":"Raquelle I."},{"family":"Metspalu","given":"Andres"},{"family":"Michie","given":"Patricia T."},{"family":"Milani","given":"Lili"},{"family":"Milanova","given":"Vihra"},{"family":"Mitjans","given":"Marina"},{"family":"Molden","given":"Espen"},{"family":"Molina","given":"Esther"},{"family":"Molto","given":"María Dolores"},{"family":"Mondelli","given":"Valeria"},{"family":"Moreno","given":"Carmen"},{"family":"Morley","given":"Christopher P."},{"family":"Muntané","given":"Gerard"},{"family":"Murphy","given":"Kieran C."},{"family":"Myin-Germeys","given":"Inez"},{"family":"Nenadić","given":"Igor"},{"family":"Nestadt","given":"Gerald"},{"family":"Nikitina-Zake","given":"Liene"},{"family":"Noto","given":"Cristiano"},{"family":"Nuechterlein","given":"Keith H."},{"family":"O’Brien","given":"Niamh Louise"},{"family":"O’Neill","given":"F. Anthony"},{"family":"Oh","given":"Sang-Yun"},{"family":"Olincy","given":"Ann"},{"family":"Ota","given":"Vanessa Kiyomi"},{"family":"Pantelis","given":"Christos"},{"family":"Papadimitriou","given":"George N."},{"family":"Parellada","given":"Mara"},{"family":"Paunio","given":"Tiina"},{"family":"Pellegrino","given":"Renata"},{"family":"Periyasamy","given":"Sathish"},{"family":"Perkins","given":"Diana O."},{"family":"Pfuhlmann","given":"Bruno"},{"family":"Pietiläinen","given":"Olli"},{"family":"Pimm","given":"Jonathan"},{"family":"Porteous","given":"David"},{"family":"Powell","given":"John"},{"family":"Quattrone","given":"Diego"},{"family":"Quested","given":"Digby"},{"family":"Radant","given":"Allen D."},{"family":"Rampino","given":"Antonio"},{"family":"Rapaport","given":"Mark H."},{"family":"Rautanen","given":"Anna"},{"family":"Reichenberg","given":"Abraham"},{"family":"Roe","given":"Cheryl"},{"family":"Roffman","given":"Joshua L."},{"family":"Roth","given":"Julian"},{"family":"Rothermundt","given":"Matthias"},{"family":"Rutten","given":"Bart P. F."},{"family":"Saker-Delye","given":"Safaa"},{"family":"Salomaa","given":"Veikko"},{"family":"Sanjuan","given":"Julio"},{"family":"Santoro","given":"Marcos Leite"},{"family":"Savitz","given":"Adam"},{"family":"Schall","given":"Ulrich"},{"family":"Scott","given":"Rodney J."},{"family":"Seidman","given":"Larry J."},{"family":"Sharp","given":"Sally Isabel"},{"family":"Shi","given":"Jianxin"},{"family":"Siever","given":"Larry J."},{"family":"Sigurdsson","given":"Engilbert"},{"family":"Sim","given":"Kang"},{"family":"Skarabis","given":"Nora"},{"family":"Slominsky","given":"Petr"},{"family":"So","given":"Hon-Cheong"},{"family":"Sobell","given":"Janet L."},{"family":"Söderman","given":"Erik"},{"family":"Stain","given":"Helen J."},{"family":"Steen","given":"Nils Eiel"},{"family":"Steixner-Kumar","given":"Agnes A."},{"family":"Stögmann","given":"Elisabeth"},{"family":"Stone","given":"William S."},{"family":"Straub","given":"Richard E."},{"family":"Streit","given":"Fabian"},{"family":"Strengman","given":"Eric"},{"family":"Stroup","given":"T. Scott"},{"family":"Subramaniam","given":"Mythily"},{"family":"Sugar","given":"Catherine A."},{"family":"Suvisaari","given":"Jaana"},{"family":"Svrakic","given":"Dragan M."},{"family":"Swerdlow","given":"Neal R."},{"family":"Szatkiewicz","given":"Jin P."},{"family":"Ta","given":"Thi Minh Tam"},{"family":"Takahashi","given":"Atsushi"},{"family":"Terao","given":"Chikashi"},{"family":"Thibaut","given":"Florence"},{"family":"Toncheva","given":"Draga"},{"family":"Tooney","given":"Paul A."},{"family":"Torretta","given":"Silvia"},{"family":"Tosato","given":"Sarah"},{"family":"Tura","given":"Gian Battista"},{"family":"Turetsky","given":"Bruce I."},{"family":"Üçok","given":"Alp"},{"family":"Vaaler","given":"Arne"},{"family":"Amelsvoort","given":"Therese","non-dropping-particle":"van"},{"family":"Winkel","given":"Ruud","non-dropping-particle":"van"},{"family":"Veijola","given":"Juha"},{"family":"Waddington","given":"John"},{"family":"Walter","given":"Henrik"},{"family":"Waterreus","given":"Anna"},{"family":"Webb","given":"Bradley T."},{"family":"Weiser","given":"Mark"},{"family":"Williams","given":"Nigel M."},{"family":"Witt","given":"Stephanie H."},{"family":"Wormley","given":"Brandon K."},{"family":"Wu","given":"Jing Qin"},{"family":"Xu","given":"Zhida"},{"family":"Yolken","given":"Robert"},{"family":"Zai","given":"Clement C."},{"family":"Zhou","given":"Wei"},{"family":"Zhu","given":"Feng"},{"family":"Zimprich","given":"Fritz"},{"family":"Atbaşoğlu","given":"Eşref Cem"},{"family":"Ayub","given":"Muhammad"},{"family":"Benner","given":"Christian"},{"family":"Bertolino","given":"Alessandro"},{"family":"Black","given":"Donald W."},{"family":"Bray","given":"Nicholas J."},{"family":"Breen","given":"Gerome"},{"family":"Buccola","given":"Nancy G."},{"family":"Byerley","given":"William F."},{"family":"Chen","given":"Wei J."},{"family":"Cloninger","given":"C. Robert"},{"family":"Crespo-Facorro","given":"Benedicto"},{"family":"Donohoe","given":"Gary"},{"family":"Freedman","given":"Robert"},{"family":"Galletly","given":"Cherrie"},{"family":"Gandal","given":"Michael J."},{"family":"Gennarelli","given":"Massimo"},{"family":"Hougaard","given":"David M."},{"family":"Hwu","given":"Hai-Gwo"},{"family":"Jablensky","given":"Assen V."},{"family":"McCarroll","given":"Steven A."},{"family":"Moran","given":"Jennifer L."},{"family":"Mors","given":"Ole"},{"family":"Mortensen","given":"Preben B."},{"family":"Müller-Myhsok","given":"Bertram"},{"family":"Neil","given":"Amanda L."},{"family":"Nordentoft","given":"Merete"},{"family":"Pato","given":"Michele T."},{"family":"Petryshen","given":"Tracey L."},{"family":"Pirinen","given":"Matti"},{"family":"Pulver","given":"Ann E."},{"family":"Schulze","given":"Thomas G."},{"family":"Silverman","given":"Jeremy M."},{"family":"Smoller","given":"Jordan W."},{"family":"Stahl","given":"Eli A."},{"family":"Tsuang","given":"Debby W."},{"family":"Vilella","given":"Elisabet"},{"family":"Wang","given":"Shi-Heng"},{"family":"Xu","given":"Shuhua"},{"family":"Adolfsson","given":"Rolf"},{"family":"Arango","given":"Celso"},{"family":"Baune","given":"Bernhard T."},{"family":"Belangero","given":"Sintia Iole"},{"family":"Børglum","given":"Anders D."},{"family":"Braff","given":"David"},{"family":"Bramon","given":"Elvira"},{"family":"Buxbaum","given":"Joseph D."},{"family":"Campion","given":"Dominique"},{"family":"Cervilla","given":"Jorge A."},{"family":"Cichon","given":"Sven"},{"family":"Collier","given":"David A."},{"family":"Corvin","given":"Aiden"},{"family":"Curtis","given":"David"},{"family":"Forti","given":"Marta Di"},{"family":"Domenici","given":"Enrico"},{"family":"Ehrenreich","given":"Hannelore"},{"family":"Escott-Price","given":"Valentina"},{"family":"Esko","given":"Tõnu"},{"family":"Fanous","given":"Ayman H."},{"family":"Gareeva","given":"Anna"},{"family":"Gawlik","given":"Micha"},{"family":"Gejman","given":"Pablo V."},{"family":"Gill","given":"Michael"},{"family":"Glatt","given":"Stephen J."},{"family":"Golimbet","given":"Vera"},{"family":"Hong","given":"Kyung Sue"},{"family":"Hultman","given":"Christina M."},{"family":"Hyman","given":"Steven E."},{"family":"Iwata","given":"Nakao"},{"family":"Jönsson","given":"Erik G."},{"family":"Kahn","given":"René S."},{"family":"Kennedy","given":"James L."},{"family":"Khusnutdinova","given":"Elza"},{"family":"Kirov","given":"George"},{"family":"Knowles","given":"James A."},{"family":"Krebs","given":"Marie-Odile"},{"family":"Laurent-Levinson","given":"Claudine"},{"family":"Lee","given":"Jimmy"},{"family":"Lencz","given":"Todd"},{"family":"Levinson","given":"Douglas F."},{"family":"Li","given":"Qingqin S."},{"family":"Liu","given":"Jianjun"},{"family":"Malhotra","given":"Anil K."},{"family":"Malhotra","given":"Dheeraj"},{"family":"McIntosh","given":"Andrew"},{"family":"McQuillin","given":"Andrew"},{"family":"Menezes","given":"Paulo R."},{"family":"Morgan","given":"Vera A."},{"family":"Morris","given":"Derek W."},{"family":"Mowry","given":"Bryan J."},{"family":"Murray","given":"Robin M."},{"family":"Nimgaonkar","given":"Vishwajit"},{"family":"Nöthen","given":"Markus M."},{"family":"Ophoff","given":"Roel A."},{"family":"Paciga","given":"Sara A."},{"family":"Palotie","given":"Aarno"},{"family":"Pato","given":"Carlos N."},{"family":"Qin","given":"Shengying"},{"family":"Rietschel","given":"Marcella"},{"family":"Riley","given":"Brien P."},{"family":"Rivera","given":"Margarita"},{"family":"Rujescu","given":"Dan"},{"family":"Saka","given":"Meram C."},{"family":"Sanders","given":"Alan R."},{"family":"Schwab","given":"Sibylle G."},{"family":"Serretti","given":"Alessandro"},{"family":"Sham","given":"Pak C."},{"family":"Shi","given":"Yongyong"},{"family":"St Clair","given":"David"},{"family":"Stefánsson","given":"Hreinn"},{"family":"Stefansson","given":"Kari"},{"family":"Tsuang","given":"Ming T."},{"family":"Os","given":"Jim","non-dropping-particle":"van"},{"family":"Vawter","given":"Marquis P."},{"family":"Weinberger","given":"Daniel R."},{"family":"Werge","given":"Thomas"},{"family":"Wildenauer","given":"Dieter B."},{"family":"Yu","given":"Xin"},{"family":"Yue","given":"Weihua"},{"family":"Holmans","given":"Peter A."},{"family":"Pocklington","given":"Andrew J."},{"family":"Roussos","given":"Panos"},{"family":"Vassos","given":"Evangelos"},{"family":"Verhage","given":"Matthijs"},{"family":"Visscher","given":"Peter M."},{"family":"Yang","given":"Jian"},{"family":"Posthuma","given":"Danielle"},{"family":"Andreassen","given":"Ole A."},{"family":"Kendler","given":"Kenneth S."},{"family":"Owen","given":"Michael J."},{"family":"Wray","given":"Naomi R."},{"family":"Daly","given":"Mark J."},{"family":"Huang","given":"Hailiang"},{"family":"Neale","given":"Benjamin M."},{"family":"Sullivan","given":"Patrick F."},{"family":"Ripke","given":"Stephan"},{"family":"Walters","given":"James T. R."},{"family":"O’Donovan","given":"Michael C."}],"issued":{"date-parts":[["2022",4]]}}}],"schema":"https://github.com/citation-style-language/schema/raw/master/csl-citation.json"} </w:instrText>
      </w:r>
      <w:r w:rsidR="0080099D">
        <w:rPr>
          <w:rFonts w:ascii="Calibri" w:eastAsia="Calibri" w:hAnsi="Calibri" w:cs="Calibri"/>
        </w:rPr>
        <w:fldChar w:fldCharType="separate"/>
      </w:r>
      <w:r w:rsidR="0080099D">
        <w:rPr>
          <w:rFonts w:ascii="Calibri" w:eastAsia="Calibri" w:hAnsi="Calibri" w:cs="Calibri"/>
          <w:noProof/>
        </w:rPr>
        <w:t>(3)</w:t>
      </w:r>
      <w:r w:rsidR="0080099D">
        <w:rPr>
          <w:rFonts w:ascii="Calibri" w:eastAsia="Calibri" w:hAnsi="Calibri" w:cs="Calibri"/>
        </w:rPr>
        <w:fldChar w:fldCharType="end"/>
      </w:r>
      <w:r>
        <w:rPr>
          <w:rFonts w:ascii="Calibri" w:eastAsia="Calibri" w:hAnsi="Calibri" w:cs="Calibri"/>
        </w:rPr>
        <w:t>), bipolar disorder (BD;</w:t>
      </w:r>
      <w:r w:rsidR="0080099D" w:rsidRPr="0080099D">
        <w:rPr>
          <w:rFonts w:ascii="Calibri" w:eastAsia="Calibri" w:hAnsi="Calibri" w:cs="Calibri"/>
          <w:lang w:val="en-US"/>
        </w:rPr>
        <w:t xml:space="preserve"> </w:t>
      </w:r>
      <w:r w:rsidR="0080099D">
        <w:rPr>
          <w:rFonts w:ascii="Calibri" w:eastAsia="Calibri" w:hAnsi="Calibri" w:cs="Calibri"/>
          <w:lang w:val="en-US"/>
        </w:rPr>
        <w:fldChar w:fldCharType="begin"/>
      </w:r>
      <w:r w:rsidR="0080099D">
        <w:rPr>
          <w:rFonts w:ascii="Calibri" w:eastAsia="Calibri" w:hAnsi="Calibri" w:cs="Calibri"/>
          <w:lang w:val="en-US"/>
        </w:rPr>
        <w:instrText xml:space="preserve"> ADDIN ZOTERO_ITEM CSL_CITATION {"citationID":"D0MVJuG7","properties":{"formattedCitation":"(4)","plainCitation":"(4)","noteIndex":0},"citationItems":[{"id":2892,"uris":["http://zotero.org/users/15000375/items/K8TXV95T"],"itemData":{"id":2892,"type":"article-journal","abstract":"Bipolar disorder is a leading contributor to the global burden of disease1. Despite high heritability (60–80%), the majority of the underlying genetic determinants remain unknown2. We analysed data from participants of European, East Asian, African American and Latino ancestries (n = 158,036 cases with bipolar disorder, 2.8 million controls), combining clinical, community and self-reported samples. We identified 298 genome-wide significant loci in the multi-ancestry meta-analysis, a fourfold increase over previous findings3, and identified an ancestry-specific association in the East Asian cohort. Integrating results from fine-mapping and other variant-to-gene mapping approaches identified 36 credible genes in the aetiology of bipolar disorder. Genes prioritized through fine-mapping were enriched for ultra-rare damaging missense and protein-truncating variations in cases with bipolar disorder4, highlighting convergence of common and rare variant signals. We report differences in the genetic architecture of bipolar disorder depending on the source of patient ascertainment and on bipolar disorder subtype (type I or type II). Several analyses implicate specific cell types in the pathophysiology of bipolar disorder, including GABAergic interneurons and medium spiny neurons. Together, these analyses provide additional insights into the genetic architecture and biological underpinnings of bipolar disorder.","citation-key":"OConnell2025","container-title":"Nature","DOI":"10.1038/s41586-024-08468-9","ISSN":"1476-4687","issue":"8056","language":"en","license":"2025 The Author(s), under exclusive licence to Springer Nature Limited","page":"968-975","publisher":"Nature Publishing Group","source":"www.nature.com","title":"Genomics yields biological and phenotypic insights into bipolar disorder","volume":"639","author":[{"family":"O’Connell","given":"Kevin S."},{"family":"Koromina","given":"Maria"},{"family":"Veen","given":"Tracey","non-dropping-particle":"van der"},{"family":"Boltz","given":"Toni"},{"family":"David","given":"Friederike S."},{"family":"Yang","given":"Jessica Mei Kay"},{"family":"Lin","given":"Keng-Han"},{"family":"Wang","given":"Xin"},{"family":"Coleman","given":"Jonathan R. I."},{"family":"Mitchell","given":"Brittany L."},{"family":"McGrouther","given":"Caroline C."},{"family":"Rangan","given":"Aaditya V."},{"family":"Lind","given":"Penelope A."},{"family":"Koch","given":"Elise"},{"family":"Harder","given":"Arvid"},{"family":"Parker","given":"Nadine"},{"family":"Bendl","given":"Jaroslav"},{"family":"Adorjan","given":"Kristina"},{"family":"Agerbo","given":"Esben"},{"family":"Albani","given":"Diego"},{"family":"Alemany","given":"Silvia"},{"family":"Alliey-Rodriguez","given":"Ney"},{"family":"Als","given":"Thomas D."},{"family":"Andlauer","given":"Till F. M."},{"family":"Antoniou","given":"Anastasia"},{"family":"Ask","given":"Helga"},{"family":"Bass","given":"Nicholas"},{"family":"Bauer","given":"Michael"},{"family":"Beins","given":"Eva C."},{"family":"Bigdeli","given":"Tim B."},{"family":"Pedersen","given":"Carsten Bøcker"},{"family":"Boks","given":"Marco P."},{"family":"Børte","given":"Sigrid"},{"family":"Bosch","given":"Rosa"},{"family":"Brum","given":"Murielle"},{"family":"Brumpton","given":"Ben M."},{"family":"Brunkhorst-Kanaan","given":"Nathalie"},{"family":"Budde","given":"Monika"},{"family":"Bybjerg-Grauholm","given":"Jonas"},{"family":"Byerley","given":"William"},{"family":"Cabana-Domínguez","given":"Judit"},{"family":"Cairns","given":"Murray J."},{"family":"Carpiniello","given":"Bernardo"},{"family":"Casas","given":"Miquel"},{"family":"Cervantes","given":"Pablo"},{"family":"Chatzinakos","given":"Chris"},{"family":"Chen","given":"Hsi-Chung"},{"family":"Clarence","given":"Tereza"},{"family":"Clarke","given":"Toni-Kim"},{"family":"Claus","given":"Isabelle"},{"family":"Coombes","given":"Brandon"},{"family":"Corfield","given":"Elizabeth C."},{"family":"Cruceanu","given":"Cristiana"},{"family":"Cuellar-Barboza","given":"Alfredo"},{"family":"Czerski","given":"Piotr M."},{"family":"Dafnas","given":"Konstantinos"},{"family":"Dale","given":"Anders M."},{"family":"Dalkner","given":"Nina"},{"family":"Degenhardt","given":"Franziska"},{"family":"DePaulo","given":"J. Raymond"},{"family":"Djurovic","given":"Srdjan"},{"family":"Drange","given":"Ole Kristian"},{"family":"Escott-Price","given":"Valentina"},{"family":"Fanous","given":"Ayman H."},{"family":"Fellendorf","given":"Frederike T."},{"family":"Ferrier","given":"I. Nicol"},{"family":"Forty","given":"Liz"},{"family":"Frank","given":"Josef"},{"family":"Frei","given":"Oleksandr"},{"family":"Freimer","given":"Nelson B."},{"family":"Fullard","given":"John F."},{"family":"Garnham","given":"Julie"},{"family":"Gizer","given":"Ian R."},{"family":"Gordon","given":"Scott D."},{"family":"Gordon-Smith","given":"Katherine"},{"family":"Greenwood","given":"Tiffany A."},{"family":"Grove","given":"Jakob"},{"family":"Guzman-Parra","given":"José"},{"family":"Ha","given":"Tae Hyon"},{"family":"Hahn","given":"Tim"},{"family":"Haraldsson","given":"Magnus"},{"family":"Hautzinger","given":"Martin"},{"family":"Havdahl","given":"Alexandra"},{"family":"Heilbronner","given":"Urs"},{"family":"Hellgren","given":"Dennis"},{"family":"Herms","given":"Stefan"},{"family":"Hickie","given":"Ian B."},{"family":"Hoffmann","given":"Per"},{"family":"Holmans","given":"Peter A."},{"family":"Huang","given":"Ming-Chyi"},{"family":"Ikeda","given":"Masashi"},{"family":"Jamain","given":"Stéphane"},{"family":"Johnson","given":"Jessica S."},{"family":"Jonsson","given":"Lina"},{"family":"Kalman","given":"Janos L."},{"family":"Kamatani","given":"Yoichiro"},{"family":"Kennedy","given":"James L."},{"family":"Kim","given":"Euitae"},{"family":"Kim","given":"Jaeyoung"},{"family":"Kittel-Schneider","given":"Sarah"},{"family":"Knowles","given":"James A."},{"family":"Kogevinas","given":"Manolis"},{"family":"Kranz","given":"Thorsten M."},{"family":"Krebs","given":"Kristi"},{"family":"Kushner","given":"Steven A."},{"family":"Lavebratt","given":"Catharina"},{"family":"Lawrence","given":"Jacob"},{"family":"Leber","given":"Markus"},{"family":"Lee","given":"Heon-Jeong"},{"family":"Liao","given":"Calwing"},{"family":"Lucae","given":"Susanne"},{"family":"Lundberg","given":"Martin"},{"family":"MacIntyre","given":"Donald J."},{"family":"Maier","given":"Wolfgang"},{"family":"Maihofer","given":"Adam X."},{"family":"Malaspina","given":"Dolores"},{"family":"Manchia","given":"Mirko"},{"family":"Maratou","given":"Eirini"},{"family":"Martinsson","given":"Lina"},{"family":"Mattheisen","given":"Manuel"},{"family":"McGregor","given":"Nathaniel W."},{"family":"McInnis","given":"Melvin G."},{"family":"McKay","given":"James D."},{"family":"Medeiros","given":"Helena"},{"family":"Meyer-Lindenberg","given":"Andreas"},{"family":"Millischer","given":"Vincent"},{"family":"Morris","given":"Derek W."},{"family":"Moutsatsou","given":"Paraskevi"},{"family":"Mühleisen","given":"Thomas W."},{"family":"O’Donovan","given":"Claire"},{"family":"Olsen","given":"Catherine M."},{"family":"Panagiotaropoulou","given":"Georgia"},{"family":"Papiol","given":"Sergi"},{"family":"Pardiñas","given":"Antonio F."},{"family":"Park","given":"Hye Youn"},{"family":"Perry","given":"Amy"},{"family":"Pfennig","given":"Andrea"},{"family":"Pisanu","given":"Claudia"},{"family":"Potash","given":"James B."},{"family":"Quested","given":"Digby"},{"family":"Rapaport","given":"Mark H."},{"family":"Regeer","given":"Eline J."},{"family":"Rice","given":"John P."},{"family":"Rivera","given":"Margarita"},{"family":"Schulte","given":"Eva C."},{"family":"Senner","given":"Fanny"},{"family":"Shadrin","given":"Alexey"},{"family":"Shilling","given":"Paul D."},{"family":"Sigurdsson","given":"Engilbert"},{"family":"Sindermann","given":"Lisa"},{"family":"Sirignano","given":"Lea"},{"family":"Siskind","given":"Dan"},{"family":"Slaney","given":"Claire"},{"family":"Sloofman","given":"Laura G."},{"family":"Smeland","given":"Olav B."},{"family":"Smith","given":"Daniel J."},{"family":"Sobell","given":"Janet L."},{"family":"Soler Artigas","given":"Maria"},{"family":"Stein","given":"Dan J."},{"family":"Stein","given":"Frederike"},{"family":"Su","given":"Mei-Hsin"},{"family":"Sung","given":"Heejong"},{"family":"Świątkowska","given":"Beata"},{"family":"Terao","given":"Chikashi"},{"family":"Tesfaye","given":"Markos"},{"family":"Tesli","given":"Martin"},{"family":"Thorgeirsson","given":"Thorgeir E."},{"family":"Thorp","given":"Jackson G."},{"family":"Toma","given":"Claudio"},{"family":"Tondo","given":"Leonardo"},{"family":"Tooney","given":"Paul A."},{"family":"Tsai","given":"Shih-Jen"},{"family":"Tsermpini","given":"Evangelia Eirini"},{"family":"Vawter","given":"Marquis P."},{"family":"Vedder","given":"Helmut"},{"family":"Vreeker","given":"Annabel"},{"family":"Walters","given":"James T. R."},{"family":"Winsvold","given":"Bendik S."},{"family":"Witt","given":"Stephanie H."},{"family":"Won","given":"Hong-Hee"},{"family":"Ye","given":"Robert"},{"family":"Young","given":"Allan H."},{"family":"Zandi","given":"Peter P."},{"family":"Zillich","given":"Lea"},{"family":"Adolfsson","given":"Rolf"},{"family":"Alda","given":"Martin"},{"family":"Alfredsson","given":"Lars"},{"family":"Backlund","given":"Lena"},{"family":"Baune","given":"Bernhard T."},{"family":"Bellivier","given":"Frank"},{"family":"Bengesser","given":"Susanne"},{"family":"Berrettini","given":"Wade H."},{"family":"Biernacka","given":"Joanna M."},{"family":"Boehnke","given":"Michael"},{"family":"Børglum","given":"Anders D."},{"family":"Breen","given":"Gerome"},{"family":"Carr","given":"Vaughan J."},{"family":"Catts","given":"Stanley"},{"family":"Cichon","given":"Sven"},{"family":"Corvin","given":"Aiden"},{"family":"Craddock","given":"Nicholas"},{"family":"Dannlowski","given":"Udo"},{"family":"Dikeos","given":"Dimitris"},{"family":"Etain","given":"Bruno"},{"family":"Ferentinos","given":"Panagiotis"},{"family":"Frye","given":"Mark"},{"family":"Fullerton","given":"Janice M."},{"family":"Gawlik","given":"Micha"},{"family":"Gershon","given":"Elliot S."},{"family":"Goes","given":"Fernando S."},{"family":"Green","given":"Melissa J."},{"family":"Grigoroiu-Serbanescu","given":"Maria"},{"family":"Hauser","given":"Joanna"},{"family":"Henskens","given":"Frans A."},{"family":"Hjerling-Leffler","given":"Jens"},{"family":"Hougaard","given":"David M."},{"family":"Hveem","given":"Kristian"},{"family":"Iwata","given":"Nakao"},{"family":"Jones","given":"Ian"},{"family":"Jones","given":"Lisa A."},{"family":"Kahn","given":"René S."},{"family":"Kelsoe","given":"John R."},{"family":"Kircher","given":"Tilo"},{"family":"Kirov","given":"George"},{"family":"Kuo","given":"Po-Hsiu"},{"family":"Landén","given":"Mikael"},{"family":"Leboyer","given":"Marion"},{"family":"Li","given":"Qingqin S."},{"family":"Lissowska","given":"Jolanta"},{"family":"Lochner","given":"Christine"},{"family":"Loughland","given":"Carmel"},{"family":"Luykx","given":"Jurjen J."},{"family":"Martin","given":"Nicholas G."},{"family":"Mathews","given":"Carol A."},{"family":"Mayoral","given":"Fermin"},{"family":"McElroy","given":"Susan L."},{"family":"McIntosh","given":"Andrew M."},{"family":"McMahon","given":"Francis J."},{"family":"Medland","given":"Sarah E."},{"family":"Melle","given":"Ingrid"},{"family":"Milani","given":"Lili"},{"family":"Mitchell","given":"Philip B."},{"family":"Morken","given":"Gunnar"},{"family":"Mors","given":"Ole"},{"family":"Mortensen","given":"Preben Bo"},{"family":"Müller-Myhsok","given":"Bertram"},{"family":"Myers","given":"Richard M."},{"family":"Myung","given":"Woojae"},{"family":"Neale","given":"Benjamin M."},{"family":"Nievergelt","given":"Caroline M."},{"family":"Nordentoft","given":"Merete"},{"family":"Nöthen","given":"Markus M."},{"family":"Nurnberger","given":"John I."},{"family":"O’Donovan","given":"Michael C."},{"family":"Oedegaard","given":"Ketil J."},{"family":"Olsson","given":"Tomas"},{"family":"Owen","given":"Michael J."},{"family":"Paciga","given":"Sara A."},{"family":"Pantelis","given":"Christos"},{"family":"Pato","given":"Carlos N."},{"family":"Pato","given":"Michele T."},{"family":"Patrinos","given":"George P."},{"family":"Pawlak","given":"Joanna M."},{"family":"Ramos-Quiroga","given":"Josep Antoni"},{"family":"Reif","given":"Andreas"},{"family":"Reininghaus","given":"Eva Z."},{"family":"Ribasés","given":"Marta"},{"family":"Rietschel","given":"Marcella"},{"family":"Ripke","given":"Stephan"},{"family":"Rouleau","given":"Guy A."},{"family":"Roussos","given":"Panos"},{"family":"Saito","given":"Takeo"},{"family":"Schall","given":"Ulrich"},{"family":"Schalling","given":"Martin"},{"family":"Schofield","given":"Peter R."},{"family":"Schulze","given":"Thomas G."},{"family":"Scott","given":"Laura J."},{"family":"Scott","given":"Rodney J."},{"family":"Serretti","given":"Alessandro"},{"family":"Smoller","given":"Jordan W."},{"family":"Squassina","given":"Alessio"},{"family":"Stahl","given":"Eli A."},{"family":"Stefansson","given":"Hreinn"},{"family":"Stefansson","given":"Kari"},{"family":"Stordal","given":"Eystein"},{"family":"Streit","given":"Fabian"},{"family":"Sullivan","given":"Patrick F."},{"family":"Turecki","given":"Gustavo"},{"family":"Vaaler","given":"Arne E."},{"family":"Vieta","given":"Eduard"},{"family":"Vincent","given":"John B."},{"family":"Waldman","given":"Irwin D."},{"family":"Weickert","given":"Cynthia S."},{"family":"Weickert","given":"Thomas W."},{"family":"Werge","given":"Thomas"},{"family":"Whiteman","given":"David C."},{"family":"Zwart","given":"John-Anker"},{"family":"Edenberg","given":"Howard J."},{"family":"McQuillin","given":"Andrew"},{"family":"Forstner","given":"Andreas J."},{"family":"Mullins","given":"Niamh"},{"family":"Di Florio","given":"Arianna"},{"family":"Ophoff","given":"Roel A."},{"family":"Andreassen","given":"Ole A."}],"issued":{"date-parts":[["2025",3]]}}}],"schema":"https://github.com/citation-style-language/schema/raw/master/csl-citation.json"} </w:instrText>
      </w:r>
      <w:r w:rsidR="0080099D">
        <w:rPr>
          <w:rFonts w:ascii="Calibri" w:eastAsia="Calibri" w:hAnsi="Calibri" w:cs="Calibri"/>
          <w:lang w:val="en-US"/>
        </w:rPr>
        <w:fldChar w:fldCharType="separate"/>
      </w:r>
      <w:r w:rsidR="0080099D">
        <w:rPr>
          <w:rFonts w:ascii="Calibri" w:eastAsia="Calibri" w:hAnsi="Calibri" w:cs="Calibri"/>
          <w:noProof/>
          <w:lang w:val="en-US"/>
        </w:rPr>
        <w:t>(4)</w:t>
      </w:r>
      <w:r w:rsidR="0080099D">
        <w:rPr>
          <w:rFonts w:ascii="Calibri" w:eastAsia="Calibri" w:hAnsi="Calibri" w:cs="Calibri"/>
          <w:lang w:val="en-US"/>
        </w:rPr>
        <w:fldChar w:fldCharType="end"/>
      </w:r>
      <w:r>
        <w:rPr>
          <w:rFonts w:ascii="Calibri" w:eastAsia="Calibri" w:hAnsi="Calibri" w:cs="Calibri"/>
        </w:rPr>
        <w:t xml:space="preserve">), and major depressive disorder (MDD; </w:t>
      </w:r>
      <w:r w:rsidR="0080099D">
        <w:rPr>
          <w:rFonts w:ascii="Calibri" w:eastAsia="Calibri" w:hAnsi="Calibri" w:cs="Calibri"/>
        </w:rPr>
        <w:fldChar w:fldCharType="begin"/>
      </w:r>
      <w:r w:rsidR="0080099D">
        <w:rPr>
          <w:rFonts w:ascii="Calibri" w:eastAsia="Calibri" w:hAnsi="Calibri" w:cs="Calibri"/>
        </w:rPr>
        <w:instrText xml:space="preserve"> ADDIN ZOTERO_ITEM CSL_CITATION {"citationID":"EiE8VJtQ","properties":{"formattedCitation":"(5)","plainCitation":"(5)","noteIndex":0},"citationItems":[{"id":2768,"uris":["http://zotero.org/users/15000375/items/ZB62R6TV"],"itemData":{"id":2768,"type":"article-journal","citation-key":"Adams2025","container-title":"Cell","DOI":"10.1016/j.cell.2024.12.002","ISSN":"0092-8674, 1097-4172","issue":"3","journalAbbreviation":"Cell","language":"English","page":"640-652.e9","PMID":"39814019","publisher":"Elsevier","source":"www.cell.com","title":"Trans-ancestry genome-wide study of depression identifies 697 associations implicating cell types and pharmacotherapies","volume":"188","author":[{"family":"Adams","given":"Mark J."},{"family":"Streit","given":"Fabian"},{"family":"Meng","given":"Xiangrui"},{"family":"Awasthi","given":"Swapnil"},{"family":"Adey","given":"Brett N."},{"family":"Choi","given":"Karmel W."},{"family":"Chundru","given":"V. Kartik"},{"family":"Coleman","given":"Jonathan R. I."},{"family":"Ferwerda","given":"Bart"},{"family":"Foo","given":"Jerome C."},{"family":"Gerring","given":"Zachary F."},{"family":"Giannakopoulou","given":"Olga"},{"family":"Gupta","given":"Priya"},{"family":"Hall","given":"Alisha S. M."},{"family":"Harder","given":"Arvid"},{"family":"Howard","given":"David M."},{"family":"Hübel","given":"Christopher"},{"family":"Kwong","given":"Alex S. F."},{"family":"Levey","given":"Daniel F."},{"family":"Mitchell","given":"Brittany L."},{"family":"Ni","given":"Guiyan"},{"family":"Ota","given":"Vanessa K."},{"family":"Pain","given":"Oliver"},{"family":"Pathak","given":"Gita A."},{"family":"Schulte","given":"Eva C."},{"family":"Shen","given":"Xueyi"},{"family":"Thorp","given":"Jackson G."},{"family":"Walker","given":"Alicia"},{"family":"Yao","given":"Shuyang"},{"family":"Zeng","given":"Jian"},{"family":"Zvrskovec","given":"Johan"},{"family":"Aarsland","given":"Dag"},{"family":"Actkins","given":"Ky'Era V."},{"family":"Adli","given":"Mazda"},{"family":"Agerbo","given":"Esben"},{"family":"Aichholzer","given":"Mareike"},{"family":"Aiello","given":"Allison"},{"family":"Air","given":"Tracy M."},{"family":"Als","given":"Thomas D."},{"family":"Andersson","given":"Evelyn"},{"family":"Andlauer","given":"Till F. M."},{"family":"Arolt","given":"Volker"},{"family":"Ask","given":"Helga"},{"family":"Bäckman","given":"Julia"},{"family":"Badola","given":"Sunita"},{"family":"Ballard","given":"Clive"},{"family":"Banasik","given":"Karina"},{"family":"Bass","given":"Nicholas J."},{"family":"Beekman","given":"Aartjan T. F."},{"family":"Belangero","given":"Sintia"},{"family":"Bigdeli","given":"Tim B."},{"family":"Binder","given":"Elisabeth B."},{"family":"Bjerkeset","given":"Ottar"},{"family":"Bjornsdottir","given":"Gyda"},{"family":"Børte","given":"Sigrid"},{"family":"Bränn","given":"Emma"},{"family":"Braun","given":"Alice"},{"family":"Brodersen","given":"Thorsten"},{"family":"Brückl","given":"Tanja M."},{"family":"Brunak","given":"Søren"},{"family":"Bruun","given":"Mie T."},{"family":"Burmeister","given":"Margit"},{"family":"Buspavanich","given":"Pichit"},{"family":"Bybjerg-Grauholm","given":"Jonas"},{"family":"Byrne","given":"Enda M."},{"family":"Cai","given":"Jianwen"},{"family":"Campbell","given":"Archie"},{"family":"Campbell","given":"Megan L."},{"family":"Campos","given":"Adrian I."},{"family":"Castelao","given":"Enrique"},{"family":"Cervilla","given":"Jorge"},{"family":"Chaumette","given":"Boris"},{"family":"Chen","given":"Chia-Yen"},{"family":"Chen","given":"Hsi-Chung"},{"family":"Chen","given":"Zhengming"},{"family":"Cichon","given":"Sven"},{"family":"Colodro-Conde","given":"Lucía"},{"family":"Corbett","given":"Anne"},{"family":"Corfield","given":"Elizabeth C."},{"family":"Couvy-Duchesne","given":"Baptiste"},{"family":"Craddock","given":"Nick"},{"family":"Dannlowski","given":"Udo"},{"family":"Davies","given":"Gail"},{"family":"Geus","given":"E. J. C.","dropping-particle":"de"},{"family":"Deary","given":"Ian J."},{"family":"Degenhardt","given":"Franziska"},{"family":"Dehghan","given":"Abbas"},{"family":"DePaulo","given":"J. Raymond"},{"family":"Deuschle","given":"Michael"},{"family":"Didriksen","given":"Maria"},{"family":"Dinh","given":"Khoa Manh"},{"family":"Direk","given":"Nese"},{"family":"Djurovic","given":"Srdjan"},{"family":"Docherty","given":"Anna R."},{"family":"Domschke","given":"Katharina"},{"family":"Dowsett","given":"Joseph"},{"family":"Drange","given":"Ole Kristian"},{"family":"Dunn","given":"Erin C."},{"family":"Eaton","given":"William"},{"family":"Einarsson","given":"Gudmundur"},{"family":"Eley","given":"Thalia C."},{"family":"Elsheikh","given":"Samar S. M."},{"family":"Engelmann","given":"Jan"},{"family":"Benros","given":"Michael E."},{"family":"Erikstrup","given":"Christian"},{"family":"Escott-Price","given":"Valentina"},{"family":"Fabbri","given":"Chiara"},{"family":"Fang","given":"Yu"},{"family":"Finer","given":"Sarah"},{"family":"Frank","given":"Josef"},{"family":"Free","given":"Robert C."},{"family":"Gallo","given":"Linda"},{"family":"Gao","given":"He"},{"family":"Gill","given":"Michael"},{"family":"Gilles","given":"Maria"},{"family":"Goes","given":"Fernando S."},{"family":"Gordon","given":"Scott Douglas"},{"family":"Grove","given":"Jakob"},{"family":"Gudbjartsson","given":"Daniel F."},{"family":"Gutierrez","given":"Blanca"},{"family":"Hahn","given":"Tim"},{"family":"Hall","given":"Lynsey S."},{"family":"Hansen","given":"Thomas F."},{"family":"Haraldsson","given":"Magnus"},{"family":"Hartman","given":"Catharina A."},{"family":"Havdahl","given":"Alexandra"},{"family":"Hayward","given":"Caroline"},{"family":"Heilmann-Heimbach","given":"Stefanie"},{"family":"Herms","given":"Stefan"},{"family":"Hickie","given":"Ian B."},{"family":"Hjalgrim","given":"Henrik"},{"family":"Hjerling-Leffler","given":"Jens"},{"family":"Hoffmann","given":"Per"},{"family":"Homuth","given":"Georg"},{"family":"Horn","given":"Carsten"},{"family":"Hottenga","given":"Jouke-Jan"},{"family":"Hougaard","given":"David M."},{"family":"Hovatta","given":"Iiris"},{"family":"Huang","given":"Qin Qin"},{"family":"Hucks","given":"Donald"},{"family":"Huider","given":"Floris"},{"family":"Hunt","given":"Karen A."},{"family":"Ialongo","given":"Nicholas S."},{"family":"Ising","given":"Marcus"},{"family":"Isometsä","given":"Erkki"},{"family":"Jansen","given":"Rick"},{"family":"Jiang","given":"Yunxuan"},{"family":"Jones","given":"Ian"},{"family":"Jones","given":"Lisa A."},{"family":"Jonsson","given":"Lina"},{"family":"Kanai","given":"Masahiro"},{"family":"Karlsson","given":"Robert"},{"family":"Kasper","given":"Siegfried"},{"family":"Kendler","given":"Kenneth S."},{"family":"Kessler","given":"Ronald C."},{"family":"Kloiber","given":"Stefan"},{"family":"Knowles","given":"James A."},{"family":"Koen","given":"Nastassja"},{"family":"Kraft","given":"Julia"},{"family":"Kranzler","given":"Henry R."},{"family":"Krebs","given":"Kristi"},{"family":"Kallak","given":"Theodora Kunovac"},{"family":"Kutalik","given":"Zoltán"},{"family":"Lahtela","given":"Elisa"},{"family":"Lake","given":"Marilyn"},{"family":"Larsen","given":"Margit Hørup"},{"family":"Lenze","given":"Eric J."},{"family":"Lewins","given":"Melissa"},{"family":"Lewis","given":"Glyn"},{"family":"Li","given":"Liming"},{"family":"Lin","given":"Bochao Danae"},{"family":"Lin","given":"Kuang"},{"family":"Lind","given":"Penelope A."},{"family":"Liu","given":"Yu-Li"},{"family":"MacIntyre","given":"Donald J."},{"family":"MacKinnon","given":"Dean F."},{"family":"Maher","given":"Brion S."},{"family":"Maier","given":"Wolfgang"},{"family":"Marshe","given":"Victoria S."},{"family":"Martinez-Levy","given":"Gabriela A."},{"family":"Matsuda","given":"Koichi"},{"family":"Mbarek","given":"Hamdi"},{"family":"McGuffin","given":"Peter"},{"family":"Medland","given":"Sarah E."},{"family":"Meinert","given":"Susanne"},{"family":"Mikkelsen","given":"Christina"},{"family":"Mikkelsen","given":"Susan"},{"family":"Milaneschi","given":"Yuri"},{"family":"Millwood","given":"Iona Y."},{"family":"Molina","given":"Esther"},{"family":"Mondimore","given":"Francis M."},{"family":"Mortensen","given":"Preben Bo"},{"family":"Mulsant","given":"Benoit H."},{"family":"Naamanka","given":"Joonas"},{"family":"Najman","given":"Jake M."},{"family":"Nauck","given":"Matthias"},{"family":"Nenadić","given":"Igor"},{"family":"Nielsen","given":"Kasper R."},{"family":"Nolt","given":"Ilja M."},{"family":"Nordentoft","given":"Merete"},{"family":"Nöthen","given":"Markus M."},{"family":"Nyegaard","given":"Mette"},{"family":"O'Donovan","given":"Michael C."},{"family":"Oddsson","given":"Asmundur"},{"family":"Oliveira","given":"Adrielle M."},{"family":"Olsen","given":"Catherine M."},{"family":"Oskarsson","given":"Hogni"},{"family":"Ostrowski","given":"Sisse Rye"},{"family":"Owen","given":"Michael J."},{"family":"Packer","given":"Richard"},{"family":"Palviainen","given":"Teemu"},{"family":"Pan","given":"Pedro M."},{"family":"Pato","given":"Carlos N."},{"family":"Pato","given":"Michele T."},{"family":"Pedersen","given":"Nancy L."},{"family":"Pedersen","given":"Ole Birger"},{"family":"Peyrot","given":"Wouter J."},{"family":"Potash","given":"James B."},{"family":"Preisig","given":"Martin"},{"family":"Preuss","given":"Michael H."},{"family":"Quiroz","given":"Jorge A."},{"family":"Renteria","given":"Miguel E."},{"family":"Iii","given":"Charles F. Reynolds"},{"family":"Rice","given":"John P."},{"family":"Sakaue","given":"Saori"},{"family":"Santoro","given":"Marcos L."},{"family":"Schoevers","given":"Robert A."},{"family":"Schork","given":"Andrew"},{"family":"Schulze","given":"Thomas G."},{"family":"Send","given":"Tabea S."},{"family":"Shi","given":"Jianxin"},{"family":"Sigurdsson","given":"Engilbert"},{"family":"Singh","given":"Kritika"},{"family":"Sinnamon","given":"Grant C. B."},{"family":"Sirignano","given":"Lea"},{"family":"Smeland","given":"Olav B."},{"family":"Smith","given":"Daniel J."},{"family":"Sofer","given":"Tamar"},{"family":"Sørensen","given":"Erik"},{"family":"Srinivasan","given":"Sundararajan"},{"family":"Stefansson","given":"Hreinn"},{"family":"Stefansson","given":"Kari"},{"family":"Straub","given":"Peter"},{"family":"Su","given":"Mei-Hsin"},{"family":"Tadic","given":"André"},{"family":"Teismann","given":"Henning"},{"family":"Teumer","given":"Alexander"},{"family":"Thapar","given":"Anita"},{"family":"Thomson","given":"Pippa A."},{"family":"Thørner","given":"Lise Wegner"},{"family":"Topaloudi","given":"Apostolia"},{"family":"Tsai","given":"Shih-Jen"},{"family":"Tzoulaki","given":"Ioanna"},{"family":"Uhl","given":"George"},{"family":"Uitterlinden","given":"André G."},{"family":"Ullum","given":"Henrik"},{"family":"Umbricht","given":"Daniel"},{"family":"Ursano","given":"Robert J."},{"family":"Auwera","given":"Sandra Van","dropping-particle":"der"},{"family":"Hemert","given":"Albert M.","dropping-particle":"van"},{"family":"Veluchamy","given":"Abirami"},{"family":"Viktorin","given":"Alexander"},{"family":"Völzke","given":"Henry"},{"family":"Walters","given":"G. Bragi"},{"family":"Wang","given":"Xiaotong"},{"family":"Wani","given":"Agaz"},{"family":"Weissman","given":"Myrna M."},{"family":"Wellmann","given":"Jürgen"},{"family":"Whiteman","given":"David C."},{"family":"Wildman","given":"Derek"},{"family":"Willemsen","given":"Gonneke"},{"family":"Williams","given":"Alexander T."},{"family":"Winsvold","given":"Bendik S."},{"family":"Witt","given":"Stephanie H."},{"family":"Xiong","given":"Ying"},{"family":"Zillich","given":"Lea"},{"family":"Zwart","given":"John-Anker"},{"family":"Team","given":"Twenty-Three and Me Research"},{"family":"Group","given":"China Kadoorie Biobank Collaborative"},{"family":"Team","given":"Estonian Biobank Research"},{"family":"Team","given":"Genes &amp; Health Research"},{"family":"Psychiatry","given":"HUNT All-In"},{"family":"Project","given":"The BioBank Japan"},{"family":"Program","given":"VA Million Veteran"},{"family":"Andreassen","given":"Ole A."},{"family":"Baune","given":"Bernhard T."},{"family":"Berger","given":"Klaus"},{"family":"Boomsma","given":"Dorret I."},{"family":"Børglum","given":"Anders D."},{"family":"Breen","given":"Gerome"},{"family":"Cai","given":"Na"},{"family":"Coon","given":"Hilary"},{"family":"Copeland","given":"William E."},{"family":"Creese","given":"Byron"},{"family":"Cruz-Fuentes","given":"Carlos S."},{"family":"Czamara","given":"Darina"},{"family":"Davis","given":"Lea K."},{"family":"Derks","given":"Eske M."},{"family":"Domenici","given":"Enrico"},{"family":"Elliott","given":"Paul"},{"family":"Forstner","given":"Andreas J."},{"family":"Gawlik","given":"Micha"},{"family":"Gelernter","given":"Joel"},{"family":"Grabe","given":"Hans J."},{"family":"Hamilton","given":"Steven P."},{"family":"Hveem","given":"Kristian"},{"family":"John","given":"Catherine"},{"family":"Kaprio","given":"Jaakko"},{"family":"Kircher","given":"Tilo"},{"family":"Krebs","given":"Marie-Odile"},{"family":"Kuo","given":"Po-Hsiu"},{"family":"Landén","given":"Mikael"},{"family":"Lehto","given":"Kelli"},{"family":"Levinson","given":"Douglas F."},{"family":"Li","given":"Qingqin S."},{"family":"Lieb","given":"Klaus"},{"family":"Loos","given":"Ruth J. F."},{"family":"Lu","given":"Yi"},{"family":"Lucae","given":"Susanne"},{"family":"Luykx","given":"Jurjen J."},{"family":"Maes","given":"Hermine H. M."},{"family":"Magnusson","given":"Patrik K."},{"family":"Martin","given":"Hilary C."},{"family":"Martin","given":"Nicholas G."},{"family":"McQuillin","given":"Andrew"},{"family":"Middeldorp","given":"Christel M."},{"family":"Milani","given":"Lili"},{"family":"Mors","given":"Ole"},{"family":"Müller","given":"Daniel J."},{"family":"Müller-Myhsok","given":"Bertram"},{"family":"Okada","given":"Yukinori"},{"family":"Oldehinkel","given":"Albertine J."},{"family":"Paciga","given":"Sara A."},{"family":"Palmer","given":"Colin N. A."},{"family":"Paschou","given":"Peristera"},{"family":"Penninx","given":"Brenda W. J. H."},{"family":"Perlis","given":"Roy H."},{"family":"Peterson","given":"Roseann E."},{"family":"Pistis","given":"Giorgio"},{"family":"Polimanti","given":"Renato"},{"family":"Porteous","given":"David J."},{"family":"Posthuma","given":"Danielle"},{"family":"Rabinowitz","given":"Jill A."},{"family":"Reichborn-Kjennerud","given":"Ted"},{"family":"Reif","given":"Andreas"},{"family":"Rice","given":"Frances"},{"family":"Ricken","given":"Roland"},{"family":"Rietschel","given":"Marcella"},{"family":"Rivera","given":"Margarita"},{"family":"Rück","given":"Christian"},{"family":"Salum","given":"Giovanni A."},{"family":"Schaefer","given":"Catherine"},{"family":"Sen","given":"Srijan"},{"family":"Serretti","given":"Alessandro"},{"family":"Skalkidou","given":"Alkistis"},{"family":"Smoller","given":"Jordan W."},{"family":"Stein","given":"Dan J."},{"family":"Stein","given":"Frederike"},{"family":"Stein","given":"Murray B."},{"family":"Sullivan","given":"Patrick F."},{"family":"Tesli","given":"Martin"},{"family":"Thorgeirsson","given":"Thorgeir E."},{"family":"Tiemeier","given":"Henning"},{"family":"Timpson","given":"Nicholas J."},{"family":"Uddin","given":"Monica"},{"family":"Uher","given":"Rudolf"},{"family":"Heel","given":"David A.","dropping-particle":"van"},{"family":"Verweij","given":"Karin J. H."},{"family":"Walters","given":"Robin G."},{"family":"Wassertheil-Smoller","given":"Sylvia"},{"family":"Wendland","given":"Jens R."},{"family":"Werge","given":"Thomas"},{"family":"Zwinderman","given":"Aeilko H."},{"family":"Kuchenbaecker","given":"Karoline"},{"family":"Wray","given":"Naomi R."},{"family":"Ripke","given":"Stephan"},{"family":"Lewis","given":"Cathryn M."},{"family":"McIntosh","given":"Andrew M."}],"issued":{"date-parts":[["2025",2,6]]}}}],"schema":"https://github.com/citation-style-language/schema/raw/master/csl-citation.json"} </w:instrText>
      </w:r>
      <w:r w:rsidR="0080099D">
        <w:rPr>
          <w:rFonts w:ascii="Calibri" w:eastAsia="Calibri" w:hAnsi="Calibri" w:cs="Calibri"/>
        </w:rPr>
        <w:fldChar w:fldCharType="separate"/>
      </w:r>
      <w:r w:rsidR="0080099D">
        <w:rPr>
          <w:rFonts w:ascii="Calibri" w:eastAsia="Calibri" w:hAnsi="Calibri" w:cs="Calibri"/>
          <w:noProof/>
        </w:rPr>
        <w:t>(5)</w:t>
      </w:r>
      <w:r w:rsidR="0080099D">
        <w:rPr>
          <w:rFonts w:ascii="Calibri" w:eastAsia="Calibri" w:hAnsi="Calibri" w:cs="Calibri"/>
        </w:rPr>
        <w:fldChar w:fldCharType="end"/>
      </w:r>
      <w:r>
        <w:rPr>
          <w:rFonts w:ascii="Calibri" w:eastAsia="Calibri" w:hAnsi="Calibri" w:cs="Calibri"/>
        </w:rPr>
        <w:t>); cognitive phenotypes — Alzheimer’s disease (AD;</w:t>
      </w:r>
      <w:r w:rsidR="0080099D" w:rsidRPr="0080099D">
        <w:rPr>
          <w:rFonts w:ascii="Calibri" w:eastAsia="Calibri" w:hAnsi="Calibri" w:cs="Calibri"/>
          <w:lang w:val="en-US"/>
        </w:rPr>
        <w:t xml:space="preserve"> </w:t>
      </w:r>
      <w:r w:rsidR="0080099D">
        <w:rPr>
          <w:rFonts w:ascii="Calibri" w:eastAsia="Calibri" w:hAnsi="Calibri" w:cs="Calibri"/>
          <w:lang w:val="en-US"/>
        </w:rPr>
        <w:fldChar w:fldCharType="begin"/>
      </w:r>
      <w:r w:rsidR="0080099D">
        <w:rPr>
          <w:rFonts w:ascii="Calibri" w:eastAsia="Calibri" w:hAnsi="Calibri" w:cs="Calibri"/>
          <w:lang w:val="en-US"/>
        </w:rPr>
        <w:instrText xml:space="preserve"> ADDIN ZOTERO_ITEM CSL_CITATION {"citationID":"WPZr8Txt","properties":{"formattedCitation":"(6)","plainCitation":"(6)","noteIndex":0},"citationItems":[{"id":4897,"uris":["http://zotero.org/users/15000375/items/42IRTASN"],"itemData":{"id":4897,"type":"article-journal","abstract":"Characterization of the genetic landscape of Alzheimer’s disease (AD) and related dementias (ADD) provides a unique opportunity for a better understanding of the associated pathophysiological processes. We performed a two-stage genome-wide association study totaling 111,326 clinically diagnosed/‘proxy’ AD cases and 677,663 controls. We found 75 risk loci, of which 42 were new at the time of analysis. Pathway enrichment analyses confirmed the involvement of amyloid/tau pathways and highlighted microglia implication. Gene prioritization in the new loci identified 31 genes that were suggestive of new genetically associated processes, including the tumor necrosis factor alpha pathway through the linear ubiquitin chain assembly complex. We also built a new genetic risk score associated with the risk of future AD/dementia or progression from mild cognitive impairment to AD/dementia. The improvement in prediction led to a 1.6- to 1.9-fold increase in AD risk from the lowest to the highest decile, in addition to effects of age and the APOE ε4 allele.","citation-key":"Bellenguez2022","container-title":"Nature Genetics","DOI":"10.1038/s41588-022-01024-z","ISSN":"1546-1718","issue":"4","journalAbbreviation":"Nat Genet","language":"en","license":"2022 The Author(s)","page":"412-436","publisher":"Nature Publishing Group","source":"www.nature.com","title":"New insights into the genetic etiology of Alzheimer’s disease and related dementias","volume":"54","author":[{"family":"Bellenguez","given":"Céline"},{"family":"Küçükali","given":"Fahri"},{"family":"Jansen","given":"Iris E."},{"family":"Kleineidam","given":"Luca"},{"family":"Moreno-Grau","given":"Sonia"},{"family":"Amin","given":"Najaf"},{"family":"Naj","given":"Adam C."},{"family":"Campos-Martin","given":"Rafael"},{"family":"Grenier-Boley","given":"Benjamin"},{"family":"Andrade","given":"Victor"},{"family":"Holmans","given":"Peter A."},{"family":"Boland","given":"Anne"},{"family":"Damotte","given":"Vincent"},{"family":"Lee","given":"Sven J.","non-dropping-particle":"van der"},{"family":"Costa","given":"Marcos R."},{"family":"Kuulasmaa","given":"Teemu"},{"family":"Yang","given":"Qiong"},{"family":"Rojas","given":"Itziar","non-dropping-particle":"de"},{"family":"Bis","given":"Joshua C."},{"family":"Yaqub","given":"Amber"},{"family":"Prokic","given":"Ivana"},{"family":"Chapuis","given":"Julien"},{"family":"Ahmad","given":"Shahzad"},{"family":"Giedraitis","given":"Vilmantas"},{"family":"Aarsland","given":"Dag"},{"family":"Garcia-Gonzalez","given":"Pablo"},{"family":"Abdelnour","given":"Carla"},{"family":"Alarcón-Martín","given":"Emilio"},{"family":"Alcolea","given":"Daniel"},{"family":"Alegret","given":"Montserrat"},{"family":"Alvarez","given":"Ignacio"},{"family":"Álvarez","given":"Victoria"},{"family":"Armstrong","given":"Nicola J."},{"family":"Tsolaki","given":"Anthoula"},{"family":"Antúnez","given":"Carmen"},{"family":"Appollonio","given":"Ildebrando"},{"family":"Arcaro","given":"Marina"},{"family":"Archetti","given":"Silvana"},{"family":"Pastor","given":"Alfonso Arias"},{"family":"Arosio","given":"Beatrice"},{"family":"Athanasiu","given":"Lavinia"},{"family":"Bailly","given":"Henri"},{"family":"Banaj","given":"Nerisa"},{"family":"Baquero","given":"Miquel"},{"family":"Barral","given":"Sandra"},{"family":"Beiser","given":"Alexa"},{"family":"Pastor","given":"Ana Belén"},{"family":"Below","given":"Jennifer E."},{"family":"Benchek","given":"Penelope"},{"family":"Benussi","given":"Luisa"},{"family":"Berr","given":"Claudine"},{"family":"Besse","given":"Céline"},{"family":"Bessi","given":"Valentina"},{"family":"Binetti","given":"Giuliano"},{"family":"Bizarro","given":"Alessandra"},{"family":"Blesa","given":"Rafael"},{"family":"Boada","given":"Mercè"},{"family":"Boerwinkle","given":"Eric"},{"family":"Borroni","given":"Barbara"},{"family":"Boschi","given":"Silvia"},{"family":"Bossù","given":"Paola"},{"family":"Bråthen","given":"Geir"},{"family":"Bressler","given":"Jan"},{"family":"Bresner","given":"Catherine"},{"family":"Brodaty","given":"Henry"},{"family":"Brookes","given":"Keeley J."},{"family":"Brusco","given":"Luis Ignacio"},{"family":"Buiza-Rueda","given":"Dolores"},{"family":"Bûrger","given":"Katharina"},{"family":"Burholt","given":"Vanessa"},{"family":"Bush","given":"William S."},{"family":"Calero","given":"Miguel"},{"family":"Cantwell","given":"Laura B."},{"family":"Chene","given":"Geneviève"},{"family":"Chung","given":"Jaeyoon"},{"family":"Cuccaro","given":"Michael L."},{"family":"Carracedo","given":"Ángel"},{"family":"Cecchetti","given":"Roberta"},{"family":"Cervera-Carles","given":"Laura"},{"family":"Charbonnier","given":"Camille"},{"family":"Chen","given":"Hung-Hsin"},{"family":"Chillotti","given":"Caterina"},{"family":"Ciccone","given":"Simona"},{"family":"Claassen","given":"Jurgen A. H. R."},{"family":"Clark","given":"Christopher"},{"family":"Conti","given":"Elisa"},{"family":"Corma-Gómez","given":"Anaïs"},{"family":"Costantini","given":"Emanuele"},{"family":"Custodero","given":"Carlo"},{"family":"Daian","given":"Delphine"},{"family":"Dalmasso","given":"Maria Carolina"},{"family":"Daniele","given":"Antonio"},{"family":"Dardiotis","given":"Efthimios"},{"family":"Dartigues","given":"Jean-François"},{"family":"Deyn","given":"Peter Paul","non-dropping-particle":"de"},{"family":"Paiva Lopes","given":"Katia","non-dropping-particle":"de"},{"family":"Witte","given":"Lot D.","non-dropping-particle":"de"},{"family":"Debette","given":"Stéphanie"},{"family":"Deckert","given":"Jürgen"},{"family":"Ser","given":"Teodoro","non-dropping-particle":"del"},{"family":"Denning","given":"Nicola"},{"family":"DeStefano","given":"Anita"},{"family":"Dichgans","given":"Martin"},{"family":"Diehl-Schmid","given":"Janine"},{"family":"Diez-Fairen","given":"Mónica"},{"family":"Rossi","given":"Paolo Dionigi"},{"family":"Djurovic","given":"Srdjan"},{"family":"Duron","given":"Emmanuelle"},{"family":"Düzel","given":"Emrah"},{"family":"Dufouil","given":"Carole"},{"family":"Eiriksdottir","given":"Gudny"},{"family":"Engelborghs","given":"Sebastiaan"},{"family":"Escott-Price","given":"Valentina"},{"family":"Espinosa","given":"Ana"},{"family":"Ewers","given":"Michael"},{"family":"Faber","given":"Kelley M."},{"family":"Fabrizio","given":"Tagliavini"},{"family":"Nielsen","given":"Sune Fallgaard"},{"family":"Fardo","given":"David W."},{"family":"Farotti","given":"Lucia"},{"family":"Fenoglio","given":"Chiara"},{"family":"Fernández-Fuertes","given":"Marta"},{"family":"Ferrari","given":"Raffaele"},{"family":"Ferreira","given":"Catarina B."},{"family":"Ferri","given":"Evelyn"},{"family":"Fin","given":"Bertrand"},{"family":"Fischer","given":"Peter"},{"family":"Fladby","given":"Tormod"},{"family":"Fließbach","given":"Klaus"},{"family":"Fongang","given":"Bernard"},{"family":"Fornage","given":"Myriam"},{"family":"Fortea","given":"Juan"},{"family":"Foroud","given":"Tatiana M."},{"family":"Fostinelli","given":"Silvia"},{"family":"Fox","given":"Nick C."},{"family":"Franco-Macías","given":"Emlio"},{"family":"Bullido","given":"María J."},{"family":"Frank-García","given":"Ana"},{"family":"Froelich","given":"Lutz"},{"family":"Fulton-Howard","given":"Brian"},{"family":"Galimberti","given":"Daniela"},{"family":"García-Alberca","given":"Jose Maria"},{"family":"García-González","given":"Pablo"},{"family":"Garcia-Madrona","given":"Sebastian"},{"family":"Garcia-Ribas","given":"Guillermo"},{"family":"Ghidoni","given":"Roberta"},{"family":"Giegling","given":"Ina"},{"family":"Giorgio","given":"Giaccone"},{"family":"Goate","given":"Alison M."},{"family":"Goldhardt","given":"Oliver"},{"family":"Gomez-Fonseca","given":"Duber"},{"family":"González-Pérez","given":"Antonio"},{"family":"Graff","given":"Caroline"},{"family":"Grande","given":"Giulia"},{"family":"Green","given":"Emma"},{"family":"Grimmer","given":"Timo"},{"family":"Grünblatt","given":"Edna"},{"family":"Grunin","given":"Michelle"},{"family":"Gudnason","given":"Vilmundur"},{"family":"Guetta-Baranes","given":"Tamar"},{"family":"Haapasalo","given":"Annakaisa"},{"family":"Hadjigeorgiou","given":"Georgios"},{"family":"Haines","given":"Jonathan L."},{"family":"Hamilton-Nelson","given":"Kara L."},{"family":"Hampel","given":"Harald"},{"family":"Hanon","given":"Olivier"},{"family":"Hardy","given":"John"},{"family":"Hartmann","given":"Annette M."},{"family":"Hausner","given":"Lucrezia"},{"family":"Harwood","given":"Janet"},{"family":"Heilmann-Heimbach","given":"Stefanie"},{"family":"Helisalmi","given":"Seppo"},{"family":"Heneka","given":"Michael T."},{"family":"Hernández","given":"Isabel"},{"family":"Herrmann","given":"Martin J."},{"family":"Hoffmann","given":"Per"},{"family":"Holmes","given":"Clive"},{"family":"Holstege","given":"Henne"},{"family":"Vilas","given":"Raquel Huerto"},{"family":"Hulsman","given":"Marc"},{"family":"Humphrey","given":"Jack"},{"family":"Biessels","given":"Geert Jan"},{"family":"Jian","given":"Xueqiu"},{"family":"Johansson","given":"Charlotte"},{"family":"Jun","given":"Gyungah R."},{"family":"Kastumata","given":"Yuriko"},{"family":"Kauwe","given":"John"},{"family":"Kehoe","given":"Patrick G."},{"family":"Kilander","given":"Lena"},{"family":"Ståhlbom","given":"Anne Kinhult"},{"family":"Kivipelto","given":"Miia"},{"family":"Koivisto","given":"Anne"},{"family":"Kornhuber","given":"Johannes"},{"family":"Kosmidis","given":"Mary H."},{"family":"Kukull","given":"Walter A."},{"family":"Kuksa","given":"Pavel P."},{"family":"Kunkle","given":"Brian W."},{"family":"Kuzma","given":"Amanda B."},{"family":"Lage","given":"Carmen"},{"family":"Laukka","given":"Erika J."},{"family":"Launer","given":"Lenore"},{"family":"Lauria","given":"Alessandra"},{"family":"Lee","given":"Chien-Yueh"},{"family":"Lehtisalo","given":"Jenni"},{"family":"Lerch","given":"Ondrej"},{"family":"Lleó","given":"Alberto"},{"family":"Longstreth","given":"William"},{"family":"Lopez","given":"Oscar"},{"family":"Munain","given":"Adolfo Lopez","non-dropping-particle":"de"},{"family":"Love","given":"Seth"},{"family":"Löwemark","given":"Malin"},{"family":"Luckcuck","given":"Lauren"},{"family":"Lunetta","given":"Kathryn L."},{"family":"Ma","given":"Yiyi"},{"family":"Macías","given":"Juan"},{"family":"MacLeod","given":"Catherine A."},{"family":"Maier","given":"Wolfgang"},{"family":"Mangialasche","given":"Francesca"},{"family":"Spallazzi","given":"Marco"},{"family":"Marquié","given":"Marta"},{"family":"Marshall","given":"Rachel"},{"family":"Martin","given":"Eden R."},{"family":"Montes","given":"Angel Martín"},{"family":"Rodríguez","given":"Carmen Martínez"},{"family":"Masullo","given":"Carlo"},{"family":"Mayeux","given":"Richard"},{"family":"Mead","given":"Simon"},{"family":"Mecocci","given":"Patrizia"},{"family":"Medina","given":"Miguel"},{"family":"Meggy","given":"Alun"},{"family":"Mehrabian","given":"Shima"},{"family":"Mendoza","given":"Silvia"},{"family":"Menéndez-González","given":"Manuel"},{"family":"Mir","given":"Pablo"},{"family":"Moebus","given":"Susanne"},{"family":"Mol","given":"Merel"},{"family":"Molina-Porcel","given":"Laura"},{"family":"Montrreal","given":"Laura"},{"family":"Morelli","given":"Laura"},{"family":"Moreno","given":"Fermin"},{"family":"Morgan","given":"Kevin"},{"family":"Mosley","given":"Thomas"},{"family":"Nöthen","given":"Markus M."},{"family":"Muchnik","given":"Carolina"},{"family":"Mukherjee","given":"Shubhabrata"},{"family":"Nacmias","given":"Benedetta"},{"family":"Ngandu","given":"Tiia"},{"family":"Nicolas","given":"Gael"},{"family":"Nordestgaard","given":"Børge G."},{"family":"Olaso","given":"Robert"},{"family":"Orellana","given":"Adelina"},{"family":"Orsini","given":"Michela"},{"family":"Ortega","given":"Gemma"},{"family":"Padovani","given":"Alessandro"},{"family":"Paolo","given":"Caffarra"},{"family":"Papenberg","given":"Goran"},{"family":"Parnetti","given":"Lucilla"},{"family":"Pasquier","given":"Florence"},{"family":"Pastor","given":"Pau"},{"family":"Peloso","given":"Gina"},{"family":"Pérez-Cordón","given":"Alba"},{"family":"Pérez-Tur","given":"Jordi"},{"family":"Pericard","given":"Pierre"},{"family":"Peters","given":"Oliver"},{"family":"Pijnenburg","given":"Yolande A. L."},{"family":"Pineda","given":"Juan A."},{"family":"Piñol-Ripoll","given":"Gerard"},{"family":"Pisanu","given":"Claudia"},{"family":"Polak","given":"Thomas"},{"family":"Popp","given":"Julius"},{"family":"Posthuma","given":"Danielle"},{"family":"Priller","given":"Josef"},{"family":"Puerta","given":"Raquel"},{"family":"Quenez","given":"Olivier"},{"family":"Quintela","given":"Inés"},{"family":"Thomassen","given":"Jesper Qvist"},{"family":"Rábano","given":"Alberto"},{"family":"Rainero","given":"Innocenzo"},{"family":"Rajabli","given":"Farid"},{"family":"Ramakers","given":"Inez"},{"family":"Real","given":"Luis M."},{"family":"Reinders","given":"Marcel J. T."},{"family":"Reitz","given":"Christiane"},{"family":"Reyes-Dumeyer","given":"Dolly"},{"family":"Ridge","given":"Perry"},{"family":"Riedel-Heller","given":"Steffi"},{"family":"Riederer","given":"Peter"},{"family":"Roberto","given":"Natalia"},{"family":"Rodriguez-Rodriguez","given":"Eloy"},{"family":"Rongve","given":"Arvid"},{"family":"Allende","given":"Irene Rosas"},{"family":"Rosende-Roca","given":"Maitée"},{"family":"Royo","given":"Jose Luis"},{"family":"Rubino","given":"Elisa"},{"family":"Rujescu","given":"Dan"},{"family":"Sáez","given":"María Eugenia"},{"family":"Sakka","given":"Paraskevi"},{"family":"Saltvedt","given":"Ingvild"},{"family":"Sanabria","given":"Ángela"},{"family":"Sánchez-Arjona","given":"María Bernal"},{"family":"Sanchez-Garcia","given":"Florentino"},{"family":"Juan","given":"Pascual Sánchez"},{"family":"Sánchez-Valle","given":"Raquel"},{"family":"Sando","given":"Sigrid B."},{"family":"Sarnowski","given":"Chloé"},{"family":"Satizabal","given":"Claudia L."},{"family":"Scamosci","given":"Michela"},{"family":"Scarmeas","given":"Nikolaos"},{"family":"Scarpini","given":"Elio"},{"family":"Scheltens","given":"Philip"},{"family":"Scherbaum","given":"Norbert"},{"family":"Scherer","given":"Martin"},{"family":"Schmid","given":"Matthias"},{"family":"Schneider","given":"Anja"},{"family":"Schott","given":"Jonathan M."},{"family":"Selbæk","given":"Geir"},{"family":"Seripa","given":"Davide"},{"family":"Serrano","given":"Manuel"},{"family":"Sha","given":"Jin"},{"family":"Shadrin","given":"Alexey A."},{"family":"Skrobot","given":"Olivia"},{"family":"Slifer","given":"Susan"},{"family":"Snijders","given":"Gijsje J. L."},{"family":"Soininen","given":"Hilkka"},{"family":"Solfrizzi","given":"Vincenzo"},{"family":"Solomon","given":"Alina"},{"family":"Song","given":"Yeunjoo"},{"family":"Sorbi","given":"Sandro"},{"family":"Sotolongo-Grau","given":"Oscar"},{"family":"Spalletta","given":"Gianfranco"},{"family":"Spottke","given":"Annika"},{"family":"Squassina","given":"Alessio"},{"family":"Stordal","given":"Eystein"},{"family":"Tartan","given":"Juan Pablo"},{"family":"Tárraga","given":"Lluís"},{"family":"Tesí","given":"Niccolo"},{"family":"Thalamuthu","given":"Anbupalam"},{"family":"Thomas","given":"Tegos"},{"family":"Tosto","given":"Giuseppe"},{"family":"Traykov","given":"Latchezar"},{"family":"Tremolizzo","given":"Lucio"},{"family":"Tybjærg-Hansen","given":"Anne"},{"family":"Uitterlinden","given":"Andre"},{"family":"Ullgren","given":"Abbe"},{"family":"Ulstein","given":"Ingun"},{"family":"Valero","given":"Sergi"},{"family":"Valladares","given":"Otto"},{"family":"Broeckhoven","given":"Christine Van"},{"family":"Vance","given":"Jeffery"},{"family":"Vardarajan","given":"Badri N."},{"family":"Lugt","given":"Aad","non-dropping-particle":"van der"},{"family":"Dongen","given":"Jasper Van"},{"family":"Rooij","given":"Jeroen","non-dropping-particle":"van"},{"family":"Swieten","given":"John","non-dropping-particle":"van"},{"family":"Vandenberghe","given":"Rik"},{"family":"Verhey","given":"Frans"},{"family":"Vidal","given":"Jean-Sébastien"},{"family":"Vogelgsang","given":"Jonathan"},{"family":"Vyhnalek","given":"Martin"},{"family":"Wagner","given":"Michael"},{"family":"Wallon","given":"David"},{"family":"Wang","given":"Li-San"},{"family":"Wang","given":"Ruiqi"},{"family":"Weinhold","given":"Leonie"},{"family":"Wiltfang","given":"Jens"},{"family":"Windle","given":"Gill"},{"family":"Woods","given":"Bob"},{"family":"Yannakoulia","given":"Mary"},{"family":"Zare","given":"Habil"},{"family":"Zhao","given":"Yi"},{"family":"Zhang","given":"Xiaoling"},{"family":"Zhu","given":"Congcong"},{"family":"Zulaica","given":"Miren"},{"family":"Farrer","given":"Lindsay A."},{"family":"Psaty","given":"Bruce M."},{"family":"Ghanbari","given":"Mohsen"},{"family":"Raj","given":"Towfique"},{"family":"Sachdev","given":"Perminder"},{"family":"Mather","given":"Karen"},{"family":"Jessen","given":"Frank"},{"family":"Ikram","given":"M. Arfan"},{"family":"Mendonça","given":"Alexandre","non-dropping-particle":"de"},{"family":"Hort","given":"Jakub"},{"family":"Tsolaki","given":"Magda"},{"family":"Pericak-Vance","given":"Margaret A."},{"family":"Amouyel","given":"Philippe"},{"family":"Williams","given":"Julie"},{"family":"Frikke-Schmidt","given":"Ruth"},{"family":"Clarimon","given":"Jordi"},{"family":"Deleuze","given":"Jean-François"},{"family":"Rossi","given":"Giacomina"},{"family":"Seshadri","given":"Sudha"},{"family":"Andreassen","given":"Ole A."},{"family":"Ingelsson","given":"Martin"},{"family":"Hiltunen","given":"Mikko"},{"family":"Sleegers","given":"Kristel"},{"family":"Schellenberg","given":"Gerard D."},{"family":"Duijn","given":"Cornelia M.","non-dropping-particle":"van"},{"family":"Sims","given":"Rebecca"},{"family":"Flier","given":"Wiesje M.","non-dropping-particle":"van der"},{"family":"Ruiz","given":"Agustín"},{"family":"Ramirez","given":"Alfredo"},{"family":"Lambert","given":"Jean-Charles"}],"issued":{"date-parts":[["2022",4]]}}}],"schema":"https://github.com/citation-style-language/schema/raw/master/csl-citation.json"} </w:instrText>
      </w:r>
      <w:r w:rsidR="0080099D">
        <w:rPr>
          <w:rFonts w:ascii="Calibri" w:eastAsia="Calibri" w:hAnsi="Calibri" w:cs="Calibri"/>
          <w:lang w:val="en-US"/>
        </w:rPr>
        <w:fldChar w:fldCharType="separate"/>
      </w:r>
      <w:r w:rsidR="0080099D">
        <w:rPr>
          <w:rFonts w:ascii="Calibri" w:eastAsia="Calibri" w:hAnsi="Calibri" w:cs="Calibri"/>
          <w:noProof/>
          <w:lang w:val="en-US"/>
        </w:rPr>
        <w:t>(6)</w:t>
      </w:r>
      <w:r w:rsidR="0080099D">
        <w:rPr>
          <w:rFonts w:ascii="Calibri" w:eastAsia="Calibri" w:hAnsi="Calibri" w:cs="Calibri"/>
          <w:lang w:val="en-US"/>
        </w:rPr>
        <w:fldChar w:fldCharType="end"/>
      </w:r>
      <w:r>
        <w:rPr>
          <w:rFonts w:ascii="Calibri" w:eastAsia="Calibri" w:hAnsi="Calibri" w:cs="Calibri"/>
        </w:rPr>
        <w:t xml:space="preserve">) and educational attainment (EA; </w:t>
      </w:r>
      <w:r w:rsidR="00294764">
        <w:rPr>
          <w:rFonts w:ascii="Calibri" w:eastAsia="Calibri" w:hAnsi="Calibri" w:cs="Calibri"/>
        </w:rPr>
        <w:fldChar w:fldCharType="begin"/>
      </w:r>
      <w:r w:rsidR="00294764">
        <w:rPr>
          <w:rFonts w:ascii="Calibri" w:eastAsia="Calibri" w:hAnsi="Calibri" w:cs="Calibri"/>
        </w:rPr>
        <w:instrText xml:space="preserve"> ADDIN ZOTERO_ITEM CSL_CITATION {"citationID":"4jSkOGlL","properties":{"formattedCitation":"(7)","plainCitation":"(7)","noteIndex":0},"citationItems":[{"id":2672,"uris":["http://zotero.org/users/15000375/items/GR52ZHY8"],"itemData":{"id":2672,"type":"article-journal","abstract":"We conduct a genome-wide association study (GWAS) of educational attainment (EA) in a sample of ~3 million individuals and identify 3,952 approximately uncorrelated genome-wide-significant single-nucleotide polymorphisms (SNPs). A genome-wide polygenic predictor, or polygenic index (PGI), explains 12–16% of EA variance and contributes to risk prediction for ten diseases. Direct effects (i.e., controlling for parental PGIs) explain roughly half the PGI’s magnitude of association with EA and other phenotypes. The correlation between mate-pair PGIs is far too large to be consistent with phenotypic assortment alone, implying additional assortment on PGI-associated factors. In an additional GWAS of dominance deviations from the additive model, we identify no genome-wide-significant SNPs, and a separate X-chromosome additive GWAS identifies 57.","citation-key":"Okbay2022","container-title":"Nature Genetics","DOI":"10.1038/s41588-022-01016-z","ISSN":"1546-1718","issue":"4","journalAbbreviation":"Nat Genet","language":"en","license":"2022 The Author(s)","page":"437-449","publisher":"Nature Publishing Group","source":"www.nature.com","title":"Polygenic prediction of educational attainment within and between families from genome-wide association analyses in 3 million individuals","volume":"54","author":[{"family":"Okbay","given":"Aysu"},{"family":"Wu","given":"Yeda"},{"family":"Wang","given":"Nancy"},{"family":"Jayashankar","given":"Hariharan"},{"family":"Bennett","given":"Michael"},{"family":"Nehzati","given":"Seyed Moeen"},{"family":"Sidorenko","given":"Julia"},{"family":"Kweon","given":"Hyeokmoon"},{"family":"Goldman","given":"Grant"},{"family":"Gjorgjieva","given":"Tamara"},{"family":"Jiang","given":"Yunxuan"},{"family":"Hicks","given":"Barry"},{"family":"Tian","given":"Chao"},{"family":"Hinds","given":"David A."},{"family":"Ahlskog","given":"Rafael"},{"family":"Magnusson","given":"Patrik K. E."},{"family":"Oskarsson","given":"Sven"},{"family":"Hayward","given":"Caroline"},{"family":"Campbell","given":"Archie"},{"family":"Porteous","given":"David J."},{"family":"Freese","given":"Jeremy"},{"family":"Herd","given":"Pamela"},{"family":"Watson","given":"Chelsea"},{"family":"Jala","given":"Jonathan"},{"family":"Conley","given":"Dalton"},{"family":"Koellinger","given":"Philipp D."},{"family":"Johannesson","given":"Magnus"},{"family":"Laibson","given":"David"},{"family":"Meyer","given":"Michelle N."},{"family":"Lee","given":"James J."},{"family":"Kong","given":"Augustine"},{"family":"Yengo","given":"Loic"},{"family":"Cesarini","given":"David"},{"family":"Turley","given":"Patrick"},{"family":"Visscher","given":"Peter M."},{"family":"Beauchamp","given":"Jonathan P."},{"family":"Benjamin","given":"Daniel J."},{"family":"Young","given":"Alexander I."}],"issued":{"date-parts":[["2022",4]]}}}],"schema":"https://github.com/citation-style-language/schema/raw/master/csl-citation.json"} </w:instrText>
      </w:r>
      <w:r w:rsidR="00294764">
        <w:rPr>
          <w:rFonts w:ascii="Calibri" w:eastAsia="Calibri" w:hAnsi="Calibri" w:cs="Calibri"/>
        </w:rPr>
        <w:fldChar w:fldCharType="separate"/>
      </w:r>
      <w:r w:rsidR="00294764">
        <w:rPr>
          <w:rFonts w:ascii="Calibri" w:eastAsia="Calibri" w:hAnsi="Calibri" w:cs="Calibri"/>
          <w:noProof/>
        </w:rPr>
        <w:t>(7)</w:t>
      </w:r>
      <w:r w:rsidR="00294764">
        <w:rPr>
          <w:rFonts w:ascii="Calibri" w:eastAsia="Calibri" w:hAnsi="Calibri" w:cs="Calibri"/>
        </w:rPr>
        <w:fldChar w:fldCharType="end"/>
      </w:r>
      <w:r>
        <w:rPr>
          <w:rFonts w:ascii="Calibri" w:eastAsia="Calibri" w:hAnsi="Calibri" w:cs="Calibri"/>
        </w:rPr>
        <w:t>); neurodevelopmental traits — autism spectrum disorder (</w:t>
      </w:r>
      <w:r w:rsidR="00294764">
        <w:rPr>
          <w:rFonts w:ascii="Calibri" w:eastAsia="Calibri" w:hAnsi="Calibri" w:cs="Calibri"/>
          <w:lang w:val="de-DE"/>
        </w:rPr>
        <w:t xml:space="preserve">ASD; </w:t>
      </w:r>
      <w:r w:rsidR="00294764">
        <w:rPr>
          <w:rFonts w:ascii="Calibri" w:eastAsia="Calibri" w:hAnsi="Calibri" w:cs="Calibri"/>
        </w:rPr>
        <w:fldChar w:fldCharType="begin"/>
      </w:r>
      <w:r w:rsidR="00294764">
        <w:rPr>
          <w:rFonts w:ascii="Calibri" w:eastAsia="Calibri" w:hAnsi="Calibri" w:cs="Calibri"/>
        </w:rPr>
        <w:instrText xml:space="preserve"> ADDIN ZOTERO_ITEM CSL_CITATION {"citationID":"x1Ab7NuS","properties":{"formattedCitation":"(8)","plainCitation":"(8)","noteIndex":0},"citationItems":[{"id":2670,"uris":["http://zotero.org/users/15000375/items/487E58RA"],"itemData":{"id":2670,"type":"article-journal","abstract":"Autism spectrum disorder (ASD) is a highly heritable and heterogeneous group of neurodevelopmental phenotypes diagnosed in more than 1% of children. Common genetic variants contribute substantially to ASD susceptibility, but to date no individual variants have been robustly associated with ASD. With a marked sample-size increase from a unique Danish population resource, we report a genome-wide association meta-analysis of 18,381 individuals with ASD and 27,969 controls that identified five genome-wide-significant loci. Leveraging GWAS results from three phenotypes with significantly overlapping genetic architectures (schizophrenia, major depression, and educational attainment), we identified seven additional loci shared with other traits at equally strict significance levels. Dissecting the polygenic architecture, we found both quantitative and qualitative polygenic heterogeneity across ASD subtypes. These results highlight biological insights, particularly relating to neuronal function and corticogenesis, and establish that GWAS performed at scale will be much more productive in the near term in ASD.","citation-key":"Grove2019","container-title":"Nature Genetics","DOI":"10.1038/s41588-019-0344-8","ISSN":"1546-1718","issue":"3","journalAbbreviation":"Nat Genet","language":"en","license":"2019 The Author(s), under exclusive licence to Springer Nature America, Inc.","page":"431-444","publisher":"Nature Publishing Group","source":"www.nature.com","title":"Identification of common genetic risk variants for autism spectrum disorder","volume":"51","author":[{"family":"Grove","given":"Jakob"},{"family":"Ripke","given":"Stephan"},{"family":"Als","given":"Thomas D."},{"family":"Mattheisen","given":"Manuel"},{"family":"Walters","given":"Raymond K."},{"family":"Won","given":"Hyejung"},{"family":"Pallesen","given":"Jonatan"},{"family":"Agerbo","given":"Esben"},{"family":"Andreassen","given":"Ole A."},{"family":"Anney","given":"Richard"},{"family":"Awashti","given":"Swapnil"},{"family":"Belliveau","given":"Rich"},{"family":"Bettella","given":"Francesco"},{"family":"Buxbaum","given":"Joseph D."},{"family":"Bybjerg-Grauholm","given":"Jonas"},{"family":"Bækvad-Hansen","given":"Marie"},{"family":"Cerrato","given":"Felecia"},{"family":"Chambert","given":"Kimberly"},{"family":"Christensen","given":"Jane H."},{"family":"Churchhouse","given":"Claire"},{"family":"Dellenvall","given":"Karin"},{"family":"Demontis","given":"Ditte"},{"family":"De Rubeis","given":"Silvia"},{"family":"Devlin","given":"Bernie"},{"family":"Djurovic","given":"Srdjan"},{"family":"Dumont","given":"Ashley L."},{"family":"Goldstein","given":"Jacqueline I."},{"family":"Hansen","given":"Christine S."},{"family":"Hauberg","given":"Mads Engel"},{"family":"Hollegaard","given":"Mads V."},{"family":"Hope","given":"Sigrun"},{"family":"Howrigan","given":"Daniel P."},{"family":"Huang","given":"Hailiang"},{"family":"Hultman","given":"Christina M."},{"family":"Klei","given":"Lambertus"},{"family":"Maller","given":"Julian"},{"family":"Martin","given":"Joanna"},{"family":"Martin","given":"Alicia R."},{"family":"Moran","given":"Jennifer L."},{"family":"Nyegaard","given":"Mette"},{"family":"Nærland","given":"Terje"},{"family":"Palmer","given":"Duncan S."},{"family":"Palotie","given":"Aarno"},{"family":"Pedersen","given":"Carsten Bøcker"},{"family":"Pedersen","given":"Marianne Giørtz"},{"family":"dPoterba","given":"Timothy"},{"family":"Poulsen","given":"Jesper Buchhave"},{"family":"Pourcain","given":"Beate St"},{"family":"Qvist","given":"Per"},{"family":"Rehnström","given":"Karola"},{"family":"Reichenberg","given":"Abraham"},{"family":"Reichert","given":"Jennifer"},{"family":"Robinson","given":"Elise B."},{"family":"Roeder","given":"Kathryn"},{"family":"Roussos","given":"Panos"},{"family":"Saemundsen","given":"Evald"},{"family":"Sandin","given":"Sven"},{"family":"Satterstrom","given":"F. Kyle"},{"family":"Davey Smith","given":"George"},{"family":"Stefansson","given":"Hreinn"},{"family":"Steinberg","given":"Stacy"},{"family":"Stevens","given":"Christine R."},{"family":"Sullivan","given":"Patrick F."},{"family":"Turley","given":"Patrick"},{"family":"Walters","given":"G. Bragi"},{"family":"Xu","given":"Xinyi"},{"family":"Stefansson","given":"Kari"},{"family":"Geschwind","given":"Daniel H."},{"family":"Nordentoft","given":"Merete"},{"family":"Hougaard","given":"David M."},{"family":"Werge","given":"Thomas"},{"family":"Mors","given":"Ole"},{"family":"Mortensen","given":"Preben Bo"},{"family":"Neale","given":"Benjamin M."},{"family":"Daly","given":"Mark J."},{"family":"Børglum","given":"Anders D."}],"issued":{"date-parts":[["2019",3]]}}}],"schema":"https://github.com/citation-style-language/schema/raw/master/csl-citation.json"} </w:instrText>
      </w:r>
      <w:r w:rsidR="00294764">
        <w:rPr>
          <w:rFonts w:ascii="Calibri" w:eastAsia="Calibri" w:hAnsi="Calibri" w:cs="Calibri"/>
        </w:rPr>
        <w:fldChar w:fldCharType="separate"/>
      </w:r>
      <w:r w:rsidR="00294764">
        <w:rPr>
          <w:rFonts w:ascii="Calibri" w:eastAsia="Calibri" w:hAnsi="Calibri" w:cs="Calibri"/>
          <w:noProof/>
        </w:rPr>
        <w:t>(8)</w:t>
      </w:r>
      <w:r w:rsidR="00294764">
        <w:rPr>
          <w:rFonts w:ascii="Calibri" w:eastAsia="Calibri" w:hAnsi="Calibri" w:cs="Calibri"/>
        </w:rPr>
        <w:fldChar w:fldCharType="end"/>
      </w:r>
      <w:r>
        <w:rPr>
          <w:rFonts w:ascii="Calibri" w:eastAsia="Calibri" w:hAnsi="Calibri" w:cs="Calibri"/>
        </w:rPr>
        <w:t>) and attention-deficit/hyperactivity disorder (</w:t>
      </w:r>
      <w:r w:rsidR="00294764" w:rsidRPr="00294764">
        <w:rPr>
          <w:rFonts w:ascii="Calibri" w:eastAsia="Calibri" w:hAnsi="Calibri" w:cs="Calibri"/>
          <w:lang w:val="en-US"/>
        </w:rPr>
        <w:t xml:space="preserve">ADHD; </w:t>
      </w:r>
      <w:r w:rsidR="00294764">
        <w:rPr>
          <w:rFonts w:ascii="Calibri" w:eastAsia="Calibri" w:hAnsi="Calibri" w:cs="Calibri"/>
          <w:lang w:val="en-US"/>
        </w:rPr>
        <w:fldChar w:fldCharType="begin"/>
      </w:r>
      <w:r w:rsidR="00294764">
        <w:rPr>
          <w:rFonts w:ascii="Calibri" w:eastAsia="Calibri" w:hAnsi="Calibri" w:cs="Calibri"/>
          <w:lang w:val="en-US"/>
        </w:rPr>
        <w:instrText xml:space="preserve"> ADDIN ZOTERO_ITEM CSL_CITATION {"citationID":"DtfPZcUU","properties":{"formattedCitation":"(9)","plainCitation":"(9)","noteIndex":0},"citationItems":[{"id":2668,"uris":["http://zotero.org/users/15000375/items/F773HSBY"],"itemData":{"id":2668,"type":"article-journal","abstract":"Attention-deficit hyperactivity disorder (ADHD) is a prevalent neurodevelopmental disorder with a major genetic component. Here, we present a genome-wide association study meta-analysis of ADHD comprising 38,691 individuals with ADHD and 186,843 controls. We identified 27 genome-wide significant loci, highlighting 76 potential risk genes enriched among genes expressed particularly in early brain development. Overall, ADHD genetic risk was associated with several brain-specific neuronal subtypes and midbrain dopaminergic neurons. In exome-sequencing data from 17,896 individuals, we identified an increased load of rare protein-truncating variants in ADHD for a set of risk genes enriched with probable causal common variants, potentially implicating SORCS3 in ADHD by both common and rare variants. Bivariate Gaussian mixture modeling estimated that 84–98% of ADHD-influencing variants are shared with other psychiatric disorders. In addition, common-variant ADHD risk was associated with impaired complex cognition such as verbal reasoning and a range of executive functions, including attention.","citation-key":"Demontis2023","container-title":"Nature Genetics","DOI":"10.1038/s41588-022-01285-8","ISSN":"1546-1718","issue":"2","journalAbbreviation":"Nat Genet","language":"en","license":"2023 The Author(s), under exclusive licence to Springer Nature America, Inc.","page":"198-208","publisher":"Nature Publishing Group","source":"www.nature.com","title":"Genome-wide analyses of ADHD identify 27 risk loci, refine the genetic architecture and implicate several cognitive domains","volume":"55","author":[{"family":"Demontis","given":"Ditte"},{"family":"Walters","given":"G. Bragi"},{"family":"Athanasiadis","given":"Georgios"},{"family":"Walters","given":"Raymond"},{"family":"Therrien","given":"Karen"},{"family":"Nielsen","given":"Trine Tollerup"},{"family":"Farajzadeh","given":"Leila"},{"family":"Voloudakis","given":"Georgios"},{"family":"Bendl","given":"Jaroslav"},{"family":"Zeng","given":"Biau"},{"family":"Zhang","given":"Wen"},{"family":"Grove","given":"Jakob"},{"family":"Als","given":"Thomas D."},{"family":"Duan","given":"Jinjie"},{"family":"Satterstrom","given":"F. Kyle"},{"family":"Bybjerg-Grauholm","given":"Jonas"},{"family":"Bækved-Hansen","given":"Marie"},{"family":"Gudmundsson","given":"Olafur O."},{"family":"Magnusson","given":"Sigurdur H."},{"family":"Baldursson","given":"Gisli"},{"family":"Davidsdottir","given":"Katrin"},{"family":"Haraldsdottir","given":"Gyda S."},{"family":"Agerbo","given":"Esben"},{"family":"Hoffman","given":"Gabriel E."},{"family":"Dalsgaard","given":"Søren"},{"family":"Martin","given":"Joanna"},{"family":"Ribasés","given":"Marta"},{"family":"Boomsma","given":"Dorret I."},{"family":"Soler Artigas","given":"Maria"},{"family":"Roth Mota","given":"Nina"},{"family":"Howrigan","given":"Daniel"},{"family":"Medland","given":"Sarah E."},{"family":"Zayats","given":"Tetyana"},{"family":"Rajagopal","given":"Veera M."},{"family":"Nordentoft","given":"Merete"},{"family":"Mors","given":"Ole"},{"family":"Hougaard","given":"David M."},{"family":"Mortensen","given":"Preben Bo"},{"family":"Daly","given":"Mark J."},{"family":"Faraone","given":"Stephen V."},{"family":"Stefansson","given":"Hreinn"},{"family":"Roussos","given":"Panos"},{"family":"Franke","given":"Barbara"},{"family":"Werge","given":"Thomas"},{"family":"Neale","given":"Benjamin M."},{"family":"Stefansson","given":"Kari"},{"family":"Børglum","given":"Anders D."}],"issued":{"date-parts":[["2023",2]]}}}],"schema":"https://github.com/citation-style-language/schema/raw/master/csl-citation.json"} </w:instrText>
      </w:r>
      <w:r w:rsidR="00294764">
        <w:rPr>
          <w:rFonts w:ascii="Calibri" w:eastAsia="Calibri" w:hAnsi="Calibri" w:cs="Calibri"/>
          <w:lang w:val="en-US"/>
        </w:rPr>
        <w:fldChar w:fldCharType="separate"/>
      </w:r>
      <w:r w:rsidR="00294764">
        <w:rPr>
          <w:rFonts w:ascii="Calibri" w:eastAsia="Calibri" w:hAnsi="Calibri" w:cs="Calibri"/>
          <w:noProof/>
          <w:lang w:val="en-US"/>
        </w:rPr>
        <w:t>(9)</w:t>
      </w:r>
      <w:r w:rsidR="00294764">
        <w:rPr>
          <w:rFonts w:ascii="Calibri" w:eastAsia="Calibri" w:hAnsi="Calibri" w:cs="Calibri"/>
          <w:lang w:val="en-US"/>
        </w:rPr>
        <w:fldChar w:fldCharType="end"/>
      </w:r>
      <w:r>
        <w:rPr>
          <w:rFonts w:ascii="Calibri" w:eastAsia="Calibri" w:hAnsi="Calibri" w:cs="Calibri"/>
        </w:rPr>
        <w:t>); and traits relevant to psychosis pathophysiology — Big Five personality traits</w:t>
      </w:r>
      <w:r w:rsidR="00294764" w:rsidRPr="00294764">
        <w:rPr>
          <w:rFonts w:ascii="Calibri" w:eastAsia="Calibri" w:hAnsi="Calibri" w:cs="Calibri"/>
          <w:lang w:val="en-US"/>
        </w:rPr>
        <w:t xml:space="preserve"> </w:t>
      </w:r>
      <w:r w:rsidR="00294764">
        <w:rPr>
          <w:rFonts w:ascii="Calibri" w:eastAsia="Calibri" w:hAnsi="Calibri" w:cs="Calibri"/>
          <w:lang w:val="de-DE"/>
        </w:rPr>
        <w:fldChar w:fldCharType="begin"/>
      </w:r>
      <w:r w:rsidR="00294764" w:rsidRPr="00294764">
        <w:rPr>
          <w:rFonts w:ascii="Calibri" w:eastAsia="Calibri" w:hAnsi="Calibri" w:cs="Calibri"/>
          <w:lang w:val="en-US"/>
        </w:rPr>
        <w:instrText xml:space="preserve"> ADDIN ZOTERO_ITEM CSL_CITATION {"citationID":"2322xX8G","properties":{"formattedCitation":"(10)","plainCitation":"(10)","noteIndex":0},"citationItems":[{"id":4899,"uris":["http://zotero.org/users/15000375/items/DXBPCYPF"],"itemData":{"id":4899,"type":"article-journal","abstract":"Personality is influenced by both genetic and environmental factors and is associated with other psychiatric traits such as anxiety and depression. The ‘big five’ personality traits, which include neuroticism, extraversion, agreeableness, conscientiousness and openness, are a widely accepted and influential framework for understanding and describing human personality. Of the big five personality traits, neuroticism has most often been the focus of genetic studies and is linked to various mental illnesses, including depression, anxiety and schizophrenia. Our knowledge of the genetic architecture of the other four personality traits is more limited. Here, utilizing the Million Veteran Program cohort, we conducted a genome-wide association study in individuals of European and African ancestry. Adding other published data, we performed genome-wide association study meta-analysis for each of the five personality traits with sample sizes ranging from 237,390 to 682,688. We identified 208, 14, 3, 2 and 7 independent genome-wide significant loci associated with neuroticism, extraversion, agreeableness, conscientiousness a</w:instrText>
      </w:r>
      <w:r w:rsidR="00294764">
        <w:rPr>
          <w:rFonts w:ascii="Calibri" w:eastAsia="Calibri" w:hAnsi="Calibri" w:cs="Calibri"/>
          <w:lang w:val="de-DE"/>
        </w:rPr>
        <w:instrText>nd openness, respectively. These findings represent 62 novel loci for neuroticism, as well as the first genome-wide significant loci discovered for agreeableness. Gene-based association testing revealed 254 genes showing significant association with at least one of the five personality traits. Transcriptome-wide and proteome-wide analysis identified altered expression of genes and proteins such as CRHR1, SLC12A5, MAPT and STX4. Pathway enrichment and drug perturbation analyses identified complex biology underlying human personality traits. We also studied the inter-relationship of personality traits with 1,437 other traits in a phenome-wide genetic correlation analysis, identifyi</w:instrText>
      </w:r>
      <w:r w:rsidR="00294764" w:rsidRPr="0010122A">
        <w:rPr>
          <w:rFonts w:ascii="Calibri" w:eastAsia="Calibri" w:hAnsi="Calibri" w:cs="Calibri"/>
          <w:lang w:val="en-US"/>
        </w:rPr>
        <w:instrText xml:space="preserve">ng new associations. Mendelian randomization showed positive bidirectional effects between neuroticism and depression and anxiety, while a negative bidirectional effect was observed for agreeableness and these psychiatric traits. This study improves our comprehensive understanding of the genetic architecture underlying personality traits and their relationship to other complex human traits.","citation-key":"Gupta2024","container-title":"Nature Human Behaviour","DOI":"10.1038/s41562-024-01951-3","ISSN":"2397-3374","issue":"11","journalAbbreviation":"Nat Hum Behav","language":"en","license":"2024 This is a U.S. Government work and not under copyright protection in the US; foreign copyright protection may apply","page":"2235-2249","publisher":"Nature Publishing Group","source":"www.nature.com","title":"A genome-wide investigation into the underlying genetic architecture of personality traits and overlap with psychopathology","volume":"8","author":[{"family":"Gupta","given":"Priya"},{"family":"Galimberti","given":"Marco"},{"family":"Liu","given":"Yue"},{"family":"Beck","given":"Sarah"},{"family":"Wingo","given":"Aliza"},{"family":"Wingo","given":"Thomas"},{"family":"Adhikari","given":"Keyrun"},{"family":"Kranzler","given":"Henry R."},{"family":"Stein","given":"Murray B."},{"family":"Gelernter","given":"Joel"},{"family":"Levey","given":"Daniel F."}],"issued":{"date-parts":[["2024",11]]}}}],"schema":"https://github.com/citation-style-language/schema/raw/master/csl-citation.json"} </w:instrText>
      </w:r>
      <w:r w:rsidR="00294764">
        <w:rPr>
          <w:rFonts w:ascii="Calibri" w:eastAsia="Calibri" w:hAnsi="Calibri" w:cs="Calibri"/>
          <w:lang w:val="de-DE"/>
        </w:rPr>
        <w:fldChar w:fldCharType="separate"/>
      </w:r>
      <w:r w:rsidR="00294764" w:rsidRPr="0010122A">
        <w:rPr>
          <w:rFonts w:ascii="Calibri" w:eastAsia="Calibri" w:hAnsi="Calibri" w:cs="Calibri"/>
          <w:noProof/>
          <w:lang w:val="en-US"/>
        </w:rPr>
        <w:t>(10)</w:t>
      </w:r>
      <w:r w:rsidR="00294764">
        <w:rPr>
          <w:rFonts w:ascii="Calibri" w:eastAsia="Calibri" w:hAnsi="Calibri" w:cs="Calibri"/>
          <w:lang w:val="de-DE"/>
        </w:rPr>
        <w:fldChar w:fldCharType="end"/>
      </w:r>
      <w:r>
        <w:rPr>
          <w:rFonts w:ascii="Calibri" w:eastAsia="Calibri" w:hAnsi="Calibri" w:cs="Calibri"/>
        </w:rPr>
        <w:t xml:space="preserve"> and sleep duration</w:t>
      </w:r>
      <w:r w:rsidR="00294764" w:rsidRPr="0010122A">
        <w:rPr>
          <w:rFonts w:ascii="Calibri" w:eastAsia="Calibri" w:hAnsi="Calibri" w:cs="Calibri"/>
          <w:lang w:val="en-US"/>
        </w:rPr>
        <w:t xml:space="preserve"> </w:t>
      </w:r>
      <w:r w:rsidR="00294764">
        <w:rPr>
          <w:rFonts w:ascii="Calibri" w:eastAsia="Calibri" w:hAnsi="Calibri" w:cs="Calibri"/>
          <w:lang w:val="de-DE"/>
        </w:rPr>
        <w:fldChar w:fldCharType="begin"/>
      </w:r>
      <w:r w:rsidR="00294764" w:rsidRPr="0010122A">
        <w:rPr>
          <w:rFonts w:ascii="Calibri" w:eastAsia="Calibri" w:hAnsi="Calibri" w:cs="Calibri"/>
          <w:lang w:val="en-US"/>
        </w:rPr>
        <w:instrText xml:space="preserve"> ADDIN ZOTERO_ITEM CSL_CITATION {"citationID":"9FXfMPPv","properties":{"formattedCitation":"(11)","plainCitation":"(11)","noteIndex":0},"citationItems":[{"id":4901,"uris":["http://zotero.org/users/15000375/items/758URG93"],"itemData":{"id":4901,"type":"article-journal","abstract":"Sleep duration has been linked to a wide range of negative health outcomes and to reduced life expectancy. We present genome-wide association studies of short ( ≤ 5 h) and long ( ≥ 10 h) sleep duration in adults of European (N = 445,966), African (N = 27,785), East Asian (N = 3141), and admixed-American (N = 16,250) ancestry from UK Biobank and the Million Veteran Programme. In a cross-population meta-analysis, we identify 84 independent loci for short sleep and 1 for long sleep. We estimate SNP-based heritability for both sleep traits in each ancestry based on population derived linkage disequilibrium (LD) scores using cov-LDSC. We identify positive genetic correlation between short and long sleep traits (rg = 0.16 ± 0.04; p = 0.0002), as well as similar patterns of genetic correlation with other psychiatric and cardiometabolic phenotypes. Mendelian randomisation reveals a directional causal relationship between short sleep and depression, and a bidirectional causal relationship between long sleep and depression.","citation-key":"Austin-Zimmerman2023","container-title":"Nature Communications","DOI":"10.1038/s41467-023-41249-y","ISSN":"2041-1723","issue":"1","journalAbbreviation":"Nat Commun","language":"en","license":"2023 The Author(s)","page":"6059","publisher":"Nature Publishing Group","source":"www.nature.com","title":"Genome-wide association studies and cross-population meta-analyses investigating short and long sleep duration","volume":"14","author":[{"family":"Austin-Zimmerman","given":"Isabelle"},{"family":"Levey","given":"Daniel F."},{"family":"Giannakopoulou","given":"Olga"},{"family":"Deak","given":"Joseph D."},{"family":"Galimberti","given":"Marco"},{"family":"Adhikari","given":"Keyrun"},{"family":"Zhou","given":"Hang"},{"family":"Denaxas","given":"Spiros"},{"family":"Irizar","given":"Haritz"},{"family":"Kuchenbaecker","given":"Karoline"},{"family":"McQuillin","given":"Andrew"},{"family":"Concato","given":"John"},{"family":"Buysse","given":"Daniel J."},{"family":"Gaziano","given":"J. Michael"},{"family":"Gottlieb","given":"Daniel J."},{"family":"Polimanti","given":"Renato"},{"family":"Stein","given":"Murray B."},{"family":"Bramon","given":"Elvira"},{"family":"Gelernter","given":"Joel"}],"issued":{"date-parts":[["2023",9,28]]}}}],"schema":"https://github.com/citation-style-language/schema/raw/master/csl-citation.json"} </w:instrText>
      </w:r>
      <w:r w:rsidR="00294764">
        <w:rPr>
          <w:rFonts w:ascii="Calibri" w:eastAsia="Calibri" w:hAnsi="Calibri" w:cs="Calibri"/>
          <w:lang w:val="de-DE"/>
        </w:rPr>
        <w:fldChar w:fldCharType="separate"/>
      </w:r>
      <w:r w:rsidR="00294764" w:rsidRPr="0010122A">
        <w:rPr>
          <w:rFonts w:ascii="Calibri" w:eastAsia="Calibri" w:hAnsi="Calibri" w:cs="Calibri"/>
          <w:noProof/>
          <w:lang w:val="en-US"/>
        </w:rPr>
        <w:t>(11)</w:t>
      </w:r>
      <w:r w:rsidR="00294764">
        <w:rPr>
          <w:rFonts w:ascii="Calibri" w:eastAsia="Calibri" w:hAnsi="Calibri" w:cs="Calibri"/>
          <w:lang w:val="de-DE"/>
        </w:rPr>
        <w:fldChar w:fldCharType="end"/>
      </w:r>
      <w:r>
        <w:rPr>
          <w:rFonts w:ascii="Calibri" w:eastAsia="Calibri" w:hAnsi="Calibri" w:cs="Calibri"/>
        </w:rPr>
        <w:t>. This yielded 14 PRS in total.</w:t>
      </w:r>
    </w:p>
    <w:p w14:paraId="23128339" w14:textId="33247F58" w:rsidR="00BF0CFF" w:rsidRDefault="00000000">
      <w:pPr>
        <w:spacing w:after="160" w:line="480" w:lineRule="auto"/>
        <w:rPr>
          <w:rFonts w:ascii="Calibri" w:eastAsia="Calibri" w:hAnsi="Calibri" w:cs="Calibri"/>
        </w:rPr>
      </w:pPr>
      <w:r>
        <w:rPr>
          <w:rFonts w:ascii="Calibri" w:eastAsia="Calibri" w:hAnsi="Calibri" w:cs="Calibri"/>
        </w:rPr>
        <w:t xml:space="preserve">PRS were derived from the summary statistics of recent large-scale genome-wide association studies (GWAS). For each GWAS, variants were retained if they satisfied all of the following criteria: (1) imputation quality score ≥0.6 where available; (2) minor allele frequency ≥0.01 in the 1000 Genomes Phase 3 European reference panel; and (3) presence in both the GWAS summary statistics and the imputed PsyCourse genotype data. </w:t>
      </w:r>
      <w:sdt>
        <w:sdtPr>
          <w:tag w:val="goog_rdk_1"/>
          <w:id w:val="1158649869"/>
        </w:sdtPr>
        <w:sdtContent/>
      </w:sdt>
      <w:r>
        <w:rPr>
          <w:rFonts w:ascii="Calibri" w:eastAsia="Calibri" w:hAnsi="Calibri" w:cs="Calibri"/>
        </w:rPr>
        <w:t>Posterior SNP effect sizes were estimated using PRS-CS</w:t>
      </w:r>
      <w:r w:rsidR="0057085C" w:rsidRPr="0057085C">
        <w:rPr>
          <w:rFonts w:ascii="Calibri" w:eastAsia="Calibri" w:hAnsi="Calibri" w:cs="Calibri"/>
          <w:lang w:val="en-US"/>
        </w:rPr>
        <w:t xml:space="preserve"> </w:t>
      </w:r>
      <w:r w:rsidR="0057085C">
        <w:rPr>
          <w:rFonts w:ascii="Calibri" w:eastAsia="Calibri" w:hAnsi="Calibri" w:cs="Calibri"/>
          <w:lang w:val="en-US"/>
        </w:rPr>
        <w:t>in auto-settings</w:t>
      </w:r>
      <w:r>
        <w:rPr>
          <w:rFonts w:ascii="Calibri" w:eastAsia="Calibri" w:hAnsi="Calibri" w:cs="Calibri"/>
        </w:rPr>
        <w:t xml:space="preserve"> </w:t>
      </w:r>
      <w:r w:rsidR="00B32D02">
        <w:rPr>
          <w:rFonts w:ascii="Calibri" w:eastAsia="Calibri" w:hAnsi="Calibri" w:cs="Calibri"/>
        </w:rPr>
        <w:fldChar w:fldCharType="begin"/>
      </w:r>
      <w:r w:rsidR="00B32D02">
        <w:rPr>
          <w:rFonts w:ascii="Calibri" w:eastAsia="Calibri" w:hAnsi="Calibri" w:cs="Calibri"/>
        </w:rPr>
        <w:instrText xml:space="preserve"> ADDIN ZOTERO_ITEM CSL_CITATION {"citationID":"wgzPFAdZ","properties":{"formattedCitation":"(12)","plainCitation":"(12)","noteIndex":0},"citationItems":[{"id":3502,"uris":["http://zotero.org/users/15000375/items/5H8BMBCM"],"itemData":{"id":3502,"type":"article-journal","abstract":"Polygenic risk scores (PRS) have shown promise in predicting human complex traits and diseases. Here, we present PRS-CS, a polygenic prediction method that infers posterior effect sizes of single nucleotide polymorphisms (SNPs) using genome-wide association summary statistics and an external linkage disequilibrium (LD) reference panel. PRS-CS utilizes a high-dimensional Bayesian regression framework, and is distinct from previous work by placing a continuous shrinkage (CS) prior on SNP effect sizes, which is robust to varying genetic architectures, provides substantial computational advantages, and enables multivariate modeling of local LD patterns. Simulation studies using data from the UK Biobank show that PRS-CS outperforms existing methods across a wide range of genetic architectures, especially when the training sample size is large. We apply PRS-CS to predict six common complex diseases and six quantitative traits in the Partners HealthCare Biobank, and further demonstrate the improvement of PRS-CS in prediction accuracy over alternative methods.","citation-key":"Ge2019","container-title":"Nature Communications","DOI":"10.1038/s41467-019-09718-5","ISSN":"2041-1723","issue":"1","journalAbbreviation":"Nat Commun","language":"en","license":"2019 The Author(s)","page":"1776","publisher":"Nature Publishing Group","source":"www.nature.com","title":"Polygenic prediction via Bayesian regression and continuous shrinkage priors","volume":"10","author":[{"family":"Ge","given":"Tian"},{"family":"Chen","given":"Chia-Yen"},{"family":"Ni","given":"Yang"},{"family":"Feng","given":"Yen-Chen Anne"},{"family":"Smoller","given":"Jordan W."}],"issued":{"date-parts":[["2019",4,16]]}}}],"schema":"https://github.com/citation-style-language/schema/raw/master/csl-citation.json"} </w:instrText>
      </w:r>
      <w:r w:rsidR="00B32D02">
        <w:rPr>
          <w:rFonts w:ascii="Calibri" w:eastAsia="Calibri" w:hAnsi="Calibri" w:cs="Calibri"/>
        </w:rPr>
        <w:fldChar w:fldCharType="separate"/>
      </w:r>
      <w:r w:rsidR="00B32D02">
        <w:rPr>
          <w:rFonts w:ascii="Calibri" w:eastAsia="Calibri" w:hAnsi="Calibri" w:cs="Calibri"/>
          <w:noProof/>
        </w:rPr>
        <w:t>(12)</w:t>
      </w:r>
      <w:r w:rsidR="00B32D02">
        <w:rPr>
          <w:rFonts w:ascii="Calibri" w:eastAsia="Calibri" w:hAnsi="Calibri" w:cs="Calibri"/>
        </w:rPr>
        <w:fldChar w:fldCharType="end"/>
      </w:r>
      <w:r>
        <w:rPr>
          <w:rFonts w:ascii="Calibri" w:eastAsia="Calibri" w:hAnsi="Calibri" w:cs="Calibri"/>
        </w:rPr>
        <w:t xml:space="preserve"> with the 1000 Genomes European LD reference panel. For protective variants, alleles were re-oriented so that weights were consistently </w:t>
      </w:r>
      <w:r>
        <w:rPr>
          <w:rFonts w:ascii="Calibri" w:eastAsia="Calibri" w:hAnsi="Calibri" w:cs="Calibri"/>
        </w:rPr>
        <w:lastRenderedPageBreak/>
        <w:t>aligned to the risk- or trait-increasing allele. PRS were then computed from these posterior weights and the imputed target-cohort genotypes using PLINK 1.9, and standardized (mean=0, SD=1) prior to inclusion in downstream models.</w:t>
      </w:r>
    </w:p>
    <w:p w14:paraId="1840EEBC" w14:textId="77C49017" w:rsidR="00BF0CFF" w:rsidRDefault="00000000">
      <w:pPr>
        <w:spacing w:after="160" w:line="480" w:lineRule="auto"/>
        <w:rPr>
          <w:rFonts w:ascii="Calibri" w:eastAsia="Calibri" w:hAnsi="Calibri" w:cs="Calibri"/>
        </w:rPr>
      </w:pPr>
      <w:r>
        <w:rPr>
          <w:rFonts w:ascii="Calibri" w:eastAsia="Calibri" w:hAnsi="Calibri" w:cs="Calibri"/>
        </w:rPr>
        <w:t xml:space="preserve">To construct lipid-metabolism-enriched psychiatric PRS, we used the REACTOME_METABOLISM_OF_LIPIDS gene set from the Molecular Signatures Database (MSigDB v2023.2; </w:t>
      </w:r>
      <w:r w:rsidR="00B32D02">
        <w:rPr>
          <w:rFonts w:ascii="Calibri" w:eastAsia="Calibri" w:hAnsi="Calibri" w:cs="Calibri"/>
        </w:rPr>
        <w:fldChar w:fldCharType="begin"/>
      </w:r>
      <w:r w:rsidR="00B32D02">
        <w:rPr>
          <w:rFonts w:ascii="Calibri" w:eastAsia="Calibri" w:hAnsi="Calibri" w:cs="Calibri"/>
        </w:rPr>
        <w:instrText xml:space="preserve"> ADDIN ZOTERO_ITEM CSL_CITATION {"citationID":"b5xvUw3n","properties":{"formattedCitation":"(13)","plainCitation":"(13)","noteIndex":0},"citationItems":[{"id":5603,"uris":["http://zotero.org/users/15000375/items/2X7JQKWD"],"itemData":{"id":5603,"type":"article-journal","abstract":"The Molecular Signatures Database (MSigDB) is one of the most widely used and comprehensive databases of gene sets for performing gene set enrichment analysis. Since its creation, MSigDB has grown beyond its roots in metabolic disease and cancer to include &gt;10,000 gene sets. These better represent a wider range of biological processes and diseases, but the utility of the database is reduced by increased redundancy across, and heterogeneity within, gene sets. To address this challenge, here we use a combination of automated approaches and expert curation to develop a collection of \"hallmark\" gene sets as part of MSigDB. Each hallmark in this collection consists of a \"refined\" gene set, derived from multiple \"founder\" sets, that conveys a specific biological state or process and displays coherent expression. The hallmarks effectively summarize most of the relevant information of the original founder sets and, by reducing both variation and redundancy, provide more refined and concise inputs for gene set enrichment analysis.","citation-key":"Liberzon2015","container-title":"Cell Systems","DOI":"10.1016/j.cels.2015.12.004","ISSN":"2405-4712","issue":"6","journalAbbreviation":"Cell Syst","language":"eng","page":"417-425","PMID":"26771021","PMCID":"PMC4707969","source":"PubMed","title":"The Molecular Signatures Database (MSigDB) hallmark gene set collection","volume":"1","author":[{"family":"Liberzon","given":"Arthur"},{"family":"Birger","given":"Chet"},{"family":"Thorvaldsdóttir","given":"Helga"},{"family":"Ghandi","given":"Mahmoud"},{"family":"Mesirov","given":"Jill P."},{"family":"Tamayo","given":"Pablo"}],"issued":{"date-parts":[["2015",12,23]]}}}],"schema":"https://github.com/citation-style-language/schema/raw/master/csl-citation.json"} </w:instrText>
      </w:r>
      <w:r w:rsidR="00B32D02">
        <w:rPr>
          <w:rFonts w:ascii="Calibri" w:eastAsia="Calibri" w:hAnsi="Calibri" w:cs="Calibri"/>
        </w:rPr>
        <w:fldChar w:fldCharType="separate"/>
      </w:r>
      <w:r w:rsidR="00B32D02">
        <w:rPr>
          <w:rFonts w:ascii="Calibri" w:eastAsia="Calibri" w:hAnsi="Calibri" w:cs="Calibri"/>
          <w:noProof/>
        </w:rPr>
        <w:t>(13)</w:t>
      </w:r>
      <w:r w:rsidR="00B32D02">
        <w:rPr>
          <w:rFonts w:ascii="Calibri" w:eastAsia="Calibri" w:hAnsi="Calibri" w:cs="Calibri"/>
        </w:rPr>
        <w:fldChar w:fldCharType="end"/>
      </w:r>
      <w:r>
        <w:rPr>
          <w:rFonts w:ascii="Calibri" w:eastAsia="Calibri" w:hAnsi="Calibri" w:cs="Calibri"/>
        </w:rPr>
        <w:t>), which contains 700 genes involved in lipid biosynthesis, transport, storage, and catabolism. Lipid-related genes were mapped to genomic coordinates using GENCODE (GRCh37). For each psychiatric GWAS, we restricted SNPs to those located within the ±50kb flanking region of these lipid genes, a window that captures promoters and proximal enhancers while maintaining gene-specificity</w:t>
      </w:r>
      <w:r w:rsidR="00B32D02" w:rsidRPr="00B32D02">
        <w:rPr>
          <w:rFonts w:ascii="Calibri" w:eastAsia="Calibri" w:hAnsi="Calibri" w:cs="Calibri"/>
          <w:lang w:val="en-US"/>
        </w:rPr>
        <w:t xml:space="preserve">. </w:t>
      </w:r>
      <w:r>
        <w:rPr>
          <w:rFonts w:ascii="Calibri" w:eastAsia="Calibri" w:hAnsi="Calibri" w:cs="Calibri"/>
        </w:rPr>
        <w:t>Critically, PRS-CS was always run on the full set of HapMap3 SNPs for each GWAS to estimate genome-wide posterior effect sizes; the lipid-specific PRS were then obtained by restricting the PLINK scoring step to the subset of SNPs in proximity to lipid genes. This ensures that the posterior effect size estimation is not distorted by restricting the LD reference. All lipid-enriched PRS were standardized before inclusion in downstream models.</w:t>
      </w:r>
    </w:p>
    <w:p w14:paraId="0E1371A6" w14:textId="77777777" w:rsidR="00BF0CFF" w:rsidRDefault="00000000">
      <w:pPr>
        <w:pStyle w:val="Heading2"/>
        <w:spacing w:line="480" w:lineRule="auto"/>
        <w:rPr>
          <w:rFonts w:ascii="Calibri" w:eastAsia="Calibri" w:hAnsi="Calibri" w:cs="Calibri"/>
        </w:rPr>
      </w:pPr>
      <w:r>
        <w:rPr>
          <w:rFonts w:ascii="Calibri" w:eastAsia="Calibri" w:hAnsi="Calibri" w:cs="Calibri"/>
        </w:rPr>
        <w:t>Lipidomics</w:t>
      </w:r>
    </w:p>
    <w:p w14:paraId="1AFBAE7F" w14:textId="3ABA6136" w:rsidR="00BF0CFF" w:rsidRDefault="00000000">
      <w:pPr>
        <w:spacing w:after="160" w:line="480" w:lineRule="auto"/>
        <w:rPr>
          <w:rFonts w:ascii="Calibri" w:eastAsia="Calibri" w:hAnsi="Calibri" w:cs="Calibri"/>
        </w:rPr>
      </w:pPr>
      <w:r>
        <w:rPr>
          <w:rFonts w:ascii="Calibri" w:eastAsia="Calibri" w:hAnsi="Calibri" w:cs="Calibri"/>
        </w:rPr>
        <w:t xml:space="preserve">Non-fasting plasma samples were collected between 2013 and 2016 and analyzed between 2018 and 2020. Lipid quantification was performed using liquid chromatography coupled with untargeted mass spectrometry (LC-MS) as previously described in detail </w:t>
      </w:r>
      <w:r w:rsidR="00B32D02">
        <w:rPr>
          <w:rFonts w:ascii="Calibri" w:eastAsia="Calibri" w:hAnsi="Calibri" w:cs="Calibri"/>
        </w:rPr>
        <w:fldChar w:fldCharType="begin"/>
      </w:r>
      <w:r w:rsidR="00B32D02">
        <w:rPr>
          <w:rFonts w:ascii="Calibri" w:eastAsia="Calibri" w:hAnsi="Calibri" w:cs="Calibri"/>
        </w:rPr>
        <w:instrText xml:space="preserve"> ADDIN ZOTERO_ITEM CSL_CITATION {"citationID":"BeVEJWcz","properties":{"formattedCitation":"(14)","plainCitation":"(14)","noteIndex":0},"citationItems":[{"id":1074,"uris":["http://zotero.org/users/15000375/items/EXFN3EDA"],"itemData":{"id":1074,"type":"article-journal","abstract":"Importance\n              No clinically applicable diagnostic test exists for severe mental disorders. Lipids harbor potential as disease markers.\n            \n            \n              Objective\n              To define a reproducible profile of lipid alterations in the blood plasma of patients with schizophrenia (SCZ) independent of demographic and environmental variables and to investigate its specificity in association with other psychiatric disorders, ie, major depressive disorder (MDD) and bipolar disorder (BPD).\n            \n            \n              Design, Setting, and Participants\n              \n                This was a multicohort case-control diagnostic analysis involving plasma samples from psychiatric patients and control individuals collected between July 17, 2009, and May 18, 2018. Study participants were recruited as consecutive and volunteer samples at multiple inpatient and outpatient mental health hospitals in Western Europe (Germany and Austria [DE-AT]), China (CN), and Russia (RU). Individuals with\n                DSM-IV\n                or\n                International Statistical Classification of Diseases and Related Health Problems, Tenth Revision\n                diagnoses of SCZ, MDD, BPD, or a first psychotic episode, as well as age- and sex-matched healthy controls without a mental health–related diagnosis were included in the study. Samples and data were analyzed from January 2018 to September 2020.\n              \n            \n            \n              Main Outcomes and Measures\n              Plasma lipidome composition was assessed using liquid chromatography coupled with untargeted mass spectrometry.\n            \n            \n              Results\n              \n                Blood lipid levels were assessed in 980 individuals (mean [SD] age, 36 [13] years; 510 male individuals [52%]) diagnosed with SCZ, BPD, MDD, or those with a first psychotic episode and in 572 controls (mean [SD] age, 34 [13] years; 323 male individuals [56%]). A total of 77 lipids were found to be significantly altered between those with SCZ (n = 436) and controls (n = 478) in all 3 sample cohorts. Alterations were consistent between cohorts (CN and RU: [Pearson correlation]\n                r\n                 = 0.75; DE-AT and CN:\n                r\n                = 0.78; DE-AT and RU:\n                r\n                = 0.82;\n                P\n                 &amp;amp;lt; 10\n                −38\n                ). A lipid-based predictive model separated patients with SCZ from controls with high diagnostic ability (area under the receiver operating characteristic curve = 0.86-0.95). Lipidome alterations in BPD and MDD, assessed in 184 and 256 individuals, respectively, were found to be similar to those of SCZ (BPD:\n                r\n                 = 0.89; MDD:\n                r =\n                0.92;\n                P\n                 &amp;amp;lt; 10\n                −79\n                ). Assessment of detected alterations in individuals with a first psychotic episode, as well as patients with SCZ not receiving medication, demonstrated only limited association with medication restricted to particular lipids.\n              \n            \n            \n              Conclusions and Relevance\n              In this study, SCZ was accompanied by a reproducible profile of plasma lipidome alterations, not associated with symptom severity, medication, and demographic and environmental variables, and largely shared with BPD and MDD. This lipid alteration signature may represent a trait marker of severe psychiatric disorders, indicating its potential to be transformed into a clinically applicable testing procedure.","citation-key":"Tkachev2023","container-title":"JAMA Psychiatry","DOI":"10.1001/jamapsychiatry.2022.4350","ISSN":"2168-622X","issue":"3","journalAbbreviation":"JAMA Psychiatry","language":"en","page":"250","source":"DOI.org (Crossref)","title":"Lipid Alteration Signature in the Blood Plasma of Individuals With Schizophrenia, Depression, and Bipolar Disorder","volume":"80","author":[{"family":"Tkachev","given":"Anna"},{"family":"Stekolshchikova","given":"Elena"},{"family":"Vanyushkina","given":"Anna"},{"family":"Zhang","given":"Hanping"},{"family":"Morozova","given":"Anna"},{"family":"Zozulya","given":"Svetlana"},{"family":"Kurochkin","given":"Ilia"},{"family":"Anikanov","given":"Nickolay"},{"family":"Egorova","given":"Alina"},{"family":"Yushina","given":"Ekaterina"},{"family":"Vogl","given":"Thomas"},{"family":"Senner","given":"Fanny"},{"family":"Schaupp","given":"Sabrina K."},{"family":"Reich-Erkelenz","given":"Daniela"},{"family":"Papiol","given":"Sergi"},{"family":"Kohshour","given":"Mojtaba Oraki"},{"family":"Klöhn-Saghatolislam","given":"Farahnaz"},{"family":"Kalman","given":"Janos L."},{"family":"Heilbronner","given":"Urs"},{"family":"Heilbronner","given":"Maria"},{"family":"Gade","given":"Katrin"},{"family":"Comes","given":"Ashley L."},{"family":"Budde","given":"Monika"},{"family":"Anderson-Schmidt","given":"Heike"},{"family":"Adorjan","given":"Kristina"},{"family":"Wiltfang","given":"Jens"},{"family":"Reininghaus","given":"Eva Z."},{"family":"Juckel","given":"Georg"},{"family":"Dannlowski","given":"Udo"},{"family":"Fallgatter","given":"Andreas"},{"family":"Spitzer","given":"Carsten"},{"family":"Schmauß","given":"Max"},{"family":"Von Hagen","given":"Martin"},{"family":"Zorkina","given":"Yana"},{"family":"Reznik","given":"Alexander"},{"family":"Barkhatova","given":"Aleksandra"},{"family":"Lisov","given":"Roman"},{"family":"Mokrov","given":"Nikita"},{"family":"Panov","given":"Maxim"},{"family":"Zubkov","given":"Dmitri"},{"family":"Petrova","given":"Daria"},{"family":"Zhou","given":"Chanjuan"},{"family":"Liu","given":"Yiyun"},{"family":"Pu","given":"Juncai"},{"family":"Falkai","given":"Peter"},{"family":"Kostyuk","given":"Georgiy"},{"family":"Klyushnik","given":"Tatiana"},{"family":"Schulze","given":"Thomas G."},{"family":"Xie","given":"Peng"},{"family":"Schulte","given":"Eva C."},{"family":"Khaitovich","given":"Philipp"}],"issued":{"date-parts":[["2023",3,1]]}}}],"schema":"https://github.com/citation-style-language/schema/raw/master/csl-citation.json"} </w:instrText>
      </w:r>
      <w:r w:rsidR="00B32D02">
        <w:rPr>
          <w:rFonts w:ascii="Calibri" w:eastAsia="Calibri" w:hAnsi="Calibri" w:cs="Calibri"/>
        </w:rPr>
        <w:fldChar w:fldCharType="separate"/>
      </w:r>
      <w:r w:rsidR="00B32D02">
        <w:rPr>
          <w:rFonts w:ascii="Calibri" w:eastAsia="Calibri" w:hAnsi="Calibri" w:cs="Calibri"/>
          <w:noProof/>
        </w:rPr>
        <w:t>(14)</w:t>
      </w:r>
      <w:r w:rsidR="00B32D02">
        <w:rPr>
          <w:rFonts w:ascii="Calibri" w:eastAsia="Calibri" w:hAnsi="Calibri" w:cs="Calibri"/>
        </w:rPr>
        <w:fldChar w:fldCharType="end"/>
      </w:r>
      <w:r>
        <w:rPr>
          <w:rFonts w:ascii="Calibri" w:eastAsia="Calibri" w:hAnsi="Calibri" w:cs="Calibri"/>
        </w:rPr>
        <w:t xml:space="preserve">. Briefly, plasma samples were processed using a Waters Acquity UPLC system coupled to a Q Exactive orbitrap mass spectrometer equipped with a heated electro-spray ionization probe. Separation was </w:t>
      </w:r>
      <w:r>
        <w:rPr>
          <w:rFonts w:ascii="Calibri" w:eastAsia="Calibri" w:hAnsi="Calibri" w:cs="Calibri"/>
        </w:rPr>
        <w:lastRenderedPageBreak/>
        <w:t>performed using a reverse-phase ACQUITY UPLC BEH C8 column. Mass spectra were recorded in both positive and negative ionization modes and analyzed with XCMS software using the centWave method for peak detection. Lipid features were annotated using an in-house spectral library.</w:t>
      </w:r>
    </w:p>
    <w:p w14:paraId="4461F2A9" w14:textId="01155EF9" w:rsidR="00BF0CFF" w:rsidRDefault="00000000">
      <w:pPr>
        <w:spacing w:after="160" w:line="480" w:lineRule="auto"/>
        <w:rPr>
          <w:rFonts w:ascii="Calibri" w:eastAsia="Calibri" w:hAnsi="Calibri" w:cs="Calibri"/>
        </w:rPr>
      </w:pPr>
      <w:r>
        <w:rPr>
          <w:rFonts w:ascii="Calibri" w:eastAsia="Calibri" w:hAnsi="Calibri" w:cs="Calibri"/>
        </w:rPr>
        <w:t>Of 1,361 detected lipid features, 394 were annotated to lipid species using an in-house spectral library, spanning 16 lipid classes: triacylglyceride (TAG), acylcarnitine (CAR), phosphatidylcholine (PC), phosphatidylcholine plasmalogen (PC-P), ceramide (Cer), phosphatidylethanolamine (PE), phosphatidylethanolamine plasmalogen (PE-P), fatty acid (FA), sphingomyelin (SM), plasmanylphosphatidylcholine (PC-O), cholesteryl ester (CE), diacylglycerol (DAG), lysophosphatidylcholine (LPC), lysophosphatidylcholine plasmalogen (LPC-P), lysoplasmanylphosphatidylcholine (LPC-O), and lysophosphatidylethanolamine (LPE). Sequential quality control exclusions were applied: (i) 31 lipid species with extreme distributional properties (|skewness| &gt; 1, |kurtosis| &gt; 5); and (ii) 30 lipid species known to be affected by fasting status, primarily fatty acids</w:t>
      </w:r>
      <w:r w:rsidR="00EC259F" w:rsidRPr="00EC259F">
        <w:rPr>
          <w:rFonts w:ascii="Calibri" w:eastAsia="Calibri" w:hAnsi="Calibri" w:cs="Calibri"/>
          <w:lang w:val="en-US"/>
        </w:rPr>
        <w:t xml:space="preserve"> (14)</w:t>
      </w:r>
      <w:r>
        <w:rPr>
          <w:rFonts w:ascii="Calibri" w:eastAsia="Calibri" w:hAnsi="Calibri" w:cs="Calibri"/>
        </w:rPr>
        <w:t xml:space="preserve">. After accounting for overlap between these categories, </w:t>
      </w:r>
      <w:r>
        <w:rPr>
          <w:rFonts w:ascii="Calibri" w:eastAsia="Calibri" w:hAnsi="Calibri" w:cs="Calibri"/>
          <w:b/>
          <w:bCs/>
        </w:rPr>
        <w:t>361 lipid species across 16 lipid classes</w:t>
      </w:r>
      <w:r>
        <w:rPr>
          <w:rFonts w:ascii="Calibri" w:eastAsia="Calibri" w:hAnsi="Calibri" w:cs="Calibri"/>
        </w:rPr>
        <w:t xml:space="preserve"> were retained for analysis.</w:t>
      </w:r>
    </w:p>
    <w:p w14:paraId="7CA723E5" w14:textId="77777777" w:rsidR="00BF0CFF" w:rsidRDefault="00000000">
      <w:pPr>
        <w:spacing w:after="160" w:line="480" w:lineRule="auto"/>
        <w:rPr>
          <w:rFonts w:ascii="Calibri" w:eastAsia="Calibri" w:hAnsi="Calibri" w:cs="Calibri"/>
        </w:rPr>
      </w:pPr>
      <w:r>
        <w:rPr>
          <w:rFonts w:ascii="Calibri" w:eastAsia="Calibri" w:hAnsi="Calibri" w:cs="Calibri"/>
        </w:rPr>
        <w:t xml:space="preserve">Individual outlier values (z-score &gt; 3 within each lipid species, computed across individuals) were set to missing prior to analysis. Lipid intensities were log2-transformed and z-score standardized across individuals. For lipid class enrichment analyses, class scores were computed as the mean of z-scored species within each class, providing a single aggregate measure of class-level expression per individual. Lipid data were treated as missing not at random (MNAR); no imputation was applied to lipid species values. Covariate missingness, which affected less </w:t>
      </w:r>
      <w:r>
        <w:rPr>
          <w:rFonts w:ascii="Calibri" w:eastAsia="Calibri" w:hAnsi="Calibri" w:cs="Calibri"/>
        </w:rPr>
        <w:lastRenderedPageBreak/>
        <w:t>than 10% of participants, was treated as missing at random (MAR) and handled via imputation using the k-nearest neighbour approach with k=7.</w:t>
      </w:r>
    </w:p>
    <w:p w14:paraId="3318F49D" w14:textId="77777777" w:rsidR="00BF0CFF" w:rsidRDefault="00000000">
      <w:pPr>
        <w:pStyle w:val="Heading2"/>
        <w:spacing w:line="480" w:lineRule="auto"/>
        <w:rPr>
          <w:rFonts w:ascii="Calibri" w:eastAsia="Calibri" w:hAnsi="Calibri" w:cs="Calibri"/>
        </w:rPr>
      </w:pPr>
      <w:r>
        <w:rPr>
          <w:rFonts w:ascii="Calibri" w:eastAsia="Calibri" w:hAnsi="Calibri" w:cs="Calibri"/>
        </w:rPr>
        <w:t>Statistical Analysis</w:t>
      </w:r>
    </w:p>
    <w:p w14:paraId="5F6CFE94" w14:textId="77777777" w:rsidR="00BF0CFF" w:rsidRDefault="00000000">
      <w:pPr>
        <w:pStyle w:val="Heading3"/>
        <w:spacing w:line="480" w:lineRule="auto"/>
        <w:rPr>
          <w:rFonts w:ascii="Calibri" w:eastAsia="Calibri" w:hAnsi="Calibri" w:cs="Calibri"/>
        </w:rPr>
      </w:pPr>
      <w:r>
        <w:rPr>
          <w:rFonts w:ascii="Calibri" w:eastAsia="Calibri" w:hAnsi="Calibri" w:cs="Calibri"/>
        </w:rPr>
        <w:t>Regression Analysis</w:t>
      </w:r>
    </w:p>
    <w:p w14:paraId="736F61E8" w14:textId="77777777" w:rsidR="00BF0CFF" w:rsidRDefault="00000000">
      <w:pPr>
        <w:spacing w:after="160" w:line="480" w:lineRule="auto"/>
        <w:rPr>
          <w:rFonts w:ascii="Calibri" w:eastAsia="Calibri" w:hAnsi="Calibri" w:cs="Calibri"/>
        </w:rPr>
      </w:pPr>
      <w:r>
        <w:rPr>
          <w:rFonts w:ascii="Calibri" w:eastAsia="Calibri" w:hAnsi="Calibri" w:cs="Calibri"/>
        </w:rPr>
        <w:t>Associations between severe psychosis subtype probability and each PRS were tested using ordinary least squares (OLS) linear regression with HC3 heteroscedasticity-consistent (robust) standard errors. The primary PRS model included age, sex, and the first five ancestry principal components as covariates and was fitted in the full genotyped sample (n=1,190). The primary lipid species model included age, sex, body mass index (BMI), duration of illness, and smoking status as covariates and was fitted in the lipidomics subsample (n=428). Sensitivity analyses for lipid models entailed adding diagnosis (SCZ vs. BD) and number of medications by class (antipsychotics, antidepressants, mood stabilizers, tranquilizers) as additional covariates. Missingness in covariates was &lt;10% and imputed by KNN-Median-imputation (k=7).</w:t>
      </w:r>
    </w:p>
    <w:p w14:paraId="130C01F0" w14:textId="77777777" w:rsidR="00BF0CFF" w:rsidRDefault="00000000">
      <w:pPr>
        <w:spacing w:after="160" w:line="480" w:lineRule="auto"/>
        <w:rPr>
          <w:rFonts w:ascii="Calibri" w:eastAsia="Calibri" w:hAnsi="Calibri" w:cs="Calibri"/>
        </w:rPr>
      </w:pPr>
      <w:r>
        <w:rPr>
          <w:rFonts w:ascii="Calibri" w:eastAsia="Calibri" w:hAnsi="Calibri" w:cs="Calibri"/>
        </w:rPr>
        <w:t>To assess whether lipid class associations were attributable to individual psychotic or deficit symptom dimensions as captured by conventional rating scales, we additionally adjusted for each PANSS subscale (positive, negative, general, and total) in turn, retaining severe psychosis subtype probability as the outcome. Because PANSS subscales partially contributed to the derivation of the severe psychosis subtype probability score, these analyses are interpreted as decomposition of the lipid signal across symptom dimensions rather than as confounding adjustment in the conventional sense. Additionally, we performed regression analysis for each PANSS subscale as outcome variable.</w:t>
      </w:r>
    </w:p>
    <w:p w14:paraId="4EB30304" w14:textId="77777777" w:rsidR="00BF0CFF" w:rsidRDefault="00000000">
      <w:pPr>
        <w:spacing w:after="160" w:line="480" w:lineRule="auto"/>
        <w:rPr>
          <w:rFonts w:ascii="Calibri" w:eastAsia="Calibri" w:hAnsi="Calibri" w:cs="Calibri"/>
        </w:rPr>
      </w:pPr>
      <w:r>
        <w:rPr>
          <w:rFonts w:ascii="Calibri" w:eastAsia="Calibri" w:hAnsi="Calibri" w:cs="Calibri"/>
        </w:rPr>
        <w:lastRenderedPageBreak/>
        <w:t>All models were fitted on complete cases. Multiple testing correction used the Benjamini-Hochberg (BH) false discovery rate (FDR) procedure separately within each analysis. Results with FDR-corrected q-values &lt;0.05 were considered statistically significant.</w:t>
      </w:r>
    </w:p>
    <w:p w14:paraId="44879E73" w14:textId="77777777" w:rsidR="00BF0CFF" w:rsidRDefault="00000000">
      <w:pPr>
        <w:pStyle w:val="Heading3"/>
        <w:spacing w:line="480" w:lineRule="auto"/>
        <w:rPr>
          <w:rFonts w:ascii="Calibri" w:eastAsia="Calibri" w:hAnsi="Calibri" w:cs="Calibri"/>
        </w:rPr>
      </w:pPr>
      <w:r>
        <w:rPr>
          <w:rFonts w:ascii="Calibri" w:eastAsia="Calibri" w:hAnsi="Calibri" w:cs="Calibri"/>
        </w:rPr>
        <w:t>Lipid Class Enrichment Analysis</w:t>
      </w:r>
    </w:p>
    <w:p w14:paraId="21D66E22" w14:textId="77777777" w:rsidR="00BF0CFF" w:rsidRDefault="00000000">
      <w:pPr>
        <w:spacing w:after="160" w:line="480" w:lineRule="auto"/>
        <w:rPr>
          <w:rFonts w:ascii="Calibri" w:eastAsia="Calibri" w:hAnsi="Calibri" w:cs="Calibri"/>
        </w:rPr>
      </w:pPr>
      <w:r>
        <w:rPr>
          <w:rFonts w:ascii="Calibri" w:eastAsia="Calibri" w:hAnsi="Calibri" w:cs="Calibri"/>
        </w:rPr>
        <w:t>To test whether lipid classes showed coordinated directional associations with severe psychosis subtype probability beyond what individual species-level analysis could detect, we applied a gene set enrichment analysis (GSEA) approach adapted for lipidomics. This approach ranks all lipid species by their associations with the outcome and tests whether species belonging to a given class are systematically over-represented at the top or bottom of the ranked list, capturing coordinated class-level signals even when individual species associations do not survive FDR correction.</w:t>
      </w:r>
    </w:p>
    <w:p w14:paraId="3A4BC559" w14:textId="77777777" w:rsidR="00BF0CFF" w:rsidRDefault="00000000">
      <w:pPr>
        <w:spacing w:after="160" w:line="480" w:lineRule="auto"/>
        <w:rPr>
          <w:rFonts w:ascii="Calibri" w:eastAsia="Calibri" w:hAnsi="Calibri" w:cs="Calibri"/>
        </w:rPr>
      </w:pPr>
      <w:r>
        <w:rPr>
          <w:rFonts w:ascii="Calibri" w:eastAsia="Calibri" w:hAnsi="Calibri" w:cs="Calibri"/>
        </w:rPr>
        <w:t>Lipid species were ranked by their signed regression coefficients (β) from the univariate OLS models, capturing both effect magnitude and direction. An enrichment score was computed for each lipid class containing ≥5 species (15 of 16 classes). Statistical significance was assessed using 5,000 permutations in which lipid species coefficients were randomly shuffled while preserving class membership structure, yielding an empirical null distribution of enrichment scores for each class. We report normalized enrichment scores (NES; normalized by the mean and standard deviation of same-sign permutation scores to enable comparison across classes of different sizes), empirical p-values, and BH FDR-corrected q-values across all tested lipid classes.</w:t>
      </w:r>
    </w:p>
    <w:p w14:paraId="07DECD9D" w14:textId="77777777" w:rsidR="00BF0CFF" w:rsidRDefault="00000000">
      <w:pPr>
        <w:pStyle w:val="Heading3"/>
        <w:spacing w:line="480" w:lineRule="auto"/>
        <w:rPr>
          <w:rFonts w:ascii="Calibri" w:eastAsia="Calibri" w:hAnsi="Calibri" w:cs="Calibri"/>
        </w:rPr>
      </w:pPr>
      <w:r>
        <w:rPr>
          <w:rFonts w:ascii="Calibri" w:eastAsia="Calibri" w:hAnsi="Calibri" w:cs="Calibri"/>
        </w:rPr>
        <w:t>Incremental R² Decomposition</w:t>
      </w:r>
    </w:p>
    <w:p w14:paraId="0982B131" w14:textId="77777777" w:rsidR="00BF0CFF" w:rsidRDefault="00000000">
      <w:pPr>
        <w:spacing w:after="160" w:line="480" w:lineRule="auto"/>
        <w:rPr>
          <w:rFonts w:ascii="Calibri" w:eastAsia="Calibri" w:hAnsi="Calibri" w:cs="Calibri"/>
        </w:rPr>
      </w:pPr>
      <w:r>
        <w:rPr>
          <w:rFonts w:ascii="Calibri" w:eastAsia="Calibri" w:hAnsi="Calibri" w:cs="Calibri"/>
        </w:rPr>
        <w:lastRenderedPageBreak/>
        <w:t>To quantify the independent and joint contributions of polygenic risk and plasma lipidomics to severe psychosis subtype probability, we performed an incremental R² decomposition in the subsample with complete data across both modalities. Two parallel approaches were implemented and compared to assess robustness of variance estimates.</w:t>
      </w:r>
    </w:p>
    <w:p w14:paraId="75D45E45" w14:textId="77777777" w:rsidR="00BF0CFF" w:rsidRDefault="00000000">
      <w:pPr>
        <w:spacing w:after="160" w:line="480" w:lineRule="auto"/>
        <w:rPr>
          <w:rFonts w:ascii="Calibri" w:eastAsia="Calibri" w:hAnsi="Calibri" w:cs="Calibri"/>
        </w:rPr>
      </w:pPr>
      <w:r>
        <w:rPr>
          <w:rFonts w:ascii="Calibri" w:eastAsia="Calibri" w:hAnsi="Calibri" w:cs="Calibri"/>
          <w:b/>
          <w:bCs/>
        </w:rPr>
        <w:t>Residualized approach.</w:t>
      </w:r>
      <w:r>
        <w:rPr>
          <w:rFonts w:ascii="Calibri" w:eastAsia="Calibri" w:hAnsi="Calibri" w:cs="Calibri"/>
        </w:rPr>
        <w:t xml:space="preserve"> Each feature block was first regressed against its theoretically appropriate covariates: PRS features were residualized against age, sex, and the first five ancestry principal components, consistent with the primary PRS model; lipid class scores were residualized against sex, BMI, duration of illness, and smoking status, consistent with the primary lipid model. The outcome variable was residualized against the union of both covariate sets. Four nested OLS models were then fitted on the residualized features without additional covariates: an intercept-only baseline (M0), PRS block alone (M1), lipid block alone (M2), and both blocks combined (M3).</w:t>
      </w:r>
    </w:p>
    <w:p w14:paraId="6F31631E" w14:textId="77777777" w:rsidR="00BF0CFF" w:rsidRDefault="00000000">
      <w:pPr>
        <w:spacing w:after="160" w:line="480" w:lineRule="auto"/>
        <w:rPr>
          <w:rFonts w:ascii="Calibri" w:eastAsia="Calibri" w:hAnsi="Calibri" w:cs="Calibri"/>
        </w:rPr>
      </w:pPr>
      <w:r>
        <w:rPr>
          <w:rFonts w:ascii="Calibri" w:eastAsia="Calibri" w:hAnsi="Calibri" w:cs="Calibri"/>
          <w:b/>
          <w:bCs/>
        </w:rPr>
        <w:t>Traditional approach.</w:t>
      </w:r>
      <w:r>
        <w:rPr>
          <w:rFonts w:ascii="Calibri" w:eastAsia="Calibri" w:hAnsi="Calibri" w:cs="Calibri"/>
        </w:rPr>
        <w:t xml:space="preserve"> Four nested OLS models were fitted on raw (non-residualized) features, with the union covariate set entered explicitly as predictors in each model: covariates only (M0), covariates plus PRS block (M1), covariates plus lipid block (M2), and covariates plus both blocks (M3).</w:t>
      </w:r>
    </w:p>
    <w:p w14:paraId="54B45EDF" w14:textId="77777777" w:rsidR="00BF0CFF" w:rsidRDefault="00000000">
      <w:pPr>
        <w:spacing w:after="160" w:line="480" w:lineRule="auto"/>
        <w:rPr>
          <w:rFonts w:ascii="Calibri" w:eastAsia="Calibri" w:hAnsi="Calibri" w:cs="Calibri"/>
        </w:rPr>
      </w:pPr>
      <w:r>
        <w:rPr>
          <w:rFonts w:ascii="Calibri" w:eastAsia="Calibri" w:hAnsi="Calibri" w:cs="Calibri"/>
        </w:rPr>
        <w:t xml:space="preserve">Both approaches yielded five ΔR² estimates of interest: (1) PRS block alone beyond the baseline; (2) lipid block alone beyond the baseline; (3) PRS block conditional on the lipid block; (4) lipid block conditional on the PRS block; and (5) both blocks jointly beyond the baseline. The near-identical results across both approaches confirmed that residualization did not artificially </w:t>
      </w:r>
      <w:r>
        <w:rPr>
          <w:rFonts w:ascii="Calibri" w:eastAsia="Calibri" w:hAnsi="Calibri" w:cs="Calibri"/>
        </w:rPr>
        <w:lastRenderedPageBreak/>
        <w:t>inflate variance estimates and that the covariate specification did not substantially affect block-level R² decomposition.</w:t>
      </w:r>
    </w:p>
    <w:p w14:paraId="26A87D49" w14:textId="77777777" w:rsidR="00BF0CFF" w:rsidRDefault="00000000">
      <w:pPr>
        <w:spacing w:after="160" w:line="480" w:lineRule="auto"/>
        <w:rPr>
          <w:rFonts w:ascii="Calibri" w:eastAsia="Calibri" w:hAnsi="Calibri" w:cs="Calibri"/>
        </w:rPr>
      </w:pPr>
      <w:r>
        <w:rPr>
          <w:rFonts w:ascii="Calibri" w:eastAsia="Calibri" w:hAnsi="Calibri" w:cs="Calibri"/>
        </w:rPr>
        <w:t>Statistical significance of each ΔR² was assessed via permutation testing (20,000 permutations), in which the outcome vector was randomly shuffled while preserving all predictor structures, yielding an empirical null distribution against which each observed ΔR² was compared using a one-sided test. The same permutation indices were applied across both approaches within each replicate to enable direct comparison. All ΔR² values reflect block-level explanatory capacity across all features within each block simultaneously and should not be interpreted as effect sizes of individual predictors or as implying orthogonality at the species or variant level.</w:t>
      </w:r>
    </w:p>
    <w:p w14:paraId="28DB1F0E" w14:textId="77777777" w:rsidR="00BF0CFF" w:rsidRDefault="00000000">
      <w:pPr>
        <w:spacing w:after="160" w:line="480" w:lineRule="auto"/>
        <w:rPr>
          <w:rFonts w:ascii="Calibri" w:eastAsia="Calibri" w:hAnsi="Calibri" w:cs="Calibri"/>
        </w:rPr>
      </w:pPr>
      <w:r>
        <w:rPr>
          <w:rFonts w:ascii="Calibri" w:eastAsia="Calibri" w:hAnsi="Calibri" w:cs="Calibri"/>
          <w:b/>
          <w:bCs/>
        </w:rPr>
        <w:t>Individual Predictor ΔR² Analysis.</w:t>
      </w:r>
      <w:r>
        <w:rPr>
          <w:rFonts w:ascii="Calibri" w:eastAsia="Calibri" w:hAnsi="Calibri" w:cs="Calibri"/>
        </w:rPr>
        <w:t xml:space="preserve"> To contextualise the block-level variance estimates, individual ΔR² values were additionally computed for each predictor separately using the same residualized approach. For each predictor, the outcome and predictor were residualized against the block-appropriate covariate set, and ΔR² was computed as R²(M1) − R²(M0) where M1 contains the intercept and single residualized predictor, and M0 is intercept only. Statistical significance was assessed via permutation testing (20,000 permutations) using a one-sided test, consistent with the block-level analysis. Individual lipid class scores were tested in the lipidomics subsample; individual PRS were tested in the PRS sample.</w:t>
      </w:r>
    </w:p>
    <w:p w14:paraId="79432523" w14:textId="77777777" w:rsidR="00BF0CFF" w:rsidRDefault="00000000">
      <w:pPr>
        <w:pStyle w:val="Heading3"/>
        <w:spacing w:line="480" w:lineRule="auto"/>
        <w:rPr>
          <w:rFonts w:ascii="Calibri" w:eastAsia="Calibri" w:hAnsi="Calibri" w:cs="Calibri"/>
        </w:rPr>
      </w:pPr>
      <w:r>
        <w:rPr>
          <w:rFonts w:ascii="Calibri" w:eastAsia="Calibri" w:hAnsi="Calibri" w:cs="Calibri"/>
        </w:rPr>
        <w:t>Mediation Analysis</w:t>
      </w:r>
    </w:p>
    <w:p w14:paraId="1FF4B3BE" w14:textId="77777777" w:rsidR="00BF0CFF" w:rsidRDefault="00000000">
      <w:pPr>
        <w:spacing w:line="480" w:lineRule="auto"/>
        <w:rPr>
          <w:rFonts w:ascii="Calibri" w:eastAsia="Calibri" w:hAnsi="Calibri" w:cs="Calibri"/>
        </w:rPr>
      </w:pPr>
      <w:r>
        <w:rPr>
          <w:rFonts w:ascii="Calibri" w:eastAsia="Calibri" w:hAnsi="Calibri" w:cs="Calibri"/>
        </w:rPr>
        <w:t xml:space="preserve">To test whether lipid class alterations statistically mediated the association between polygenic liability and severe psychosis probability, we performed linear mediation analyses in the subsample with available lipidomics and genotyping data (n=428). Separate mediation models </w:t>
      </w:r>
      <w:r>
        <w:rPr>
          <w:rFonts w:ascii="Calibri" w:eastAsia="Calibri" w:hAnsi="Calibri" w:cs="Calibri"/>
        </w:rPr>
        <w:lastRenderedPageBreak/>
        <w:t>were run for each statistically significant PRS (SCZ-PRS, BD-PRS, EA-PRS) as the independent variable (X), crossed with each significantly enriched lipid class from the primary enrichment analysis as the mediator (M), yielding 24 models in total (3 PRS × 8 lipid classes). Severe psychosis subtype probability served as the outcome (Y) throughout.</w:t>
      </w:r>
    </w:p>
    <w:p w14:paraId="09A03573" w14:textId="77777777" w:rsidR="00BF0CFF" w:rsidRDefault="00000000">
      <w:pPr>
        <w:spacing w:line="480" w:lineRule="auto"/>
        <w:rPr>
          <w:rFonts w:ascii="Calibri" w:eastAsia="Calibri" w:hAnsi="Calibri" w:cs="Calibri"/>
        </w:rPr>
      </w:pPr>
      <w:r>
        <w:rPr>
          <w:rFonts w:ascii="Calibri" w:eastAsia="Calibri" w:hAnsi="Calibri" w:cs="Calibri"/>
        </w:rPr>
        <w:t>Prior to analysis, PRS were residualized against age, sex, and the first five ancestry principal components, consistent with the primary PRS models. Lipid class scores were entered as raw mediators rather than pre-residualized variables; age, sex, BMI, duration of illness, and smoking status were instead passed as explicit covariates to the mediation function, ensuring appropriate adjustment of both the b-path (M→Y) and c'-path (X→Y) for lipid-specific confounders. This specification avoids the conflation of mediator and outcome covariate adjustment that arises when the mediator is pre-residualized before entering the model.</w:t>
      </w:r>
    </w:p>
    <w:p w14:paraId="622F43CF" w14:textId="4E6B2461" w:rsidR="00BF0CFF" w:rsidRDefault="00000000">
      <w:pPr>
        <w:spacing w:line="480" w:lineRule="auto"/>
        <w:rPr>
          <w:rFonts w:ascii="Calibri" w:eastAsia="Calibri" w:hAnsi="Calibri" w:cs="Calibri"/>
        </w:rPr>
      </w:pPr>
      <w:r>
        <w:rPr>
          <w:rFonts w:ascii="Calibri" w:eastAsia="Calibri" w:hAnsi="Calibri" w:cs="Calibri"/>
        </w:rPr>
        <w:t xml:space="preserve">Models were estimated with ordinary least squares using pingouin v0.5.5 (Vallat, 2018), yielding estimates of the total effect (c-path; X→Y), direct effect (c'-path; X→Y controlling for M), and indirect effect (a×b; X→M→Y). Confidence intervals and p-values for indirect effects were obtained via non-parametric bootstrapping with 5,000 resamples (α=0.05). Results for all 24 models are reported in </w:t>
      </w:r>
      <w:r w:rsidRPr="00936011">
        <w:rPr>
          <w:rFonts w:ascii="Calibri" w:eastAsia="Calibri" w:hAnsi="Calibri" w:cs="Calibri"/>
          <w:b/>
          <w:bCs/>
        </w:rPr>
        <w:t xml:space="preserve">Supplementary Table </w:t>
      </w:r>
      <w:r w:rsidR="00936011" w:rsidRPr="00936011">
        <w:rPr>
          <w:rFonts w:ascii="Calibri" w:eastAsia="Calibri" w:hAnsi="Calibri" w:cs="Calibri"/>
          <w:b/>
          <w:bCs/>
          <w:lang w:val="en-US"/>
        </w:rPr>
        <w:t>34</w:t>
      </w:r>
      <w:r>
        <w:rPr>
          <w:rFonts w:ascii="Calibri" w:eastAsia="Calibri" w:hAnsi="Calibri" w:cs="Calibri"/>
        </w:rPr>
        <w:t xml:space="preserve"> and </w:t>
      </w:r>
      <w:r w:rsidR="007E53A0" w:rsidRPr="007E53A0">
        <w:rPr>
          <w:rFonts w:ascii="Calibri" w:eastAsia="Calibri" w:hAnsi="Calibri" w:cs="Calibri"/>
          <w:b/>
          <w:bCs/>
          <w:lang w:val="en-US"/>
        </w:rPr>
        <w:t>Supplementary</w:t>
      </w:r>
      <w:r w:rsidR="007E53A0">
        <w:rPr>
          <w:rFonts w:ascii="Calibri" w:eastAsia="Calibri" w:hAnsi="Calibri" w:cs="Calibri"/>
          <w:lang w:val="en-US"/>
        </w:rPr>
        <w:t xml:space="preserve"> </w:t>
      </w:r>
      <w:r w:rsidRPr="00936011">
        <w:rPr>
          <w:rFonts w:ascii="Calibri" w:eastAsia="Calibri" w:hAnsi="Calibri" w:cs="Calibri"/>
          <w:b/>
          <w:bCs/>
        </w:rPr>
        <w:t xml:space="preserve">Figure </w:t>
      </w:r>
      <w:r w:rsidR="00936011" w:rsidRPr="00936011">
        <w:rPr>
          <w:rFonts w:ascii="Calibri" w:eastAsia="Calibri" w:hAnsi="Calibri" w:cs="Calibri"/>
          <w:b/>
          <w:bCs/>
          <w:lang w:val="en-US"/>
        </w:rPr>
        <w:t>S11</w:t>
      </w:r>
      <w:r>
        <w:rPr>
          <w:rFonts w:ascii="Calibri" w:eastAsia="Calibri" w:hAnsi="Calibri" w:cs="Calibri"/>
        </w:rPr>
        <w:t xml:space="preserve">. </w:t>
      </w:r>
    </w:p>
    <w:p w14:paraId="4A493D88" w14:textId="77777777" w:rsidR="00BF0CFF" w:rsidRDefault="00000000">
      <w:pPr>
        <w:pStyle w:val="Heading3"/>
        <w:spacing w:line="480" w:lineRule="auto"/>
        <w:rPr>
          <w:rFonts w:ascii="Calibri" w:eastAsia="Calibri" w:hAnsi="Calibri" w:cs="Calibri"/>
        </w:rPr>
      </w:pPr>
      <w:r>
        <w:rPr>
          <w:rFonts w:ascii="Calibri" w:eastAsia="Calibri" w:hAnsi="Calibri" w:cs="Calibri"/>
        </w:rPr>
        <w:t>Canonical Correlation Analysis</w:t>
      </w:r>
    </w:p>
    <w:p w14:paraId="76CA625E" w14:textId="77777777" w:rsidR="00BF0CFF" w:rsidRDefault="00000000">
      <w:pPr>
        <w:spacing w:after="160" w:line="480" w:lineRule="auto"/>
        <w:rPr>
          <w:rFonts w:ascii="Calibri" w:eastAsia="Calibri" w:hAnsi="Calibri" w:cs="Calibri"/>
        </w:rPr>
      </w:pPr>
      <w:r>
        <w:rPr>
          <w:rFonts w:ascii="Calibri" w:eastAsia="Calibri" w:hAnsi="Calibri" w:cs="Calibri"/>
        </w:rPr>
        <w:t xml:space="preserve">Canonical correlation analysis (CCA) identifies linear combinations of variables from two multivariate domains that exhibit maximal mutual correlation, revealing axes of coordinated variation between domains that may not be apparent from univariate analyses. We applied CCA to test for shared axes of variation between the full PRS battery and the lipidomic profile in the joint analysis subsample. </w:t>
      </w:r>
    </w:p>
    <w:p w14:paraId="4D2CB9CB" w14:textId="77777777" w:rsidR="00BF0CFF" w:rsidRDefault="00000000">
      <w:pPr>
        <w:spacing w:after="160" w:line="480" w:lineRule="auto"/>
        <w:rPr>
          <w:rFonts w:ascii="Calibri" w:eastAsia="Calibri" w:hAnsi="Calibri" w:cs="Calibri"/>
        </w:rPr>
      </w:pPr>
      <w:r>
        <w:rPr>
          <w:rFonts w:ascii="Calibri" w:eastAsia="Calibri" w:hAnsi="Calibri" w:cs="Calibri"/>
        </w:rPr>
        <w:lastRenderedPageBreak/>
        <w:t>All 14 PRS and all 16 lipid class scores were residualized separately for the covariates of their respective primary models (as described above). All features were z-standardized prior to CCA. We fitted a single-component CCA (1 canonical variate pair) using scikit-learn, capturing the dominant axis of shared variation. The first canonical correlation was assessed for statistical significance via permutation testing (10,000 permutations) in which the lipid block was randomly shuffled while the PRS block and outcome were held fixed.</w:t>
      </w:r>
    </w:p>
    <w:p w14:paraId="47E06E26" w14:textId="77777777" w:rsidR="00BF0CFF" w:rsidRDefault="00000000">
      <w:pPr>
        <w:spacing w:after="160" w:line="480" w:lineRule="auto"/>
        <w:rPr>
          <w:rFonts w:ascii="Calibri" w:eastAsia="Calibri" w:hAnsi="Calibri" w:cs="Calibri"/>
        </w:rPr>
      </w:pPr>
      <w:r>
        <w:rPr>
          <w:rFonts w:ascii="Calibri" w:eastAsia="Calibri" w:hAnsi="Calibri" w:cs="Calibri"/>
        </w:rPr>
        <w:t xml:space="preserve">The resulting PRS canonical score and lipid canonical score were then each tested for association with severe psychosis subtype probability using HC3-robust OLS regression, with statistical significance assessed via permutation testing (20,000 outcome permutations). </w:t>
      </w:r>
    </w:p>
    <w:p w14:paraId="07EE73A3" w14:textId="77777777" w:rsidR="00BF0CFF" w:rsidRDefault="00BF0CFF">
      <w:pPr>
        <w:spacing w:after="160" w:line="480" w:lineRule="auto"/>
        <w:rPr>
          <w:rFonts w:ascii="Calibri" w:eastAsia="Calibri" w:hAnsi="Calibri" w:cs="Calibri"/>
        </w:rPr>
      </w:pPr>
    </w:p>
    <w:p w14:paraId="61D6E0CC" w14:textId="77777777" w:rsidR="00BF0CFF" w:rsidRDefault="00000000">
      <w:pPr>
        <w:spacing w:after="160" w:line="480" w:lineRule="auto"/>
        <w:rPr>
          <w:rFonts w:ascii="Calibri" w:eastAsia="Calibri" w:hAnsi="Calibri" w:cs="Calibri"/>
        </w:rPr>
      </w:pPr>
      <w:r>
        <w:rPr>
          <w:rFonts w:ascii="Calibri" w:eastAsia="Calibri" w:hAnsi="Calibri" w:cs="Calibri"/>
        </w:rPr>
        <w:t>All analyses were performed in Python 3.12 with the following packages: NumPy (v2.3.0), pandas (v2.3.0), scikit-learn (v1.7.0), statsmodels (v0.14.4), SciPy (v1.15.2), pingouin (v0.5.5), matplotlib (v3.10.3), and seaborn (v0.13.2). Analysis code is publicly available at https://github.com/anthano/psycourse.</w:t>
      </w:r>
    </w:p>
    <w:p w14:paraId="0B7ACEE0" w14:textId="77777777" w:rsidR="00BF0CFF" w:rsidRDefault="00000000">
      <w:pPr>
        <w:spacing w:line="480" w:lineRule="auto"/>
        <w:rPr>
          <w:rFonts w:ascii="Calibri" w:eastAsia="Calibri" w:hAnsi="Calibri" w:cs="Calibri"/>
          <w:b/>
          <w:bCs/>
          <w:color w:val="2E4057"/>
          <w:sz w:val="28"/>
          <w:szCs w:val="28"/>
        </w:rPr>
      </w:pPr>
      <w:r>
        <w:br w:type="page"/>
      </w:r>
    </w:p>
    <w:p w14:paraId="015F15E9" w14:textId="77777777" w:rsidR="00BF0CFF" w:rsidRDefault="00000000">
      <w:pPr>
        <w:pStyle w:val="Heading1"/>
        <w:spacing w:line="480" w:lineRule="auto"/>
        <w:rPr>
          <w:rFonts w:ascii="Calibri" w:eastAsia="Calibri" w:hAnsi="Calibri" w:cs="Calibri"/>
        </w:rPr>
      </w:pPr>
      <w:r>
        <w:rPr>
          <w:rFonts w:ascii="Calibri" w:eastAsia="Calibri" w:hAnsi="Calibri" w:cs="Calibri"/>
        </w:rPr>
        <w:lastRenderedPageBreak/>
        <w:t>Supplementary Results</w:t>
      </w:r>
    </w:p>
    <w:p w14:paraId="37D83767" w14:textId="77777777" w:rsidR="00BF0CFF" w:rsidRDefault="00000000">
      <w:pPr>
        <w:pStyle w:val="Heading2"/>
        <w:spacing w:line="480" w:lineRule="auto"/>
        <w:rPr>
          <w:rFonts w:ascii="Calibri" w:eastAsia="Calibri" w:hAnsi="Calibri" w:cs="Calibri"/>
        </w:rPr>
      </w:pPr>
      <w:bookmarkStart w:id="0" w:name="_heading=h.d4np7w6eac7x" w:colFirst="0" w:colLast="0"/>
      <w:bookmarkEnd w:id="0"/>
      <w:r>
        <w:rPr>
          <w:rFonts w:ascii="Calibri" w:eastAsia="Calibri" w:hAnsi="Calibri" w:cs="Calibri"/>
        </w:rPr>
        <w:t xml:space="preserve">Lipid Class Enrichment After Adjustment for each Medication Class </w:t>
      </w:r>
    </w:p>
    <w:p w14:paraId="7CD24740" w14:textId="6EC4E212" w:rsidR="00BF0CFF" w:rsidRPr="00936011" w:rsidRDefault="00000000">
      <w:pPr>
        <w:spacing w:before="240" w:after="240" w:line="480" w:lineRule="auto"/>
        <w:rPr>
          <w:rFonts w:ascii="Calibri" w:eastAsia="Calibri" w:hAnsi="Calibri" w:cs="Calibri"/>
        </w:rPr>
      </w:pPr>
      <w:r>
        <w:rPr>
          <w:rFonts w:ascii="Calibri" w:eastAsia="Calibri" w:hAnsi="Calibri" w:cs="Calibri"/>
        </w:rPr>
        <w:t>To assess whether the primary lipidomic enrichment signal was confounded by concurrent psychotropic medication, the primary enrichment analysis was repeated with additional covariate adjustment for each medication class in turn (antipsychotics, antidepressants, mood stabilizers, and tranquilizers</w:t>
      </w:r>
      <w:r w:rsidRPr="00936011">
        <w:rPr>
          <w:rFonts w:ascii="Calibri" w:eastAsia="Calibri" w:hAnsi="Calibri" w:cs="Calibri"/>
        </w:rPr>
        <w:t xml:space="preserve">). Results are summarised below and in </w:t>
      </w:r>
      <w:r w:rsidRPr="00936011">
        <w:rPr>
          <w:rFonts w:ascii="Calibri" w:eastAsia="Calibri" w:hAnsi="Calibri" w:cs="Calibri"/>
          <w:b/>
          <w:bCs/>
        </w:rPr>
        <w:t xml:space="preserve">Supplementary Table </w:t>
      </w:r>
      <w:r w:rsidR="00936011" w:rsidRPr="00EC259F">
        <w:rPr>
          <w:rFonts w:ascii="Calibri" w:eastAsia="Calibri" w:hAnsi="Calibri" w:cs="Calibri"/>
          <w:b/>
          <w:bCs/>
          <w:lang w:val="en-US"/>
        </w:rPr>
        <w:t>22-25</w:t>
      </w:r>
      <w:r w:rsidRPr="00936011">
        <w:rPr>
          <w:rFonts w:ascii="Calibri" w:eastAsia="Calibri" w:hAnsi="Calibri" w:cs="Calibri"/>
        </w:rPr>
        <w:t>.</w:t>
      </w:r>
    </w:p>
    <w:p w14:paraId="2A046FF1"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 xml:space="preserve">Adjustment for Antipsychotics. </w:t>
      </w:r>
      <w:r>
        <w:rPr>
          <w:rFonts w:ascii="Calibri" w:eastAsia="Calibri" w:hAnsi="Calibri" w:cs="Calibri"/>
        </w:rPr>
        <w:t>Nine lipid classes remained significantly enriched (q&lt;0.05) following adjustment for antipsychotic use. Positive enrichment was retained for PC (NES=+1.40, q=0.001), dSM (NES=+1.54, q=0.001), PC-O (NES=+1.79, q=0.004), TAG (NES=+1.11, q=0.004), dCer (NES=+1.34, q=0.004), PE-P (NES=+1.54, q=0.011), and PE (NES=+1.22, q=0.019). PC-P (NES=−1.83, q=0.001) and LPE (NES=−1.11, q=0.012) showed negative enrichment. CE showed borderline enrichment (NES=+1.51, q=0.056).</w:t>
      </w:r>
    </w:p>
    <w:p w14:paraId="0747369D"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 xml:space="preserve">Adjustment for Antidepressants. </w:t>
      </w:r>
      <w:r>
        <w:rPr>
          <w:rFonts w:ascii="Calibri" w:eastAsia="Calibri" w:hAnsi="Calibri" w:cs="Calibri"/>
        </w:rPr>
        <w:t>Eight lipid classes remained significantly enriched (q&lt;0.05) following adjustment for antidepressant use. Positive enrichment was observed for PC (NES=+2.52, q=0.001), TAG (NES=+1.11, q=0.001), dSM (NES=+1.84, q=0.001), PE-P (NES=+1.75, q=0.006), dCer (NES=+1.24, q=0.007), CE (NES=+1.59, q=0.023), and PE (NES=+1.13, q=0.036). PC-P showed negative enrichment (NES=−1.39, q=0.001). FA showed borderline positive enrichment (NES=+1.39, q=0.054).</w:t>
      </w:r>
    </w:p>
    <w:p w14:paraId="5206D224" w14:textId="77777777" w:rsidR="00BF0CFF" w:rsidRDefault="00000000">
      <w:pPr>
        <w:spacing w:before="240" w:after="240" w:line="480" w:lineRule="auto"/>
        <w:rPr>
          <w:rFonts w:ascii="Calibri" w:eastAsia="Calibri" w:hAnsi="Calibri" w:cs="Calibri"/>
        </w:rPr>
      </w:pPr>
      <w:r>
        <w:rPr>
          <w:rFonts w:ascii="Calibri" w:eastAsia="Calibri" w:hAnsi="Calibri" w:cs="Calibri"/>
          <w:b/>
          <w:bCs/>
        </w:rPr>
        <w:lastRenderedPageBreak/>
        <w:t>Adjustment for Mood Stabilizers.</w:t>
      </w:r>
      <w:r>
        <w:rPr>
          <w:rFonts w:ascii="Calibri" w:eastAsia="Calibri" w:hAnsi="Calibri" w:cs="Calibri"/>
        </w:rPr>
        <w:t xml:space="preserve"> Nine lipid classes remained significantly enriched (q&lt;0.05) following adjustment for mood stabilizer use. Positive enrichment was observed for PC (NES=+2.27, q=0.001), TAG (NES=+1.16, q=0.001), dSM (NES=+1.50, q=0.001), PE-P (NES=+1.79, q=0.009), and CE (NES=+1.59, q=0.042). Negative enrichment was observed for PC-O (NES=−1.65, q=0.007), PC-P (NES=−1.34, q=0.009), LPC-O (NES=−1.28, q=0.021), and LPE (NES=−1.16, q=0.031). Notably, PC-O reversed direction compared to the primary model (positive enrichment in the unadjusted model), suggesting a potential interaction between ether-linked phosphatidylcholines and mood stabilizer use.</w:t>
      </w:r>
    </w:p>
    <w:p w14:paraId="6AB89641"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Adjustment for Tranquilizers.</w:t>
      </w:r>
      <w:r>
        <w:rPr>
          <w:rFonts w:ascii="Calibri" w:eastAsia="Calibri" w:hAnsi="Calibri" w:cs="Calibri"/>
        </w:rPr>
        <w:t xml:space="preserve"> Nine lipid classes remained significantly enriched (q&lt;0.05) following adjustment for tranquilizer use. Positive enrichment was observed for PC (NES=+2.34, q=0.001), TAG (NES=+1.09, q=0.001), dSM (NES=+1.58, q=0.001), dCer (NES=+1.29, q=0.008), CE (NES=+1.76, q=0.015), PE-P (NES=+1.50, q=0.018), PE (NES=+1.15, q=0.036), and DAG (NES=+1.40, q=0.048). PC-P showed negative enrichment (NES=−1.46, q=0.001).</w:t>
      </w:r>
    </w:p>
    <w:p w14:paraId="46691A06"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Consistency across medication adjustments.</w:t>
      </w:r>
      <w:r>
        <w:rPr>
          <w:rFonts w:ascii="Calibri" w:eastAsia="Calibri" w:hAnsi="Calibri" w:cs="Calibri"/>
        </w:rPr>
        <w:t xml:space="preserve"> The core lipidomic signal showed robust stability across all four medication-adjusted models. PC (positive enrichment), PC-P (negative enrichment), dSM (positive enrichment), TAG (positive enrichment), and PE-P (positive enrichment) reached significance in all four models, closely mirroring the primary unadjusted results. dCer and CE were significant in three of four models. The principal exception was the mood stabilizer-adjusted model, in which PC-O reversed to negative enrichment (NES=−1.65, q=0.007), which was not observed in any other medication-adjusted model. Together, these </w:t>
      </w:r>
      <w:r>
        <w:rPr>
          <w:rFonts w:ascii="Calibri" w:eastAsia="Calibri" w:hAnsi="Calibri" w:cs="Calibri"/>
        </w:rPr>
        <w:lastRenderedPageBreak/>
        <w:t>results indicate that the primary lipidomic enrichment signal is not attributable to psychotropic medication use.</w:t>
      </w:r>
    </w:p>
    <w:p w14:paraId="49182CEC" w14:textId="77777777" w:rsidR="00BF0CFF" w:rsidRDefault="00000000">
      <w:pPr>
        <w:pStyle w:val="Heading2"/>
        <w:spacing w:line="480" w:lineRule="auto"/>
        <w:rPr>
          <w:rFonts w:ascii="Calibri" w:eastAsia="Calibri" w:hAnsi="Calibri" w:cs="Calibri"/>
        </w:rPr>
      </w:pPr>
      <w:bookmarkStart w:id="1" w:name="_heading=h.m55185kin4lb" w:colFirst="0" w:colLast="0"/>
      <w:bookmarkEnd w:id="1"/>
      <w:r>
        <w:rPr>
          <w:rFonts w:ascii="Calibri" w:eastAsia="Calibri" w:hAnsi="Calibri" w:cs="Calibri"/>
        </w:rPr>
        <w:t>Lipid Class Enrichment After Adjustment for PANSS Subscales</w:t>
      </w:r>
    </w:p>
    <w:p w14:paraId="3F804448" w14:textId="01BD7A0D" w:rsidR="00BF0CFF" w:rsidRDefault="00000000">
      <w:pPr>
        <w:spacing w:after="160" w:line="480" w:lineRule="auto"/>
        <w:rPr>
          <w:rFonts w:ascii="Calibri" w:eastAsia="Calibri" w:hAnsi="Calibri" w:cs="Calibri"/>
          <w:highlight w:val="green"/>
        </w:rPr>
      </w:pPr>
      <w:r>
        <w:rPr>
          <w:rFonts w:ascii="Calibri" w:eastAsia="Calibri" w:hAnsi="Calibri" w:cs="Calibri"/>
        </w:rPr>
        <w:t xml:space="preserve">To assess whether primary lipid class enrichment findings were attributable to individual psychotic or deficit symptom dimensions, we repeated the primary enrichment analysis, retaining severe psychosis subtype probability as the outcome, with each PANSS subscale added as an additional covariate in turn. As above, these analyses decompose the lipid-severity association across symptom dimensions rather than removing confounding. Complete sensitivity results for each adjustment are reported in </w:t>
      </w:r>
      <w:r w:rsidRPr="00CF3091">
        <w:rPr>
          <w:rFonts w:ascii="Calibri" w:eastAsia="Calibri" w:hAnsi="Calibri" w:cs="Calibri"/>
          <w:b/>
          <w:bCs/>
        </w:rPr>
        <w:t xml:space="preserve">Supplementary Tables </w:t>
      </w:r>
      <w:r w:rsidR="00CF3091" w:rsidRPr="00CF3091">
        <w:rPr>
          <w:rFonts w:ascii="Calibri" w:eastAsia="Calibri" w:hAnsi="Calibri" w:cs="Calibri"/>
          <w:b/>
          <w:bCs/>
          <w:lang w:val="en-US"/>
        </w:rPr>
        <w:t>18</w:t>
      </w:r>
      <w:r w:rsidRPr="00CF3091">
        <w:rPr>
          <w:rFonts w:ascii="Calibri" w:eastAsia="Calibri" w:hAnsi="Calibri" w:cs="Calibri"/>
          <w:b/>
          <w:bCs/>
        </w:rPr>
        <w:t>-</w:t>
      </w:r>
      <w:r w:rsidR="00CF3091" w:rsidRPr="00CF3091">
        <w:rPr>
          <w:rFonts w:ascii="Calibri" w:eastAsia="Calibri" w:hAnsi="Calibri" w:cs="Calibri"/>
          <w:b/>
          <w:bCs/>
          <w:lang w:val="en-US"/>
        </w:rPr>
        <w:t>21</w:t>
      </w:r>
      <w:r w:rsidRPr="00CF3091">
        <w:rPr>
          <w:rFonts w:ascii="Calibri" w:eastAsia="Calibri" w:hAnsi="Calibri" w:cs="Calibri"/>
        </w:rPr>
        <w:t>.</w:t>
      </w:r>
    </w:p>
    <w:p w14:paraId="36C8633C" w14:textId="77777777" w:rsidR="00BF0CFF" w:rsidRDefault="00000000">
      <w:pPr>
        <w:spacing w:after="160" w:line="480" w:lineRule="auto"/>
        <w:rPr>
          <w:rFonts w:ascii="Calibri" w:eastAsia="Calibri" w:hAnsi="Calibri" w:cs="Calibri"/>
        </w:rPr>
      </w:pPr>
      <w:r>
        <w:rPr>
          <w:rFonts w:ascii="Calibri" w:eastAsia="Calibri" w:hAnsi="Calibri" w:cs="Calibri"/>
          <w:b/>
          <w:bCs/>
        </w:rPr>
        <w:t xml:space="preserve">After PANSS positive adjustment. </w:t>
      </w:r>
      <w:r>
        <w:rPr>
          <w:rFonts w:ascii="Calibri" w:eastAsia="Calibri" w:hAnsi="Calibri" w:cs="Calibri"/>
        </w:rPr>
        <w:t>Five of the eight primary enriched classes remained significant (q&lt;0.05): PC (NES=2.170, q=0.001), TAG (NES=1.403, q=0.001), dSM (NES=1.639, q=0.001), PC-P (NES=−1.501, q=0.006), and FA (NES=1.268, q=0.021). Three primary classes — PE-P, PE, and CE — did not survive FDR correction after PANSS positive adjustment, suggesting partial overlap between positive symptom severity and these enrichment signals. PC-O, which reversed direction in the diagnosis- and medication-adjusted models, also did not survive, consistent with its instability across sensitivity models.</w:t>
      </w:r>
    </w:p>
    <w:p w14:paraId="4093CFE9" w14:textId="77777777" w:rsidR="00BF0CFF" w:rsidRDefault="00000000">
      <w:pPr>
        <w:spacing w:after="160" w:line="480" w:lineRule="auto"/>
        <w:rPr>
          <w:rFonts w:ascii="Calibri" w:eastAsia="Calibri" w:hAnsi="Calibri" w:cs="Calibri"/>
        </w:rPr>
      </w:pPr>
      <w:r>
        <w:rPr>
          <w:rFonts w:ascii="Calibri" w:eastAsia="Calibri" w:hAnsi="Calibri" w:cs="Calibri"/>
          <w:b/>
          <w:bCs/>
        </w:rPr>
        <w:t xml:space="preserve">After PANSS negative adjustment. </w:t>
      </w:r>
      <w:r>
        <w:rPr>
          <w:rFonts w:ascii="Calibri" w:eastAsia="Calibri" w:hAnsi="Calibri" w:cs="Calibri"/>
        </w:rPr>
        <w:t xml:space="preserve">Nine classes were significant (q&lt;0.05): PC (NES=2.105, q=0.002), dSM (NES=1.707, q=0.002), PE (NES=1.253, q=0.002), PE-P (NES=1.882, q=0.002), FA (NES=1.371, q=0.012), DAG (NES=−1.236, q=0.030), LPC (NES=−1.055, q=0.030), PC-O (NES=1.296, q=0.031), and CAR (NES=−1.183, q=0.035). The re-emergence of CAR negative enrichment after PANSS negative adjustment is consistent with the PANSS negative-as-outcome </w:t>
      </w:r>
      <w:r>
        <w:rPr>
          <w:rFonts w:ascii="Calibri" w:eastAsia="Calibri" w:hAnsi="Calibri" w:cs="Calibri"/>
        </w:rPr>
        <w:lastRenderedPageBreak/>
        <w:t>analysis and suggests that acylcarnitine changes associated with negative symptoms are not fully captured by the multidimensional severity score.</w:t>
      </w:r>
    </w:p>
    <w:p w14:paraId="019BF2B1" w14:textId="77777777" w:rsidR="00BF0CFF" w:rsidRDefault="00000000">
      <w:pPr>
        <w:spacing w:after="160" w:line="480" w:lineRule="auto"/>
        <w:rPr>
          <w:rFonts w:ascii="Calibri" w:eastAsia="Calibri" w:hAnsi="Calibri" w:cs="Calibri"/>
        </w:rPr>
      </w:pPr>
      <w:r>
        <w:rPr>
          <w:rFonts w:ascii="Calibri" w:eastAsia="Calibri" w:hAnsi="Calibri" w:cs="Calibri"/>
          <w:b/>
          <w:bCs/>
        </w:rPr>
        <w:t xml:space="preserve">After PANSS general adjustment. </w:t>
      </w:r>
      <w:r>
        <w:rPr>
          <w:rFonts w:ascii="Calibri" w:eastAsia="Calibri" w:hAnsi="Calibri" w:cs="Calibri"/>
        </w:rPr>
        <w:t>Nine classes were significant (q&lt;0.05): PC (NES=2.262, q=0.001), TAG (NES=1.057, q=0.001), dSM (NES=1.578, q=0.001), PC-P (NES=−1.524, q=0.003), FA (NES=1.355, q=0.005), DAG (NES=1.454, q=0.009), CE (NES=1.608, q=0.024), dCer (NES=1.126, q=0.024), and PC-O (NES=−1.565, q=0.040). PE-P did not survive general adjustment.</w:t>
      </w:r>
    </w:p>
    <w:p w14:paraId="56BA29FF" w14:textId="77777777" w:rsidR="00BF0CFF" w:rsidRDefault="00000000">
      <w:pPr>
        <w:spacing w:after="160" w:line="480" w:lineRule="auto"/>
        <w:rPr>
          <w:rFonts w:ascii="Calibri" w:eastAsia="Calibri" w:hAnsi="Calibri" w:cs="Calibri"/>
        </w:rPr>
      </w:pPr>
      <w:r>
        <w:rPr>
          <w:rFonts w:ascii="Calibri" w:eastAsia="Calibri" w:hAnsi="Calibri" w:cs="Calibri"/>
          <w:b/>
          <w:bCs/>
        </w:rPr>
        <w:t xml:space="preserve">After PANSS total adjustment. </w:t>
      </w:r>
      <w:r>
        <w:rPr>
          <w:rFonts w:ascii="Calibri" w:eastAsia="Calibri" w:hAnsi="Calibri" w:cs="Calibri"/>
        </w:rPr>
        <w:t>Ten classes were significant (q&lt;0.05), the broadest enrichment across any sensitivity model: PC, PC-P, PE-P, TAG, dSM, LPE, dCer, PE, PC-O, and CE all survived FDR correction. This broad survival is consistent with PANSS total capturing a composite of overlapping symptom dimensions, such that no single dimension is fully decomposed.</w:t>
      </w:r>
    </w:p>
    <w:p w14:paraId="3EE9F03B" w14:textId="77777777" w:rsidR="00BF0CFF" w:rsidRDefault="00000000">
      <w:pPr>
        <w:spacing w:after="160" w:line="480" w:lineRule="auto"/>
        <w:rPr>
          <w:rFonts w:ascii="Calibri" w:eastAsia="Calibri" w:hAnsi="Calibri" w:cs="Calibri"/>
        </w:rPr>
      </w:pPr>
      <w:r>
        <w:rPr>
          <w:rFonts w:ascii="Calibri" w:eastAsia="Calibri" w:hAnsi="Calibri" w:cs="Calibri"/>
        </w:rPr>
        <w:t xml:space="preserve">Across all four PANSS sensitivity analyses, PC and dSM showed the most consistent enrichment, surviving in all four models. TAG remained significant after positive, general, and total adjustment, but dropped out after negative adjustment, suggesting partial specificity for positive and general symptom dimensions. dCer survived general and total adjustment, was borderline after negative adjustment, but was attenuated to non-significance after positive adjustment. PE-P, which was among the most robust primary findings, did not survive PANSS positive or general adjustment, indicating that a portion of the PE-P enrichment signal overlaps with positive and general symptom severity. The most pronounced attenuation occurred after PANSS positive adjustment, where the number of significant classes dropped from eight to five, </w:t>
      </w:r>
      <w:r>
        <w:rPr>
          <w:rFonts w:ascii="Calibri" w:eastAsia="Calibri" w:hAnsi="Calibri" w:cs="Calibri"/>
        </w:rPr>
        <w:lastRenderedPageBreak/>
        <w:t>consistent with partial overlap between positive symptom severity and the lipidomic signature of the severe psychosis subtype.</w:t>
      </w:r>
    </w:p>
    <w:p w14:paraId="2FB1EF83" w14:textId="77777777" w:rsidR="00BF0CFF" w:rsidRDefault="00000000">
      <w:pPr>
        <w:rPr>
          <w:rFonts w:ascii="Calibri" w:eastAsia="Calibri" w:hAnsi="Calibri" w:cs="Calibri"/>
          <w:b/>
          <w:bCs/>
          <w:color w:val="2E4057"/>
        </w:rPr>
      </w:pPr>
      <w:r>
        <w:br w:type="page"/>
      </w:r>
    </w:p>
    <w:p w14:paraId="583E3387" w14:textId="77777777" w:rsidR="00BF0CFF" w:rsidRDefault="00000000">
      <w:pPr>
        <w:pStyle w:val="Heading2"/>
        <w:spacing w:line="480" w:lineRule="auto"/>
        <w:rPr>
          <w:rFonts w:ascii="Calibri" w:eastAsia="Calibri" w:hAnsi="Calibri" w:cs="Calibri"/>
        </w:rPr>
      </w:pPr>
      <w:r>
        <w:rPr>
          <w:rFonts w:ascii="Calibri" w:eastAsia="Calibri" w:hAnsi="Calibri" w:cs="Calibri"/>
        </w:rPr>
        <w:lastRenderedPageBreak/>
        <w:t>Lipid Class Enrichment with PANSS Subscales as Outcome</w:t>
      </w:r>
    </w:p>
    <w:p w14:paraId="654BB20F" w14:textId="424611A2" w:rsidR="00BF0CFF" w:rsidRDefault="00000000">
      <w:pPr>
        <w:spacing w:before="240" w:after="240" w:line="480" w:lineRule="auto"/>
        <w:rPr>
          <w:rFonts w:ascii="Calibri" w:eastAsia="Calibri" w:hAnsi="Calibri" w:cs="Calibri"/>
          <w:highlight w:val="green"/>
        </w:rPr>
      </w:pPr>
      <w:r>
        <w:rPr>
          <w:rFonts w:ascii="Calibri" w:eastAsia="Calibri" w:hAnsi="Calibri" w:cs="Calibri"/>
        </w:rPr>
        <w:t>To examine whether the lipidomic severity signal was driven by specific symptom dimensions, enrichment analyses were repeated using each PANSS subscale (Positive, Negative, General, Total) as the primary outcome, with standard demographic and clinical covariates retained. Results are summarised below and in</w:t>
      </w:r>
      <w:r w:rsidRPr="00536930">
        <w:rPr>
          <w:rFonts w:ascii="Calibri" w:eastAsia="Calibri" w:hAnsi="Calibri" w:cs="Calibri"/>
        </w:rPr>
        <w:t xml:space="preserve"> </w:t>
      </w:r>
      <w:r w:rsidRPr="00536930">
        <w:rPr>
          <w:rFonts w:ascii="Calibri" w:eastAsia="Calibri" w:hAnsi="Calibri" w:cs="Calibri"/>
          <w:b/>
          <w:bCs/>
        </w:rPr>
        <w:t xml:space="preserve">Supplementary Table </w:t>
      </w:r>
      <w:r w:rsidR="00536930" w:rsidRPr="00EC259F">
        <w:rPr>
          <w:rFonts w:ascii="Calibri" w:eastAsia="Calibri" w:hAnsi="Calibri" w:cs="Calibri"/>
          <w:b/>
          <w:bCs/>
          <w:lang w:val="en-US"/>
        </w:rPr>
        <w:t>27</w:t>
      </w:r>
      <w:r w:rsidRPr="00536930">
        <w:rPr>
          <w:rFonts w:ascii="Calibri" w:eastAsia="Calibri" w:hAnsi="Calibri" w:cs="Calibri"/>
        </w:rPr>
        <w:t>.</w:t>
      </w:r>
    </w:p>
    <w:p w14:paraId="23FAD87F"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PANSS Positive Score.</w:t>
      </w:r>
      <w:r>
        <w:rPr>
          <w:rFonts w:ascii="Calibri" w:eastAsia="Calibri" w:hAnsi="Calibri" w:cs="Calibri"/>
        </w:rPr>
        <w:t xml:space="preserve"> Nine lipid classes were significantly enriched (q&lt;0.05). Positive enrichment was observed for PE (NES=+1.44, q=0.002), dSM (NES=+1.59, q=0.002), PE-P (NES=+1.84, q=0.002), LPE (NES=+1.30, q=0.004), dCer (NES=+1.57, q=0.006), and PC-O (NES=+1.57, q=0.018). Negative enrichment was observed for PC-P (NES=−1.52, q=0.004), LPC (NES=−1.23, q=0.039), and PC (NES=−1.53, q=0.040). TAG, CAR, CE, and DAG did not survive FDR correction (all q&gt;0.09).</w:t>
      </w:r>
    </w:p>
    <w:p w14:paraId="69503AF4"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PANSS Negative Score.</w:t>
      </w:r>
      <w:r>
        <w:rPr>
          <w:rFonts w:ascii="Calibri" w:eastAsia="Calibri" w:hAnsi="Calibri" w:cs="Calibri"/>
        </w:rPr>
        <w:t xml:space="preserve"> Six lipid classes were significantly enriched (q&lt;0.05). PC (NES=+2.30, q=0.001), dSM (NES=+2.02, q=0.001), TAG (NES=+1.13, q=0.001), and PE-P (NES=+1.42, q=0.011) showed positive enrichment. PC-P (NES=−1.39, q=0.001) and CAR (NES=−1.22, q=0.001) showed negative enrichment. PC-O, dCer, DAG, PE, and CE did not survive FDR correction (all q&gt;0.08). LPE was not significant (q=1.000).</w:t>
      </w:r>
    </w:p>
    <w:p w14:paraId="45F29308"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PANSS General Score.</w:t>
      </w:r>
      <w:r>
        <w:rPr>
          <w:rFonts w:ascii="Calibri" w:eastAsia="Calibri" w:hAnsi="Calibri" w:cs="Calibri"/>
        </w:rPr>
        <w:t xml:space="preserve"> Five lipid classes were significantly enriched (q&lt;0.05), all in the positive direction: PC-O (NES=+1.53, q=0.003), PE-P (NES=+1.64, q=0.003), PE (NES=+1.87, q=0.009), LPE (NES=+1.56, q=0.016), and dCer (NES=+1.49, q=0.025). dSM showed borderline positive </w:t>
      </w:r>
      <w:r>
        <w:rPr>
          <w:rFonts w:ascii="Calibri" w:eastAsia="Calibri" w:hAnsi="Calibri" w:cs="Calibri"/>
        </w:rPr>
        <w:lastRenderedPageBreak/>
        <w:t>enrichment (NES=+1.49, q=0.051). PC, PC-P, TAG, CE, LPC, DAG, CAR, and FA did not survive FDR correction (all q&gt;0.07).</w:t>
      </w:r>
    </w:p>
    <w:p w14:paraId="05FF856F"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PANSS Total Score.</w:t>
      </w:r>
      <w:r>
        <w:rPr>
          <w:rFonts w:ascii="Calibri" w:eastAsia="Calibri" w:hAnsi="Calibri" w:cs="Calibri"/>
        </w:rPr>
        <w:t xml:space="preserve"> Ten lipid classes were significantly enriched (q&lt;0.05). Positive enrichment was observed for dSM (NES=+2.34, q=0.001), PC (NES=+2.18, q=0.001), PE-P (NES=+1.99, q=0.001), TAG (NES=+1.49, q=0.001), PC-O (NES=+1.84, q=0.004), dCer (NES=+1.49, q=0.003), PE (NES=+1.41, q=0.003), LPE (NES=+1.28, q=0.003), and CE (NES=+1.47, q=0.031). PC-P was the sole negatively enriched class (NES=−1.35, q=0.001). CAR, DAG, LPC-O, LPC, and FA did not survive FDR correction (all q&gt;0.20).</w:t>
      </w:r>
    </w:p>
    <w:p w14:paraId="36AE998A" w14:textId="77777777" w:rsidR="00BF0CFF" w:rsidRDefault="00000000">
      <w:pPr>
        <w:spacing w:before="240" w:after="240" w:line="480" w:lineRule="auto"/>
        <w:rPr>
          <w:rFonts w:ascii="Calibri" w:eastAsia="Calibri" w:hAnsi="Calibri" w:cs="Calibri"/>
        </w:rPr>
      </w:pPr>
      <w:r>
        <w:rPr>
          <w:rFonts w:ascii="Calibri" w:eastAsia="Calibri" w:hAnsi="Calibri" w:cs="Calibri"/>
          <w:b/>
          <w:bCs/>
        </w:rPr>
        <w:t>Comparison across subscales.</w:t>
      </w:r>
      <w:r>
        <w:rPr>
          <w:rFonts w:ascii="Calibri" w:eastAsia="Calibri" w:hAnsi="Calibri" w:cs="Calibri"/>
        </w:rPr>
        <w:t xml:space="preserve"> PE-P and dSM were the most consistent findings, reaching significance across all four PANSS subscales. Enrichment breadth was greatest for PANSS Total (10 significant classes) and Positive (9 classes), intermediate for Negative (6 classes), and narrowest for General (5 classes). Several notable divergences were observed. PC showed opposing directions of enrichment between PANSS Positive (negative enrichment, NES=−1.53, q=0.040) and PANSS Negative (positive enrichment, NES=+2.30, q=0.001) and Total (positive enrichment, NES=+2.18, q=0.001), suggesting that PC associations depend on the specific symptom dimension captured by the outcome. CAR was significantly negatively enriched exclusively with PANSS Negative (NES=−1.22, q=0.001) and was non-significant for all other subscales and the multidimensional severity model (all q&gt;0.37). LPE and LPC, both significant with PANSS Positive, did not survive correction for PANSS Negative or General, suggesting these associations are specific to positive symptom variance. CE reached significance only for PANSS </w:t>
      </w:r>
      <w:r>
        <w:rPr>
          <w:rFonts w:ascii="Calibri" w:eastAsia="Calibri" w:hAnsi="Calibri" w:cs="Calibri"/>
        </w:rPr>
        <w:lastRenderedPageBreak/>
        <w:t>Total (q=0.031) and the multidimensional severity model, but not for any individual subscale, suggesting CE enrichment reflects broad severity rather than any single symptom dimension.</w:t>
      </w:r>
    </w:p>
    <w:p w14:paraId="63450F09" w14:textId="77777777" w:rsidR="00BF0CFF" w:rsidRDefault="00000000">
      <w:pPr>
        <w:pStyle w:val="Heading2"/>
        <w:spacing w:line="480" w:lineRule="auto"/>
        <w:rPr>
          <w:rFonts w:ascii="Calibri" w:eastAsia="Calibri" w:hAnsi="Calibri" w:cs="Calibri"/>
        </w:rPr>
      </w:pPr>
      <w:r>
        <w:rPr>
          <w:rFonts w:ascii="Calibri" w:eastAsia="Calibri" w:hAnsi="Calibri" w:cs="Calibri"/>
        </w:rPr>
        <w:t>Canonical Correlation Analysis</w:t>
      </w:r>
    </w:p>
    <w:p w14:paraId="6B5EA62E" w14:textId="711D2BA0" w:rsidR="00BF0CFF" w:rsidRDefault="00000000">
      <w:pPr>
        <w:spacing w:after="160" w:line="480" w:lineRule="auto"/>
        <w:rPr>
          <w:rFonts w:ascii="Calibri" w:eastAsia="Calibri" w:hAnsi="Calibri" w:cs="Calibri"/>
        </w:rPr>
      </w:pPr>
      <w:r>
        <w:rPr>
          <w:rFonts w:ascii="Calibri" w:eastAsia="Calibri" w:hAnsi="Calibri" w:cs="Calibri"/>
        </w:rPr>
        <w:t xml:space="preserve">In a post-hoc CCA between residualized PRS and lipid class profiles (1 component), the first canonical correlation was modest and non-significant by permutation testing (r=0.33, p=0.604, 10,000 permutations). Neither the PRS canonical score (b=−0.0003, p=0.978) nor the lipid canonical score (b=−0.0068, p=0.741) was associated with severe psychosis probability in subsequent HC3-robust OLS regression with permutation-based significance assessment (20,000 outcome permutations). Canonical loadings were diffuse across both blocks, with no single PRS or lipid class dominating the first canonical variate (all |loading| ≤0.40), precluding meaningful biological interpretation of the canonical solution. These results are consistent with the near-zero shared variance observed in the R² decomposition (&lt;0.3%), and should be interpreted cautiously given the limited power of CCA at this sample size and feature dimensionality. Full canonical loadings are reported in </w:t>
      </w:r>
      <w:r w:rsidRPr="009069A1">
        <w:rPr>
          <w:rFonts w:ascii="Calibri" w:eastAsia="Calibri" w:hAnsi="Calibri" w:cs="Calibri"/>
          <w:b/>
          <w:bCs/>
        </w:rPr>
        <w:t xml:space="preserve">Supplementary Table </w:t>
      </w:r>
      <w:r w:rsidR="00936011" w:rsidRPr="00EC259F">
        <w:rPr>
          <w:rFonts w:ascii="Calibri" w:eastAsia="Calibri" w:hAnsi="Calibri" w:cs="Calibri"/>
          <w:b/>
          <w:bCs/>
          <w:lang w:val="en-US"/>
        </w:rPr>
        <w:t>35</w:t>
      </w:r>
      <w:r w:rsidRPr="009069A1">
        <w:rPr>
          <w:rFonts w:ascii="Calibri" w:eastAsia="Calibri" w:hAnsi="Calibri" w:cs="Calibri"/>
        </w:rPr>
        <w:t>.</w:t>
      </w:r>
    </w:p>
    <w:p w14:paraId="291A31B7" w14:textId="77777777" w:rsidR="00BF0CFF" w:rsidRDefault="00BF0CFF">
      <w:pPr>
        <w:pStyle w:val="Heading1"/>
        <w:spacing w:line="480" w:lineRule="auto"/>
        <w:rPr>
          <w:rFonts w:ascii="Calibri" w:eastAsia="Calibri" w:hAnsi="Calibri" w:cs="Calibri"/>
        </w:rPr>
      </w:pPr>
    </w:p>
    <w:p w14:paraId="6CF20ED2" w14:textId="77777777" w:rsidR="00BF0CFF" w:rsidRDefault="00BF0CFF">
      <w:pPr>
        <w:spacing w:after="160" w:line="480" w:lineRule="auto"/>
        <w:rPr>
          <w:rFonts w:ascii="Calibri" w:eastAsia="Calibri" w:hAnsi="Calibri" w:cs="Calibri"/>
        </w:rPr>
      </w:pPr>
    </w:p>
    <w:p w14:paraId="1D2F8A39" w14:textId="77777777" w:rsidR="00BF0CFF" w:rsidRDefault="00000000">
      <w:pPr>
        <w:spacing w:line="480" w:lineRule="auto"/>
        <w:rPr>
          <w:rFonts w:ascii="Calibri" w:eastAsia="Calibri" w:hAnsi="Calibri" w:cs="Calibri"/>
          <w:b/>
          <w:bCs/>
          <w:color w:val="2E4057"/>
        </w:rPr>
      </w:pPr>
      <w:r>
        <w:br w:type="page"/>
      </w:r>
    </w:p>
    <w:p w14:paraId="43D670D1" w14:textId="755D0E6E" w:rsidR="00BF0CFF" w:rsidRDefault="00000000" w:rsidP="00EC259F">
      <w:pPr>
        <w:pStyle w:val="Heading2"/>
        <w:rPr>
          <w:rFonts w:ascii="Calibri" w:eastAsia="Calibri" w:hAnsi="Calibri" w:cs="Calibri"/>
          <w:color w:val="000000" w:themeColor="text1"/>
          <w:sz w:val="16"/>
          <w:szCs w:val="16"/>
          <w:lang w:val="en-US"/>
        </w:rPr>
      </w:pPr>
      <w:r>
        <w:rPr>
          <w:rFonts w:ascii="Calibri" w:eastAsia="Calibri" w:hAnsi="Calibri" w:cs="Calibri"/>
        </w:rPr>
        <w:lastRenderedPageBreak/>
        <w:t>Supplementary Tables</w:t>
      </w:r>
      <w:r w:rsidR="00EC259F">
        <w:rPr>
          <w:rFonts w:ascii="Calibri" w:eastAsia="Calibri" w:hAnsi="Calibri" w:cs="Calibri"/>
        </w:rPr>
        <w:br/>
      </w:r>
      <w:r w:rsidR="00EC259F">
        <w:rPr>
          <w:rFonts w:ascii="Calibri" w:eastAsia="Calibri" w:hAnsi="Calibri" w:cs="Calibri"/>
          <w:b w:val="0"/>
          <w:bCs w:val="0"/>
          <w:color w:val="000000" w:themeColor="text1"/>
          <w:sz w:val="16"/>
          <w:szCs w:val="16"/>
          <w:lang w:val="en-US"/>
        </w:rPr>
        <w:t xml:space="preserve">Note: </w:t>
      </w:r>
      <w:r w:rsidR="00EC259F" w:rsidRPr="00EC259F">
        <w:rPr>
          <w:rFonts w:ascii="Calibri" w:eastAsia="Calibri" w:hAnsi="Calibri" w:cs="Calibri"/>
          <w:b w:val="0"/>
          <w:bCs w:val="0"/>
          <w:color w:val="000000" w:themeColor="text1"/>
          <w:sz w:val="16"/>
          <w:szCs w:val="16"/>
          <w:lang w:val="en-US"/>
        </w:rPr>
        <w:t>Supplementary Tables 2 to 35 can be found in the accompanying xlsx file.</w:t>
      </w:r>
      <w:r w:rsidR="00EC259F" w:rsidRPr="00EC259F">
        <w:rPr>
          <w:rFonts w:ascii="Calibri" w:eastAsia="Calibri" w:hAnsi="Calibri" w:cs="Calibri"/>
          <w:color w:val="000000" w:themeColor="text1"/>
          <w:sz w:val="16"/>
          <w:szCs w:val="16"/>
          <w:lang w:val="en-US"/>
        </w:rPr>
        <w:t xml:space="preserve"> </w:t>
      </w:r>
    </w:p>
    <w:p w14:paraId="707B4D10" w14:textId="77777777" w:rsidR="00EC259F" w:rsidRPr="00EC259F" w:rsidRDefault="00EC259F" w:rsidP="00EC259F">
      <w:pPr>
        <w:rPr>
          <w:rFonts w:eastAsia="Calibri"/>
          <w:lang w:val="en-US"/>
        </w:rPr>
      </w:pPr>
    </w:p>
    <w:p w14:paraId="14B2E00A" w14:textId="77777777" w:rsidR="00BF0CFF" w:rsidRPr="00437920" w:rsidRDefault="00000000">
      <w:pPr>
        <w:rPr>
          <w:rFonts w:ascii="Calibri" w:eastAsia="Calibri" w:hAnsi="Calibri" w:cs="Calibri"/>
          <w:b/>
          <w:bCs/>
        </w:rPr>
      </w:pPr>
      <w:r w:rsidRPr="00437920">
        <w:rPr>
          <w:rFonts w:ascii="Calibri" w:eastAsia="Calibri" w:hAnsi="Calibri" w:cs="Calibri"/>
          <w:b/>
          <w:bCs/>
        </w:rPr>
        <w:t>Table S1. SVM Input Features</w:t>
      </w:r>
    </w:p>
    <w:p w14:paraId="2D499881" w14:textId="77777777" w:rsidR="00BF0CFF" w:rsidRPr="00437920" w:rsidRDefault="00000000" w:rsidP="00437920">
      <w:pPr>
        <w:spacing w:after="200"/>
        <w:rPr>
          <w:rFonts w:ascii="Calibri" w:eastAsia="Calibri" w:hAnsi="Calibri" w:cs="Calibri"/>
          <w:color w:val="000000" w:themeColor="text1"/>
        </w:rPr>
      </w:pPr>
      <w:r w:rsidRPr="00437920">
        <w:rPr>
          <w:rFonts w:ascii="Calibri" w:eastAsia="Calibri" w:hAnsi="Calibri" w:cs="Calibri"/>
          <w:color w:val="000000" w:themeColor="text1"/>
          <w:sz w:val="18"/>
          <w:szCs w:val="18"/>
        </w:rPr>
        <w:t>Features used to train the support vector machine (SVM) classifier replicating the severe psychosis subtype (cluster 5) from Dwyer et al. (2020). Variables were selected based on the sparse variable set used in the original clustering study. PANSS = Positive and Negative Syndrome Scale; IDSC = Inventory of Depressive Symptomatology Clinician-rated; WHOQOL-BREF = World Health Organization Quality of Life instrument, abbreviated version.</w:t>
      </w:r>
    </w:p>
    <w:tbl>
      <w:tblPr>
        <w:tblStyle w:val="a0"/>
        <w:tblW w:w="8642"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600"/>
        <w:gridCol w:w="3200"/>
        <w:gridCol w:w="4842"/>
      </w:tblGrid>
      <w:tr w:rsidR="00BF0CFF" w14:paraId="22551EFF" w14:textId="77777777">
        <w:tc>
          <w:tcPr>
            <w:tcW w:w="600" w:type="dxa"/>
          </w:tcPr>
          <w:p w14:paraId="7B6C6187" w14:textId="77777777" w:rsidR="00BF0CFF" w:rsidRDefault="00BF0CFF">
            <w:pPr>
              <w:spacing w:line="480" w:lineRule="auto"/>
              <w:rPr>
                <w:rFonts w:ascii="Calibri" w:eastAsia="Calibri" w:hAnsi="Calibri" w:cs="Calibri"/>
                <w:color w:val="000000"/>
              </w:rPr>
            </w:pPr>
          </w:p>
        </w:tc>
        <w:tc>
          <w:tcPr>
            <w:tcW w:w="3200" w:type="dxa"/>
          </w:tcPr>
          <w:p w14:paraId="07E681FD" w14:textId="77777777" w:rsidR="00BF0CFF" w:rsidRDefault="00000000">
            <w:pPr>
              <w:spacing w:line="480" w:lineRule="auto"/>
              <w:rPr>
                <w:rFonts w:ascii="Calibri" w:eastAsia="Calibri" w:hAnsi="Calibri" w:cs="Calibri"/>
                <w:color w:val="000000"/>
              </w:rPr>
            </w:pPr>
            <w:r>
              <w:rPr>
                <w:rFonts w:ascii="Calibri" w:eastAsia="Calibri" w:hAnsi="Calibri" w:cs="Calibri"/>
                <w:b/>
                <w:bCs/>
                <w:color w:val="000000"/>
                <w:sz w:val="20"/>
                <w:szCs w:val="20"/>
              </w:rPr>
              <w:t>Variable Name</w:t>
            </w:r>
          </w:p>
        </w:tc>
        <w:tc>
          <w:tcPr>
            <w:tcW w:w="4842" w:type="dxa"/>
          </w:tcPr>
          <w:p w14:paraId="311589D3" w14:textId="77777777" w:rsidR="00BF0CFF" w:rsidRDefault="00000000">
            <w:pPr>
              <w:spacing w:line="480" w:lineRule="auto"/>
              <w:rPr>
                <w:rFonts w:ascii="Calibri" w:eastAsia="Calibri" w:hAnsi="Calibri" w:cs="Calibri"/>
                <w:color w:val="000000"/>
              </w:rPr>
            </w:pPr>
            <w:r>
              <w:rPr>
                <w:rFonts w:ascii="Calibri" w:eastAsia="Calibri" w:hAnsi="Calibri" w:cs="Calibri"/>
                <w:b/>
                <w:bCs/>
                <w:color w:val="000000"/>
                <w:sz w:val="20"/>
                <w:szCs w:val="20"/>
              </w:rPr>
              <w:t>Description</w:t>
            </w:r>
          </w:p>
        </w:tc>
      </w:tr>
      <w:tr w:rsidR="00BF0CFF" w14:paraId="28B2CD63" w14:textId="77777777">
        <w:tc>
          <w:tcPr>
            <w:tcW w:w="600" w:type="dxa"/>
          </w:tcPr>
          <w:p w14:paraId="3692F115" w14:textId="77777777" w:rsidR="00BF0CFF" w:rsidRDefault="00000000">
            <w:pPr>
              <w:spacing w:line="480" w:lineRule="auto"/>
              <w:rPr>
                <w:rFonts w:ascii="Calibri" w:eastAsia="Calibri" w:hAnsi="Calibri" w:cs="Calibri"/>
              </w:rPr>
            </w:pPr>
            <w:r>
              <w:rPr>
                <w:rFonts w:ascii="Calibri" w:eastAsia="Calibri" w:hAnsi="Calibri" w:cs="Calibri"/>
                <w:sz w:val="18"/>
                <w:szCs w:val="18"/>
              </w:rPr>
              <w:t>1</w:t>
            </w:r>
          </w:p>
        </w:tc>
        <w:tc>
          <w:tcPr>
            <w:tcW w:w="3200" w:type="dxa"/>
          </w:tcPr>
          <w:p w14:paraId="3E37814E"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suic_attempt</w:t>
            </w:r>
          </w:p>
        </w:tc>
        <w:tc>
          <w:tcPr>
            <w:tcW w:w="4842" w:type="dxa"/>
          </w:tcPr>
          <w:p w14:paraId="72685C88" w14:textId="77777777" w:rsidR="00BF0CFF" w:rsidRDefault="00000000">
            <w:pPr>
              <w:spacing w:line="480" w:lineRule="auto"/>
              <w:rPr>
                <w:rFonts w:ascii="Calibri" w:eastAsia="Calibri" w:hAnsi="Calibri" w:cs="Calibri"/>
              </w:rPr>
            </w:pPr>
            <w:r>
              <w:rPr>
                <w:rFonts w:ascii="Calibri" w:eastAsia="Calibri" w:hAnsi="Calibri" w:cs="Calibri"/>
                <w:sz w:val="18"/>
                <w:szCs w:val="18"/>
              </w:rPr>
              <w:t>Suicide attempt (lifetime)</w:t>
            </w:r>
          </w:p>
        </w:tc>
      </w:tr>
      <w:tr w:rsidR="00BF0CFF" w14:paraId="58A56906" w14:textId="77777777">
        <w:tc>
          <w:tcPr>
            <w:tcW w:w="600" w:type="dxa"/>
          </w:tcPr>
          <w:p w14:paraId="6E7E0BBB" w14:textId="77777777" w:rsidR="00BF0CFF" w:rsidRDefault="00000000">
            <w:pPr>
              <w:spacing w:line="480" w:lineRule="auto"/>
              <w:rPr>
                <w:rFonts w:ascii="Calibri" w:eastAsia="Calibri" w:hAnsi="Calibri" w:cs="Calibri"/>
              </w:rPr>
            </w:pPr>
            <w:r>
              <w:rPr>
                <w:rFonts w:ascii="Calibri" w:eastAsia="Calibri" w:hAnsi="Calibri" w:cs="Calibri"/>
                <w:sz w:val="18"/>
                <w:szCs w:val="18"/>
              </w:rPr>
              <w:t>2</w:t>
            </w:r>
          </w:p>
        </w:tc>
        <w:tc>
          <w:tcPr>
            <w:tcW w:w="3200" w:type="dxa"/>
          </w:tcPr>
          <w:p w14:paraId="7494EAAF"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severity_suic_ide</w:t>
            </w:r>
          </w:p>
        </w:tc>
        <w:tc>
          <w:tcPr>
            <w:tcW w:w="4842" w:type="dxa"/>
          </w:tcPr>
          <w:p w14:paraId="0FFC2F0B" w14:textId="77777777" w:rsidR="00BF0CFF" w:rsidRDefault="00000000">
            <w:pPr>
              <w:spacing w:line="480" w:lineRule="auto"/>
              <w:rPr>
                <w:rFonts w:ascii="Calibri" w:eastAsia="Calibri" w:hAnsi="Calibri" w:cs="Calibri"/>
              </w:rPr>
            </w:pPr>
            <w:r>
              <w:rPr>
                <w:rFonts w:ascii="Calibri" w:eastAsia="Calibri" w:hAnsi="Calibri" w:cs="Calibri"/>
                <w:sz w:val="18"/>
                <w:szCs w:val="18"/>
              </w:rPr>
              <w:t>Severity of suicidal ideation</w:t>
            </w:r>
          </w:p>
        </w:tc>
      </w:tr>
      <w:tr w:rsidR="00BF0CFF" w14:paraId="00BFD983" w14:textId="77777777">
        <w:tc>
          <w:tcPr>
            <w:tcW w:w="600" w:type="dxa"/>
          </w:tcPr>
          <w:p w14:paraId="5CBAF594" w14:textId="77777777" w:rsidR="00BF0CFF" w:rsidRDefault="00000000">
            <w:pPr>
              <w:spacing w:line="480" w:lineRule="auto"/>
              <w:rPr>
                <w:rFonts w:ascii="Calibri" w:eastAsia="Calibri" w:hAnsi="Calibri" w:cs="Calibri"/>
              </w:rPr>
            </w:pPr>
            <w:r>
              <w:rPr>
                <w:rFonts w:ascii="Calibri" w:eastAsia="Calibri" w:hAnsi="Calibri" w:cs="Calibri"/>
                <w:sz w:val="18"/>
                <w:szCs w:val="18"/>
              </w:rPr>
              <w:t>3</w:t>
            </w:r>
          </w:p>
        </w:tc>
        <w:tc>
          <w:tcPr>
            <w:tcW w:w="3200" w:type="dxa"/>
          </w:tcPr>
          <w:p w14:paraId="0B6C05E9"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suic_methods</w:t>
            </w:r>
          </w:p>
        </w:tc>
        <w:tc>
          <w:tcPr>
            <w:tcW w:w="4842" w:type="dxa"/>
          </w:tcPr>
          <w:p w14:paraId="4A2B78A3" w14:textId="77777777" w:rsidR="00BF0CFF" w:rsidRDefault="00000000">
            <w:pPr>
              <w:spacing w:line="480" w:lineRule="auto"/>
              <w:rPr>
                <w:rFonts w:ascii="Calibri" w:eastAsia="Calibri" w:hAnsi="Calibri" w:cs="Calibri"/>
              </w:rPr>
            </w:pPr>
            <w:r>
              <w:rPr>
                <w:rFonts w:ascii="Calibri" w:eastAsia="Calibri" w:hAnsi="Calibri" w:cs="Calibri"/>
                <w:sz w:val="18"/>
                <w:szCs w:val="18"/>
              </w:rPr>
              <w:t>Suicidal methods considered</w:t>
            </w:r>
          </w:p>
        </w:tc>
      </w:tr>
      <w:tr w:rsidR="00BF0CFF" w14:paraId="3FB19609" w14:textId="77777777">
        <w:tc>
          <w:tcPr>
            <w:tcW w:w="600" w:type="dxa"/>
          </w:tcPr>
          <w:p w14:paraId="5B083754" w14:textId="77777777" w:rsidR="00BF0CFF" w:rsidRDefault="00000000">
            <w:pPr>
              <w:spacing w:line="480" w:lineRule="auto"/>
              <w:rPr>
                <w:rFonts w:ascii="Calibri" w:eastAsia="Calibri" w:hAnsi="Calibri" w:cs="Calibri"/>
              </w:rPr>
            </w:pPr>
            <w:r>
              <w:rPr>
                <w:rFonts w:ascii="Calibri" w:eastAsia="Calibri" w:hAnsi="Calibri" w:cs="Calibri"/>
                <w:sz w:val="18"/>
                <w:szCs w:val="18"/>
              </w:rPr>
              <w:t>4</w:t>
            </w:r>
          </w:p>
        </w:tc>
        <w:tc>
          <w:tcPr>
            <w:tcW w:w="3200" w:type="dxa"/>
          </w:tcPr>
          <w:p w14:paraId="653F68F5"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prep_suic_attempt_ord</w:t>
            </w:r>
          </w:p>
        </w:tc>
        <w:tc>
          <w:tcPr>
            <w:tcW w:w="4842" w:type="dxa"/>
          </w:tcPr>
          <w:p w14:paraId="4CAA6355" w14:textId="77777777" w:rsidR="00BF0CFF" w:rsidRDefault="00000000">
            <w:pPr>
              <w:spacing w:line="480" w:lineRule="auto"/>
              <w:rPr>
                <w:rFonts w:ascii="Calibri" w:eastAsia="Calibri" w:hAnsi="Calibri" w:cs="Calibri"/>
              </w:rPr>
            </w:pPr>
            <w:r>
              <w:rPr>
                <w:rFonts w:ascii="Calibri" w:eastAsia="Calibri" w:hAnsi="Calibri" w:cs="Calibri"/>
                <w:sz w:val="18"/>
                <w:szCs w:val="18"/>
              </w:rPr>
              <w:t>Preparatory acts for suicide attempt</w:t>
            </w:r>
          </w:p>
        </w:tc>
      </w:tr>
      <w:tr w:rsidR="00BF0CFF" w14:paraId="430B6BE0" w14:textId="77777777">
        <w:tc>
          <w:tcPr>
            <w:tcW w:w="600" w:type="dxa"/>
          </w:tcPr>
          <w:p w14:paraId="1AD5AF2A" w14:textId="77777777" w:rsidR="00BF0CFF" w:rsidRDefault="00000000">
            <w:pPr>
              <w:spacing w:line="480" w:lineRule="auto"/>
              <w:rPr>
                <w:rFonts w:ascii="Calibri" w:eastAsia="Calibri" w:hAnsi="Calibri" w:cs="Calibri"/>
              </w:rPr>
            </w:pPr>
            <w:r>
              <w:rPr>
                <w:rFonts w:ascii="Calibri" w:eastAsia="Calibri" w:hAnsi="Calibri" w:cs="Calibri"/>
                <w:sz w:val="18"/>
                <w:szCs w:val="18"/>
              </w:rPr>
              <w:t>5</w:t>
            </w:r>
          </w:p>
        </w:tc>
        <w:tc>
          <w:tcPr>
            <w:tcW w:w="3200" w:type="dxa"/>
          </w:tcPr>
          <w:p w14:paraId="12AD9436"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no_suic_attempt</w:t>
            </w:r>
          </w:p>
        </w:tc>
        <w:tc>
          <w:tcPr>
            <w:tcW w:w="4842" w:type="dxa"/>
          </w:tcPr>
          <w:p w14:paraId="281B86B4" w14:textId="77777777" w:rsidR="00BF0CFF" w:rsidRDefault="00000000">
            <w:pPr>
              <w:spacing w:line="480" w:lineRule="auto"/>
              <w:rPr>
                <w:rFonts w:ascii="Calibri" w:eastAsia="Calibri" w:hAnsi="Calibri" w:cs="Calibri"/>
              </w:rPr>
            </w:pPr>
            <w:r>
              <w:rPr>
                <w:rFonts w:ascii="Calibri" w:eastAsia="Calibri" w:hAnsi="Calibri" w:cs="Calibri"/>
                <w:sz w:val="18"/>
                <w:szCs w:val="18"/>
              </w:rPr>
              <w:t>Number of suicide attempts</w:t>
            </w:r>
          </w:p>
        </w:tc>
      </w:tr>
      <w:tr w:rsidR="00BF0CFF" w14:paraId="6987C8B3" w14:textId="77777777">
        <w:tc>
          <w:tcPr>
            <w:tcW w:w="600" w:type="dxa"/>
          </w:tcPr>
          <w:p w14:paraId="28364AF7" w14:textId="77777777" w:rsidR="00BF0CFF" w:rsidRDefault="00000000">
            <w:pPr>
              <w:spacing w:line="480" w:lineRule="auto"/>
              <w:rPr>
                <w:rFonts w:ascii="Calibri" w:eastAsia="Calibri" w:hAnsi="Calibri" w:cs="Calibri"/>
              </w:rPr>
            </w:pPr>
            <w:r>
              <w:rPr>
                <w:rFonts w:ascii="Calibri" w:eastAsia="Calibri" w:hAnsi="Calibri" w:cs="Calibri"/>
                <w:sz w:val="18"/>
                <w:szCs w:val="18"/>
              </w:rPr>
              <w:t>6</w:t>
            </w:r>
          </w:p>
        </w:tc>
        <w:tc>
          <w:tcPr>
            <w:tcW w:w="3200" w:type="dxa"/>
          </w:tcPr>
          <w:p w14:paraId="45E6B05C"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ever_suic_ide</w:t>
            </w:r>
          </w:p>
        </w:tc>
        <w:tc>
          <w:tcPr>
            <w:tcW w:w="4842" w:type="dxa"/>
          </w:tcPr>
          <w:p w14:paraId="3E088FF7" w14:textId="77777777" w:rsidR="00BF0CFF" w:rsidRDefault="00000000">
            <w:pPr>
              <w:spacing w:line="480" w:lineRule="auto"/>
              <w:rPr>
                <w:rFonts w:ascii="Calibri" w:eastAsia="Calibri" w:hAnsi="Calibri" w:cs="Calibri"/>
              </w:rPr>
            </w:pPr>
            <w:r>
              <w:rPr>
                <w:rFonts w:ascii="Calibri" w:eastAsia="Calibri" w:hAnsi="Calibri" w:cs="Calibri"/>
                <w:sz w:val="18"/>
                <w:szCs w:val="18"/>
              </w:rPr>
              <w:t>Lifetime suicidal ideation</w:t>
            </w:r>
          </w:p>
        </w:tc>
      </w:tr>
      <w:tr w:rsidR="00BF0CFF" w14:paraId="4067FE26" w14:textId="77777777">
        <w:tc>
          <w:tcPr>
            <w:tcW w:w="600" w:type="dxa"/>
          </w:tcPr>
          <w:p w14:paraId="192B704B" w14:textId="77777777" w:rsidR="00BF0CFF" w:rsidRDefault="00000000">
            <w:pPr>
              <w:spacing w:line="480" w:lineRule="auto"/>
              <w:rPr>
                <w:rFonts w:ascii="Calibri" w:eastAsia="Calibri" w:hAnsi="Calibri" w:cs="Calibri"/>
              </w:rPr>
            </w:pPr>
            <w:r>
              <w:rPr>
                <w:rFonts w:ascii="Calibri" w:eastAsia="Calibri" w:hAnsi="Calibri" w:cs="Calibri"/>
                <w:sz w:val="18"/>
                <w:szCs w:val="18"/>
              </w:rPr>
              <w:t>7</w:t>
            </w:r>
          </w:p>
        </w:tc>
        <w:tc>
          <w:tcPr>
            <w:tcW w:w="3200" w:type="dxa"/>
          </w:tcPr>
          <w:p w14:paraId="327FAAFD"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suic_note</w:t>
            </w:r>
          </w:p>
        </w:tc>
        <w:tc>
          <w:tcPr>
            <w:tcW w:w="4842" w:type="dxa"/>
          </w:tcPr>
          <w:p w14:paraId="66CF7929" w14:textId="77777777" w:rsidR="00BF0CFF" w:rsidRDefault="00000000">
            <w:pPr>
              <w:spacing w:line="480" w:lineRule="auto"/>
              <w:rPr>
                <w:rFonts w:ascii="Calibri" w:eastAsia="Calibri" w:hAnsi="Calibri" w:cs="Calibri"/>
              </w:rPr>
            </w:pPr>
            <w:r>
              <w:rPr>
                <w:rFonts w:ascii="Calibri" w:eastAsia="Calibri" w:hAnsi="Calibri" w:cs="Calibri"/>
                <w:sz w:val="18"/>
                <w:szCs w:val="18"/>
              </w:rPr>
              <w:t>Suicide note written</w:t>
            </w:r>
          </w:p>
        </w:tc>
      </w:tr>
      <w:tr w:rsidR="00BF0CFF" w14:paraId="1717DF7A" w14:textId="77777777">
        <w:tc>
          <w:tcPr>
            <w:tcW w:w="600" w:type="dxa"/>
          </w:tcPr>
          <w:p w14:paraId="708DD2FD" w14:textId="77777777" w:rsidR="00BF0CFF" w:rsidRDefault="00000000">
            <w:pPr>
              <w:spacing w:line="480" w:lineRule="auto"/>
              <w:rPr>
                <w:rFonts w:ascii="Calibri" w:eastAsia="Calibri" w:hAnsi="Calibri" w:cs="Calibri"/>
              </w:rPr>
            </w:pPr>
            <w:r>
              <w:rPr>
                <w:rFonts w:ascii="Calibri" w:eastAsia="Calibri" w:hAnsi="Calibri" w:cs="Calibri"/>
                <w:sz w:val="18"/>
                <w:szCs w:val="18"/>
              </w:rPr>
              <w:t>8</w:t>
            </w:r>
          </w:p>
        </w:tc>
        <w:tc>
          <w:tcPr>
            <w:tcW w:w="3200" w:type="dxa"/>
          </w:tcPr>
          <w:p w14:paraId="0BE4364A"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suic_attempt_note</w:t>
            </w:r>
          </w:p>
        </w:tc>
        <w:tc>
          <w:tcPr>
            <w:tcW w:w="4842" w:type="dxa"/>
          </w:tcPr>
          <w:p w14:paraId="4D036A75" w14:textId="77777777" w:rsidR="00BF0CFF" w:rsidRDefault="00000000">
            <w:pPr>
              <w:spacing w:line="480" w:lineRule="auto"/>
              <w:rPr>
                <w:rFonts w:ascii="Calibri" w:eastAsia="Calibri" w:hAnsi="Calibri" w:cs="Calibri"/>
              </w:rPr>
            </w:pPr>
            <w:r>
              <w:rPr>
                <w:rFonts w:ascii="Calibri" w:eastAsia="Calibri" w:hAnsi="Calibri" w:cs="Calibri"/>
                <w:sz w:val="18"/>
                <w:szCs w:val="18"/>
              </w:rPr>
              <w:t>Suicide attempt note</w:t>
            </w:r>
          </w:p>
        </w:tc>
      </w:tr>
      <w:tr w:rsidR="00BF0CFF" w14:paraId="5FDE738E" w14:textId="77777777">
        <w:tc>
          <w:tcPr>
            <w:tcW w:w="600" w:type="dxa"/>
          </w:tcPr>
          <w:p w14:paraId="09E4FE0D" w14:textId="77777777" w:rsidR="00BF0CFF" w:rsidRDefault="00000000">
            <w:pPr>
              <w:spacing w:line="480" w:lineRule="auto"/>
              <w:rPr>
                <w:rFonts w:ascii="Calibri" w:eastAsia="Calibri" w:hAnsi="Calibri" w:cs="Calibri"/>
              </w:rPr>
            </w:pPr>
            <w:r>
              <w:rPr>
                <w:rFonts w:ascii="Calibri" w:eastAsia="Calibri" w:hAnsi="Calibri" w:cs="Calibri"/>
                <w:sz w:val="18"/>
                <w:szCs w:val="18"/>
              </w:rPr>
              <w:t>9</w:t>
            </w:r>
          </w:p>
        </w:tc>
        <w:tc>
          <w:tcPr>
            <w:tcW w:w="3200" w:type="dxa"/>
          </w:tcPr>
          <w:p w14:paraId="30F2EB13"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panss_p1</w:t>
            </w:r>
          </w:p>
        </w:tc>
        <w:tc>
          <w:tcPr>
            <w:tcW w:w="4842" w:type="dxa"/>
          </w:tcPr>
          <w:p w14:paraId="72311423" w14:textId="77777777" w:rsidR="00BF0CFF" w:rsidRDefault="00000000">
            <w:pPr>
              <w:spacing w:line="480" w:lineRule="auto"/>
              <w:rPr>
                <w:rFonts w:ascii="Calibri" w:eastAsia="Calibri" w:hAnsi="Calibri" w:cs="Calibri"/>
              </w:rPr>
            </w:pPr>
            <w:r>
              <w:rPr>
                <w:rFonts w:ascii="Calibri" w:eastAsia="Calibri" w:hAnsi="Calibri" w:cs="Calibri"/>
                <w:sz w:val="18"/>
                <w:szCs w:val="18"/>
              </w:rPr>
              <w:t>PANSS P1: Delusions</w:t>
            </w:r>
          </w:p>
        </w:tc>
      </w:tr>
      <w:tr w:rsidR="00BF0CFF" w14:paraId="77BD46E8" w14:textId="77777777">
        <w:tc>
          <w:tcPr>
            <w:tcW w:w="600" w:type="dxa"/>
          </w:tcPr>
          <w:p w14:paraId="7403FD8D" w14:textId="77777777" w:rsidR="00BF0CFF" w:rsidRDefault="00000000">
            <w:pPr>
              <w:spacing w:line="480" w:lineRule="auto"/>
              <w:rPr>
                <w:rFonts w:ascii="Calibri" w:eastAsia="Calibri" w:hAnsi="Calibri" w:cs="Calibri"/>
              </w:rPr>
            </w:pPr>
            <w:r>
              <w:rPr>
                <w:rFonts w:ascii="Calibri" w:eastAsia="Calibri" w:hAnsi="Calibri" w:cs="Calibri"/>
                <w:sz w:val="18"/>
                <w:szCs w:val="18"/>
              </w:rPr>
              <w:t>10</w:t>
            </w:r>
          </w:p>
        </w:tc>
        <w:tc>
          <w:tcPr>
            <w:tcW w:w="3200" w:type="dxa"/>
          </w:tcPr>
          <w:p w14:paraId="58230ACC"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panss_p2</w:t>
            </w:r>
          </w:p>
        </w:tc>
        <w:tc>
          <w:tcPr>
            <w:tcW w:w="4842" w:type="dxa"/>
          </w:tcPr>
          <w:p w14:paraId="5362289F" w14:textId="77777777" w:rsidR="00BF0CFF" w:rsidRDefault="00000000">
            <w:pPr>
              <w:spacing w:line="480" w:lineRule="auto"/>
              <w:rPr>
                <w:rFonts w:ascii="Calibri" w:eastAsia="Calibri" w:hAnsi="Calibri" w:cs="Calibri"/>
              </w:rPr>
            </w:pPr>
            <w:r>
              <w:rPr>
                <w:rFonts w:ascii="Calibri" w:eastAsia="Calibri" w:hAnsi="Calibri" w:cs="Calibri"/>
                <w:sz w:val="18"/>
                <w:szCs w:val="18"/>
              </w:rPr>
              <w:t>PANSS P2: Conceptual disorganization</w:t>
            </w:r>
          </w:p>
        </w:tc>
      </w:tr>
      <w:tr w:rsidR="00BF0CFF" w14:paraId="5C06C78D" w14:textId="77777777">
        <w:tc>
          <w:tcPr>
            <w:tcW w:w="600" w:type="dxa"/>
          </w:tcPr>
          <w:p w14:paraId="335628BE" w14:textId="77777777" w:rsidR="00BF0CFF" w:rsidRDefault="00000000">
            <w:pPr>
              <w:spacing w:line="480" w:lineRule="auto"/>
              <w:rPr>
                <w:rFonts w:ascii="Calibri" w:eastAsia="Calibri" w:hAnsi="Calibri" w:cs="Calibri"/>
              </w:rPr>
            </w:pPr>
            <w:r>
              <w:rPr>
                <w:rFonts w:ascii="Calibri" w:eastAsia="Calibri" w:hAnsi="Calibri" w:cs="Calibri"/>
                <w:sz w:val="18"/>
                <w:szCs w:val="18"/>
              </w:rPr>
              <w:t>11</w:t>
            </w:r>
          </w:p>
        </w:tc>
        <w:tc>
          <w:tcPr>
            <w:tcW w:w="3200" w:type="dxa"/>
          </w:tcPr>
          <w:p w14:paraId="0B65E19C"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panss_n1</w:t>
            </w:r>
          </w:p>
        </w:tc>
        <w:tc>
          <w:tcPr>
            <w:tcW w:w="4842" w:type="dxa"/>
          </w:tcPr>
          <w:p w14:paraId="5E8CD651" w14:textId="77777777" w:rsidR="00BF0CFF" w:rsidRDefault="00000000">
            <w:pPr>
              <w:spacing w:line="480" w:lineRule="auto"/>
              <w:rPr>
                <w:rFonts w:ascii="Calibri" w:eastAsia="Calibri" w:hAnsi="Calibri" w:cs="Calibri"/>
              </w:rPr>
            </w:pPr>
            <w:r>
              <w:rPr>
                <w:rFonts w:ascii="Calibri" w:eastAsia="Calibri" w:hAnsi="Calibri" w:cs="Calibri"/>
                <w:sz w:val="18"/>
                <w:szCs w:val="18"/>
              </w:rPr>
              <w:t>PANSS N1: Blunted affect</w:t>
            </w:r>
          </w:p>
        </w:tc>
      </w:tr>
      <w:tr w:rsidR="00BF0CFF" w14:paraId="20B585BB" w14:textId="77777777">
        <w:tc>
          <w:tcPr>
            <w:tcW w:w="600" w:type="dxa"/>
          </w:tcPr>
          <w:p w14:paraId="0B225C2B" w14:textId="77777777" w:rsidR="00BF0CFF" w:rsidRDefault="00000000">
            <w:pPr>
              <w:spacing w:line="480" w:lineRule="auto"/>
              <w:rPr>
                <w:rFonts w:ascii="Calibri" w:eastAsia="Calibri" w:hAnsi="Calibri" w:cs="Calibri"/>
              </w:rPr>
            </w:pPr>
            <w:r>
              <w:rPr>
                <w:rFonts w:ascii="Calibri" w:eastAsia="Calibri" w:hAnsi="Calibri" w:cs="Calibri"/>
                <w:sz w:val="18"/>
                <w:szCs w:val="18"/>
              </w:rPr>
              <w:t>12</w:t>
            </w:r>
          </w:p>
        </w:tc>
        <w:tc>
          <w:tcPr>
            <w:tcW w:w="3200" w:type="dxa"/>
          </w:tcPr>
          <w:p w14:paraId="40369F55"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panss_sum_pos</w:t>
            </w:r>
          </w:p>
        </w:tc>
        <w:tc>
          <w:tcPr>
            <w:tcW w:w="4842" w:type="dxa"/>
          </w:tcPr>
          <w:p w14:paraId="0A8B652F" w14:textId="77777777" w:rsidR="00BF0CFF" w:rsidRDefault="00000000">
            <w:pPr>
              <w:spacing w:line="480" w:lineRule="auto"/>
              <w:rPr>
                <w:rFonts w:ascii="Calibri" w:eastAsia="Calibri" w:hAnsi="Calibri" w:cs="Calibri"/>
              </w:rPr>
            </w:pPr>
            <w:r>
              <w:rPr>
                <w:rFonts w:ascii="Calibri" w:eastAsia="Calibri" w:hAnsi="Calibri" w:cs="Calibri"/>
                <w:sz w:val="18"/>
                <w:szCs w:val="18"/>
              </w:rPr>
              <w:t>PANSS positive subscale score</w:t>
            </w:r>
          </w:p>
        </w:tc>
      </w:tr>
      <w:tr w:rsidR="00BF0CFF" w14:paraId="6E7200FA" w14:textId="77777777">
        <w:tc>
          <w:tcPr>
            <w:tcW w:w="600" w:type="dxa"/>
          </w:tcPr>
          <w:p w14:paraId="6ED81F9D" w14:textId="77777777" w:rsidR="00BF0CFF" w:rsidRDefault="00000000">
            <w:pPr>
              <w:spacing w:line="480" w:lineRule="auto"/>
              <w:rPr>
                <w:rFonts w:ascii="Calibri" w:eastAsia="Calibri" w:hAnsi="Calibri" w:cs="Calibri"/>
              </w:rPr>
            </w:pPr>
            <w:r>
              <w:rPr>
                <w:rFonts w:ascii="Calibri" w:eastAsia="Calibri" w:hAnsi="Calibri" w:cs="Calibri"/>
                <w:sz w:val="18"/>
                <w:szCs w:val="18"/>
              </w:rPr>
              <w:t>13</w:t>
            </w:r>
          </w:p>
        </w:tc>
        <w:tc>
          <w:tcPr>
            <w:tcW w:w="3200" w:type="dxa"/>
          </w:tcPr>
          <w:p w14:paraId="7441AB37"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panss_sum_neg</w:t>
            </w:r>
          </w:p>
        </w:tc>
        <w:tc>
          <w:tcPr>
            <w:tcW w:w="4842" w:type="dxa"/>
          </w:tcPr>
          <w:p w14:paraId="16524D73" w14:textId="77777777" w:rsidR="00BF0CFF" w:rsidRDefault="00000000">
            <w:pPr>
              <w:spacing w:line="480" w:lineRule="auto"/>
              <w:rPr>
                <w:rFonts w:ascii="Calibri" w:eastAsia="Calibri" w:hAnsi="Calibri" w:cs="Calibri"/>
              </w:rPr>
            </w:pPr>
            <w:r>
              <w:rPr>
                <w:rFonts w:ascii="Calibri" w:eastAsia="Calibri" w:hAnsi="Calibri" w:cs="Calibri"/>
                <w:sz w:val="18"/>
                <w:szCs w:val="18"/>
              </w:rPr>
              <w:t>PANSS negative subscale score</w:t>
            </w:r>
          </w:p>
        </w:tc>
      </w:tr>
      <w:tr w:rsidR="00BF0CFF" w14:paraId="6BBAB288" w14:textId="77777777">
        <w:tc>
          <w:tcPr>
            <w:tcW w:w="600" w:type="dxa"/>
          </w:tcPr>
          <w:p w14:paraId="269C6C9C" w14:textId="77777777" w:rsidR="00BF0CFF" w:rsidRDefault="00000000">
            <w:pPr>
              <w:spacing w:line="480" w:lineRule="auto"/>
              <w:rPr>
                <w:rFonts w:ascii="Calibri" w:eastAsia="Calibri" w:hAnsi="Calibri" w:cs="Calibri"/>
              </w:rPr>
            </w:pPr>
            <w:r>
              <w:rPr>
                <w:rFonts w:ascii="Calibri" w:eastAsia="Calibri" w:hAnsi="Calibri" w:cs="Calibri"/>
                <w:sz w:val="18"/>
                <w:szCs w:val="18"/>
              </w:rPr>
              <w:t>14</w:t>
            </w:r>
          </w:p>
        </w:tc>
        <w:tc>
          <w:tcPr>
            <w:tcW w:w="3200" w:type="dxa"/>
          </w:tcPr>
          <w:p w14:paraId="59FF64D4"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panss_sum_gen</w:t>
            </w:r>
          </w:p>
        </w:tc>
        <w:tc>
          <w:tcPr>
            <w:tcW w:w="4842" w:type="dxa"/>
          </w:tcPr>
          <w:p w14:paraId="35CBEFC9" w14:textId="77777777" w:rsidR="00BF0CFF" w:rsidRDefault="00000000">
            <w:pPr>
              <w:spacing w:line="480" w:lineRule="auto"/>
              <w:rPr>
                <w:rFonts w:ascii="Calibri" w:eastAsia="Calibri" w:hAnsi="Calibri" w:cs="Calibri"/>
              </w:rPr>
            </w:pPr>
            <w:r>
              <w:rPr>
                <w:rFonts w:ascii="Calibri" w:eastAsia="Calibri" w:hAnsi="Calibri" w:cs="Calibri"/>
                <w:sz w:val="18"/>
                <w:szCs w:val="18"/>
              </w:rPr>
              <w:t>PANSS general subscale score</w:t>
            </w:r>
          </w:p>
        </w:tc>
      </w:tr>
      <w:tr w:rsidR="00BF0CFF" w14:paraId="0500C676" w14:textId="77777777">
        <w:tc>
          <w:tcPr>
            <w:tcW w:w="600" w:type="dxa"/>
          </w:tcPr>
          <w:p w14:paraId="745FF44E" w14:textId="77777777" w:rsidR="00BF0CFF" w:rsidRDefault="00000000">
            <w:pPr>
              <w:spacing w:line="480" w:lineRule="auto"/>
              <w:rPr>
                <w:rFonts w:ascii="Calibri" w:eastAsia="Calibri" w:hAnsi="Calibri" w:cs="Calibri"/>
              </w:rPr>
            </w:pPr>
            <w:r>
              <w:rPr>
                <w:rFonts w:ascii="Calibri" w:eastAsia="Calibri" w:hAnsi="Calibri" w:cs="Calibri"/>
                <w:sz w:val="18"/>
                <w:szCs w:val="18"/>
              </w:rPr>
              <w:t>15</w:t>
            </w:r>
          </w:p>
        </w:tc>
        <w:tc>
          <w:tcPr>
            <w:tcW w:w="3200" w:type="dxa"/>
          </w:tcPr>
          <w:p w14:paraId="202C3991"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panss_total_score</w:t>
            </w:r>
          </w:p>
        </w:tc>
        <w:tc>
          <w:tcPr>
            <w:tcW w:w="4842" w:type="dxa"/>
          </w:tcPr>
          <w:p w14:paraId="5BA9326F" w14:textId="77777777" w:rsidR="00BF0CFF" w:rsidRDefault="00000000">
            <w:pPr>
              <w:spacing w:line="480" w:lineRule="auto"/>
              <w:rPr>
                <w:rFonts w:ascii="Calibri" w:eastAsia="Calibri" w:hAnsi="Calibri" w:cs="Calibri"/>
              </w:rPr>
            </w:pPr>
            <w:r>
              <w:rPr>
                <w:rFonts w:ascii="Calibri" w:eastAsia="Calibri" w:hAnsi="Calibri" w:cs="Calibri"/>
                <w:sz w:val="18"/>
                <w:szCs w:val="18"/>
              </w:rPr>
              <w:t>PANSS total score</w:t>
            </w:r>
          </w:p>
        </w:tc>
      </w:tr>
      <w:tr w:rsidR="00BF0CFF" w14:paraId="6BC17506" w14:textId="77777777">
        <w:tc>
          <w:tcPr>
            <w:tcW w:w="600" w:type="dxa"/>
          </w:tcPr>
          <w:p w14:paraId="09CA5332" w14:textId="77777777" w:rsidR="00BF0CFF" w:rsidRDefault="00000000">
            <w:pPr>
              <w:spacing w:line="480" w:lineRule="auto"/>
              <w:rPr>
                <w:rFonts w:ascii="Calibri" w:eastAsia="Calibri" w:hAnsi="Calibri" w:cs="Calibri"/>
              </w:rPr>
            </w:pPr>
            <w:r>
              <w:rPr>
                <w:rFonts w:ascii="Calibri" w:eastAsia="Calibri" w:hAnsi="Calibri" w:cs="Calibri"/>
                <w:sz w:val="18"/>
                <w:szCs w:val="18"/>
              </w:rPr>
              <w:t>16</w:t>
            </w:r>
          </w:p>
        </w:tc>
        <w:tc>
          <w:tcPr>
            <w:tcW w:w="3200" w:type="dxa"/>
          </w:tcPr>
          <w:p w14:paraId="31E64CBA"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idsc_5</w:t>
            </w:r>
          </w:p>
        </w:tc>
        <w:tc>
          <w:tcPr>
            <w:tcW w:w="4842" w:type="dxa"/>
          </w:tcPr>
          <w:p w14:paraId="6B1A51CF" w14:textId="77777777" w:rsidR="00BF0CFF" w:rsidRDefault="00000000">
            <w:pPr>
              <w:spacing w:line="480" w:lineRule="auto"/>
              <w:rPr>
                <w:rFonts w:ascii="Calibri" w:eastAsia="Calibri" w:hAnsi="Calibri" w:cs="Calibri"/>
              </w:rPr>
            </w:pPr>
            <w:r>
              <w:rPr>
                <w:rFonts w:ascii="Calibri" w:eastAsia="Calibri" w:hAnsi="Calibri" w:cs="Calibri"/>
                <w:sz w:val="18"/>
                <w:szCs w:val="18"/>
              </w:rPr>
              <w:t>IDSC item 5</w:t>
            </w:r>
          </w:p>
        </w:tc>
      </w:tr>
      <w:tr w:rsidR="00BF0CFF" w14:paraId="6CF0E176" w14:textId="77777777">
        <w:tc>
          <w:tcPr>
            <w:tcW w:w="600" w:type="dxa"/>
          </w:tcPr>
          <w:p w14:paraId="77B3468F" w14:textId="77777777" w:rsidR="00BF0CFF" w:rsidRDefault="00000000">
            <w:pPr>
              <w:spacing w:line="480" w:lineRule="auto"/>
              <w:rPr>
                <w:rFonts w:ascii="Calibri" w:eastAsia="Calibri" w:hAnsi="Calibri" w:cs="Calibri"/>
              </w:rPr>
            </w:pPr>
            <w:r>
              <w:rPr>
                <w:rFonts w:ascii="Calibri" w:eastAsia="Calibri" w:hAnsi="Calibri" w:cs="Calibri"/>
                <w:sz w:val="18"/>
                <w:szCs w:val="18"/>
              </w:rPr>
              <w:t>17</w:t>
            </w:r>
          </w:p>
        </w:tc>
        <w:tc>
          <w:tcPr>
            <w:tcW w:w="3200" w:type="dxa"/>
          </w:tcPr>
          <w:p w14:paraId="33A6E4FF"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idsc_15</w:t>
            </w:r>
          </w:p>
        </w:tc>
        <w:tc>
          <w:tcPr>
            <w:tcW w:w="4842" w:type="dxa"/>
          </w:tcPr>
          <w:p w14:paraId="24ABC6A8" w14:textId="77777777" w:rsidR="00BF0CFF" w:rsidRDefault="00000000">
            <w:pPr>
              <w:spacing w:line="480" w:lineRule="auto"/>
              <w:rPr>
                <w:rFonts w:ascii="Calibri" w:eastAsia="Calibri" w:hAnsi="Calibri" w:cs="Calibri"/>
              </w:rPr>
            </w:pPr>
            <w:r>
              <w:rPr>
                <w:rFonts w:ascii="Calibri" w:eastAsia="Calibri" w:hAnsi="Calibri" w:cs="Calibri"/>
                <w:sz w:val="18"/>
                <w:szCs w:val="18"/>
              </w:rPr>
              <w:t>IDSC item 15</w:t>
            </w:r>
          </w:p>
        </w:tc>
      </w:tr>
      <w:tr w:rsidR="00BF0CFF" w14:paraId="308156F3" w14:textId="77777777">
        <w:tc>
          <w:tcPr>
            <w:tcW w:w="600" w:type="dxa"/>
          </w:tcPr>
          <w:p w14:paraId="7006622D" w14:textId="77777777" w:rsidR="00BF0CFF" w:rsidRDefault="00000000">
            <w:pPr>
              <w:spacing w:line="480" w:lineRule="auto"/>
              <w:rPr>
                <w:rFonts w:ascii="Calibri" w:eastAsia="Calibri" w:hAnsi="Calibri" w:cs="Calibri"/>
              </w:rPr>
            </w:pPr>
            <w:r>
              <w:rPr>
                <w:rFonts w:ascii="Calibri" w:eastAsia="Calibri" w:hAnsi="Calibri" w:cs="Calibri"/>
                <w:sz w:val="18"/>
                <w:szCs w:val="18"/>
              </w:rPr>
              <w:t>18</w:t>
            </w:r>
          </w:p>
        </w:tc>
        <w:tc>
          <w:tcPr>
            <w:tcW w:w="3200" w:type="dxa"/>
          </w:tcPr>
          <w:p w14:paraId="3FF1515B"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idsc_16</w:t>
            </w:r>
          </w:p>
        </w:tc>
        <w:tc>
          <w:tcPr>
            <w:tcW w:w="4842" w:type="dxa"/>
          </w:tcPr>
          <w:p w14:paraId="27CAF763" w14:textId="77777777" w:rsidR="00BF0CFF" w:rsidRDefault="00000000">
            <w:pPr>
              <w:spacing w:line="480" w:lineRule="auto"/>
              <w:rPr>
                <w:rFonts w:ascii="Calibri" w:eastAsia="Calibri" w:hAnsi="Calibri" w:cs="Calibri"/>
              </w:rPr>
            </w:pPr>
            <w:r>
              <w:rPr>
                <w:rFonts w:ascii="Calibri" w:eastAsia="Calibri" w:hAnsi="Calibri" w:cs="Calibri"/>
                <w:sz w:val="18"/>
                <w:szCs w:val="18"/>
              </w:rPr>
              <w:t>IDSC item 16</w:t>
            </w:r>
          </w:p>
        </w:tc>
      </w:tr>
      <w:tr w:rsidR="00BF0CFF" w14:paraId="00367219" w14:textId="77777777">
        <w:tc>
          <w:tcPr>
            <w:tcW w:w="600" w:type="dxa"/>
          </w:tcPr>
          <w:p w14:paraId="6CF174C7" w14:textId="77777777" w:rsidR="00BF0CFF" w:rsidRDefault="00000000">
            <w:pPr>
              <w:spacing w:line="480" w:lineRule="auto"/>
              <w:rPr>
                <w:rFonts w:ascii="Calibri" w:eastAsia="Calibri" w:hAnsi="Calibri" w:cs="Calibri"/>
              </w:rPr>
            </w:pPr>
            <w:r>
              <w:rPr>
                <w:rFonts w:ascii="Calibri" w:eastAsia="Calibri" w:hAnsi="Calibri" w:cs="Calibri"/>
                <w:sz w:val="18"/>
                <w:szCs w:val="18"/>
              </w:rPr>
              <w:t>19</w:t>
            </w:r>
          </w:p>
        </w:tc>
        <w:tc>
          <w:tcPr>
            <w:tcW w:w="3200" w:type="dxa"/>
          </w:tcPr>
          <w:p w14:paraId="0619E198"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idsc_total</w:t>
            </w:r>
          </w:p>
        </w:tc>
        <w:tc>
          <w:tcPr>
            <w:tcW w:w="4842" w:type="dxa"/>
          </w:tcPr>
          <w:p w14:paraId="29F03BE4" w14:textId="77777777" w:rsidR="00BF0CFF" w:rsidRDefault="00000000">
            <w:pPr>
              <w:spacing w:line="480" w:lineRule="auto"/>
              <w:rPr>
                <w:rFonts w:ascii="Calibri" w:eastAsia="Calibri" w:hAnsi="Calibri" w:cs="Calibri"/>
              </w:rPr>
            </w:pPr>
            <w:r>
              <w:rPr>
                <w:rFonts w:ascii="Calibri" w:eastAsia="Calibri" w:hAnsi="Calibri" w:cs="Calibri"/>
                <w:sz w:val="18"/>
                <w:szCs w:val="18"/>
              </w:rPr>
              <w:t>IDSC total score</w:t>
            </w:r>
          </w:p>
        </w:tc>
      </w:tr>
      <w:tr w:rsidR="00BF0CFF" w14:paraId="7F28C6B8" w14:textId="77777777">
        <w:tc>
          <w:tcPr>
            <w:tcW w:w="600" w:type="dxa"/>
          </w:tcPr>
          <w:p w14:paraId="43C3DB82" w14:textId="77777777" w:rsidR="00BF0CFF" w:rsidRDefault="00000000">
            <w:pPr>
              <w:spacing w:line="480" w:lineRule="auto"/>
              <w:rPr>
                <w:rFonts w:ascii="Calibri" w:eastAsia="Calibri" w:hAnsi="Calibri" w:cs="Calibri"/>
              </w:rPr>
            </w:pPr>
            <w:r>
              <w:rPr>
                <w:rFonts w:ascii="Calibri" w:eastAsia="Calibri" w:hAnsi="Calibri" w:cs="Calibri"/>
                <w:sz w:val="18"/>
                <w:szCs w:val="18"/>
              </w:rPr>
              <w:t>20</w:t>
            </w:r>
          </w:p>
        </w:tc>
        <w:tc>
          <w:tcPr>
            <w:tcW w:w="3200" w:type="dxa"/>
          </w:tcPr>
          <w:p w14:paraId="4BC8ED6F"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whoqol_3</w:t>
            </w:r>
          </w:p>
        </w:tc>
        <w:tc>
          <w:tcPr>
            <w:tcW w:w="4842" w:type="dxa"/>
          </w:tcPr>
          <w:p w14:paraId="76499011"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3: Pain interference</w:t>
            </w:r>
          </w:p>
        </w:tc>
      </w:tr>
      <w:tr w:rsidR="00BF0CFF" w14:paraId="28AE8924" w14:textId="77777777">
        <w:tc>
          <w:tcPr>
            <w:tcW w:w="600" w:type="dxa"/>
          </w:tcPr>
          <w:p w14:paraId="5A5C8C49" w14:textId="77777777" w:rsidR="00BF0CFF" w:rsidRDefault="00000000">
            <w:pPr>
              <w:spacing w:line="480" w:lineRule="auto"/>
              <w:rPr>
                <w:rFonts w:ascii="Calibri" w:eastAsia="Calibri" w:hAnsi="Calibri" w:cs="Calibri"/>
              </w:rPr>
            </w:pPr>
            <w:r>
              <w:rPr>
                <w:rFonts w:ascii="Calibri" w:eastAsia="Calibri" w:hAnsi="Calibri" w:cs="Calibri"/>
                <w:sz w:val="18"/>
                <w:szCs w:val="18"/>
              </w:rPr>
              <w:t>21</w:t>
            </w:r>
          </w:p>
        </w:tc>
        <w:tc>
          <w:tcPr>
            <w:tcW w:w="3200" w:type="dxa"/>
          </w:tcPr>
          <w:p w14:paraId="2B7EA7B5"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whoqol_6</w:t>
            </w:r>
          </w:p>
        </w:tc>
        <w:tc>
          <w:tcPr>
            <w:tcW w:w="4842" w:type="dxa"/>
          </w:tcPr>
          <w:p w14:paraId="34F4A6C4"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6: Positive feelings</w:t>
            </w:r>
          </w:p>
        </w:tc>
      </w:tr>
      <w:tr w:rsidR="00BF0CFF" w14:paraId="379D8A03" w14:textId="77777777">
        <w:tc>
          <w:tcPr>
            <w:tcW w:w="600" w:type="dxa"/>
          </w:tcPr>
          <w:p w14:paraId="4ACFFF0C" w14:textId="77777777" w:rsidR="00BF0CFF" w:rsidRDefault="00000000">
            <w:pPr>
              <w:spacing w:line="480" w:lineRule="auto"/>
              <w:rPr>
                <w:rFonts w:ascii="Calibri" w:eastAsia="Calibri" w:hAnsi="Calibri" w:cs="Calibri"/>
              </w:rPr>
            </w:pPr>
            <w:r>
              <w:rPr>
                <w:rFonts w:ascii="Calibri" w:eastAsia="Calibri" w:hAnsi="Calibri" w:cs="Calibri"/>
                <w:sz w:val="18"/>
                <w:szCs w:val="18"/>
              </w:rPr>
              <w:t>22</w:t>
            </w:r>
          </w:p>
        </w:tc>
        <w:tc>
          <w:tcPr>
            <w:tcW w:w="3200" w:type="dxa"/>
          </w:tcPr>
          <w:p w14:paraId="28784873"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whoqol_12</w:t>
            </w:r>
          </w:p>
        </w:tc>
        <w:tc>
          <w:tcPr>
            <w:tcW w:w="4842" w:type="dxa"/>
          </w:tcPr>
          <w:p w14:paraId="29803C7E"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12: Financial resources</w:t>
            </w:r>
          </w:p>
        </w:tc>
      </w:tr>
      <w:tr w:rsidR="00BF0CFF" w14:paraId="37BB1CAF" w14:textId="77777777">
        <w:tc>
          <w:tcPr>
            <w:tcW w:w="600" w:type="dxa"/>
          </w:tcPr>
          <w:p w14:paraId="31C45F92" w14:textId="77777777" w:rsidR="00BF0CFF" w:rsidRDefault="00000000">
            <w:pPr>
              <w:spacing w:line="480" w:lineRule="auto"/>
              <w:rPr>
                <w:rFonts w:ascii="Calibri" w:eastAsia="Calibri" w:hAnsi="Calibri" w:cs="Calibri"/>
              </w:rPr>
            </w:pPr>
            <w:r>
              <w:rPr>
                <w:rFonts w:ascii="Calibri" w:eastAsia="Calibri" w:hAnsi="Calibri" w:cs="Calibri"/>
                <w:sz w:val="18"/>
                <w:szCs w:val="18"/>
              </w:rPr>
              <w:lastRenderedPageBreak/>
              <w:t>23</w:t>
            </w:r>
          </w:p>
        </w:tc>
        <w:tc>
          <w:tcPr>
            <w:tcW w:w="3200" w:type="dxa"/>
          </w:tcPr>
          <w:p w14:paraId="55932CA5"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whoqol_13</w:t>
            </w:r>
          </w:p>
        </w:tc>
        <w:tc>
          <w:tcPr>
            <w:tcW w:w="4842" w:type="dxa"/>
          </w:tcPr>
          <w:p w14:paraId="0A249029"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13: Access to information</w:t>
            </w:r>
          </w:p>
        </w:tc>
      </w:tr>
      <w:tr w:rsidR="00BF0CFF" w14:paraId="06BB3FB2" w14:textId="77777777">
        <w:tc>
          <w:tcPr>
            <w:tcW w:w="600" w:type="dxa"/>
          </w:tcPr>
          <w:p w14:paraId="20482A5C" w14:textId="77777777" w:rsidR="00BF0CFF" w:rsidRDefault="00000000">
            <w:pPr>
              <w:spacing w:line="480" w:lineRule="auto"/>
              <w:rPr>
                <w:rFonts w:ascii="Calibri" w:eastAsia="Calibri" w:hAnsi="Calibri" w:cs="Calibri"/>
              </w:rPr>
            </w:pPr>
            <w:r>
              <w:rPr>
                <w:rFonts w:ascii="Calibri" w:eastAsia="Calibri" w:hAnsi="Calibri" w:cs="Calibri"/>
                <w:sz w:val="18"/>
                <w:szCs w:val="18"/>
              </w:rPr>
              <w:t>24</w:t>
            </w:r>
          </w:p>
        </w:tc>
        <w:tc>
          <w:tcPr>
            <w:tcW w:w="3200" w:type="dxa"/>
          </w:tcPr>
          <w:p w14:paraId="0B8DDB86"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whoqol_14</w:t>
            </w:r>
          </w:p>
        </w:tc>
        <w:tc>
          <w:tcPr>
            <w:tcW w:w="4842" w:type="dxa"/>
          </w:tcPr>
          <w:p w14:paraId="5C2B5DD3"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14: Leisure activities</w:t>
            </w:r>
          </w:p>
        </w:tc>
      </w:tr>
      <w:tr w:rsidR="00BF0CFF" w14:paraId="163A47B6" w14:textId="77777777">
        <w:tc>
          <w:tcPr>
            <w:tcW w:w="600" w:type="dxa"/>
          </w:tcPr>
          <w:p w14:paraId="5887538C" w14:textId="77777777" w:rsidR="00BF0CFF" w:rsidRDefault="00000000">
            <w:pPr>
              <w:spacing w:line="480" w:lineRule="auto"/>
              <w:rPr>
                <w:rFonts w:ascii="Calibri" w:eastAsia="Calibri" w:hAnsi="Calibri" w:cs="Calibri"/>
              </w:rPr>
            </w:pPr>
            <w:r>
              <w:rPr>
                <w:rFonts w:ascii="Calibri" w:eastAsia="Calibri" w:hAnsi="Calibri" w:cs="Calibri"/>
                <w:sz w:val="18"/>
                <w:szCs w:val="18"/>
              </w:rPr>
              <w:t>25</w:t>
            </w:r>
          </w:p>
        </w:tc>
        <w:tc>
          <w:tcPr>
            <w:tcW w:w="3200" w:type="dxa"/>
          </w:tcPr>
          <w:p w14:paraId="5A9D116D"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whoqol_15</w:t>
            </w:r>
          </w:p>
        </w:tc>
        <w:tc>
          <w:tcPr>
            <w:tcW w:w="4842" w:type="dxa"/>
          </w:tcPr>
          <w:p w14:paraId="56B26E32"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15: Mobility</w:t>
            </w:r>
          </w:p>
        </w:tc>
      </w:tr>
      <w:tr w:rsidR="00BF0CFF" w14:paraId="6729B984" w14:textId="77777777">
        <w:tc>
          <w:tcPr>
            <w:tcW w:w="600" w:type="dxa"/>
          </w:tcPr>
          <w:p w14:paraId="54DDD8E6" w14:textId="77777777" w:rsidR="00BF0CFF" w:rsidRDefault="00000000">
            <w:pPr>
              <w:spacing w:line="480" w:lineRule="auto"/>
              <w:rPr>
                <w:rFonts w:ascii="Calibri" w:eastAsia="Calibri" w:hAnsi="Calibri" w:cs="Calibri"/>
              </w:rPr>
            </w:pPr>
            <w:r>
              <w:rPr>
                <w:rFonts w:ascii="Calibri" w:eastAsia="Calibri" w:hAnsi="Calibri" w:cs="Calibri"/>
                <w:sz w:val="18"/>
                <w:szCs w:val="18"/>
              </w:rPr>
              <w:t>26</w:t>
            </w:r>
          </w:p>
        </w:tc>
        <w:tc>
          <w:tcPr>
            <w:tcW w:w="3200" w:type="dxa"/>
          </w:tcPr>
          <w:p w14:paraId="5DD6C9D7"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whoqol_20</w:t>
            </w:r>
          </w:p>
        </w:tc>
        <w:tc>
          <w:tcPr>
            <w:tcW w:w="4842" w:type="dxa"/>
          </w:tcPr>
          <w:p w14:paraId="140A3897"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20: Personal relationships</w:t>
            </w:r>
          </w:p>
        </w:tc>
      </w:tr>
      <w:tr w:rsidR="00BF0CFF" w14:paraId="59644409" w14:textId="77777777">
        <w:tc>
          <w:tcPr>
            <w:tcW w:w="600" w:type="dxa"/>
          </w:tcPr>
          <w:p w14:paraId="46BEF3CA" w14:textId="77777777" w:rsidR="00BF0CFF" w:rsidRDefault="00000000">
            <w:pPr>
              <w:spacing w:line="480" w:lineRule="auto"/>
              <w:rPr>
                <w:rFonts w:ascii="Calibri" w:eastAsia="Calibri" w:hAnsi="Calibri" w:cs="Calibri"/>
              </w:rPr>
            </w:pPr>
            <w:r>
              <w:rPr>
                <w:rFonts w:ascii="Calibri" w:eastAsia="Calibri" w:hAnsi="Calibri" w:cs="Calibri"/>
                <w:sz w:val="18"/>
                <w:szCs w:val="18"/>
              </w:rPr>
              <w:t>27</w:t>
            </w:r>
          </w:p>
        </w:tc>
        <w:tc>
          <w:tcPr>
            <w:tcW w:w="3200" w:type="dxa"/>
          </w:tcPr>
          <w:p w14:paraId="269B695F"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whoqol_23</w:t>
            </w:r>
          </w:p>
        </w:tc>
        <w:tc>
          <w:tcPr>
            <w:tcW w:w="4842" w:type="dxa"/>
          </w:tcPr>
          <w:p w14:paraId="332624F3"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23: Home environment</w:t>
            </w:r>
          </w:p>
        </w:tc>
      </w:tr>
      <w:tr w:rsidR="00BF0CFF" w14:paraId="6D15BA3E" w14:textId="77777777">
        <w:tc>
          <w:tcPr>
            <w:tcW w:w="600" w:type="dxa"/>
          </w:tcPr>
          <w:p w14:paraId="7692EB3A" w14:textId="77777777" w:rsidR="00BF0CFF" w:rsidRDefault="00000000">
            <w:pPr>
              <w:spacing w:line="480" w:lineRule="auto"/>
              <w:rPr>
                <w:rFonts w:ascii="Calibri" w:eastAsia="Calibri" w:hAnsi="Calibri" w:cs="Calibri"/>
              </w:rPr>
            </w:pPr>
            <w:r>
              <w:rPr>
                <w:rFonts w:ascii="Calibri" w:eastAsia="Calibri" w:hAnsi="Calibri" w:cs="Calibri"/>
                <w:sz w:val="18"/>
                <w:szCs w:val="18"/>
              </w:rPr>
              <w:t>28</w:t>
            </w:r>
          </w:p>
        </w:tc>
        <w:tc>
          <w:tcPr>
            <w:tcW w:w="3200" w:type="dxa"/>
          </w:tcPr>
          <w:p w14:paraId="7D5707BA"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whoqol_25</w:t>
            </w:r>
          </w:p>
        </w:tc>
        <w:tc>
          <w:tcPr>
            <w:tcW w:w="4842" w:type="dxa"/>
          </w:tcPr>
          <w:p w14:paraId="0ED06DEC"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item 25: Transport</w:t>
            </w:r>
          </w:p>
        </w:tc>
      </w:tr>
      <w:tr w:rsidR="00BF0CFF" w14:paraId="62B6E79E" w14:textId="77777777">
        <w:tc>
          <w:tcPr>
            <w:tcW w:w="600" w:type="dxa"/>
          </w:tcPr>
          <w:p w14:paraId="7596CF9C" w14:textId="77777777" w:rsidR="00BF0CFF" w:rsidRDefault="00000000">
            <w:pPr>
              <w:spacing w:line="480" w:lineRule="auto"/>
              <w:rPr>
                <w:rFonts w:ascii="Calibri" w:eastAsia="Calibri" w:hAnsi="Calibri" w:cs="Calibri"/>
              </w:rPr>
            </w:pPr>
            <w:r>
              <w:rPr>
                <w:rFonts w:ascii="Calibri" w:eastAsia="Calibri" w:hAnsi="Calibri" w:cs="Calibri"/>
                <w:sz w:val="18"/>
                <w:szCs w:val="18"/>
              </w:rPr>
              <w:t>29</w:t>
            </w:r>
          </w:p>
        </w:tc>
        <w:tc>
          <w:tcPr>
            <w:tcW w:w="3200" w:type="dxa"/>
          </w:tcPr>
          <w:p w14:paraId="35A793E0"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whoqol_env</w:t>
            </w:r>
          </w:p>
        </w:tc>
        <w:tc>
          <w:tcPr>
            <w:tcW w:w="4842" w:type="dxa"/>
          </w:tcPr>
          <w:p w14:paraId="78E0CA1E" w14:textId="77777777" w:rsidR="00BF0CFF" w:rsidRDefault="00000000">
            <w:pPr>
              <w:spacing w:line="480" w:lineRule="auto"/>
              <w:rPr>
                <w:rFonts w:ascii="Calibri" w:eastAsia="Calibri" w:hAnsi="Calibri" w:cs="Calibri"/>
              </w:rPr>
            </w:pPr>
            <w:r>
              <w:rPr>
                <w:rFonts w:ascii="Calibri" w:eastAsia="Calibri" w:hAnsi="Calibri" w:cs="Calibri"/>
                <w:sz w:val="18"/>
                <w:szCs w:val="18"/>
              </w:rPr>
              <w:t>WHOQOL-BREF environmental domain score</w:t>
            </w:r>
          </w:p>
        </w:tc>
      </w:tr>
      <w:tr w:rsidR="00BF0CFF" w14:paraId="2D1CBC07" w14:textId="77777777">
        <w:tc>
          <w:tcPr>
            <w:tcW w:w="600" w:type="dxa"/>
          </w:tcPr>
          <w:p w14:paraId="1DE088DE" w14:textId="77777777" w:rsidR="00BF0CFF" w:rsidRDefault="00000000">
            <w:pPr>
              <w:spacing w:line="480" w:lineRule="auto"/>
              <w:rPr>
                <w:rFonts w:ascii="Calibri" w:eastAsia="Calibri" w:hAnsi="Calibri" w:cs="Calibri"/>
              </w:rPr>
            </w:pPr>
            <w:r>
              <w:rPr>
                <w:rFonts w:ascii="Calibri" w:eastAsia="Calibri" w:hAnsi="Calibri" w:cs="Calibri"/>
                <w:sz w:val="18"/>
                <w:szCs w:val="18"/>
              </w:rPr>
              <w:t>30</w:t>
            </w:r>
          </w:p>
        </w:tc>
        <w:tc>
          <w:tcPr>
            <w:tcW w:w="3200" w:type="dxa"/>
          </w:tcPr>
          <w:p w14:paraId="49EF78C6"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work_impairment</w:t>
            </w:r>
          </w:p>
        </w:tc>
        <w:tc>
          <w:tcPr>
            <w:tcW w:w="4842" w:type="dxa"/>
          </w:tcPr>
          <w:p w14:paraId="02F932C1" w14:textId="77777777" w:rsidR="00BF0CFF" w:rsidRDefault="00000000">
            <w:pPr>
              <w:spacing w:line="480" w:lineRule="auto"/>
              <w:rPr>
                <w:rFonts w:ascii="Calibri" w:eastAsia="Calibri" w:hAnsi="Calibri" w:cs="Calibri"/>
              </w:rPr>
            </w:pPr>
            <w:r>
              <w:rPr>
                <w:rFonts w:ascii="Calibri" w:eastAsia="Calibri" w:hAnsi="Calibri" w:cs="Calibri"/>
                <w:sz w:val="18"/>
                <w:szCs w:val="18"/>
              </w:rPr>
              <w:t>Work impairment</w:t>
            </w:r>
          </w:p>
        </w:tc>
      </w:tr>
      <w:tr w:rsidR="00BF0CFF" w14:paraId="3F095A9F" w14:textId="77777777">
        <w:tc>
          <w:tcPr>
            <w:tcW w:w="600" w:type="dxa"/>
          </w:tcPr>
          <w:p w14:paraId="42662EF0" w14:textId="77777777" w:rsidR="00BF0CFF" w:rsidRDefault="00000000">
            <w:pPr>
              <w:spacing w:line="480" w:lineRule="auto"/>
              <w:rPr>
                <w:rFonts w:ascii="Calibri" w:eastAsia="Calibri" w:hAnsi="Calibri" w:cs="Calibri"/>
              </w:rPr>
            </w:pPr>
            <w:r>
              <w:rPr>
                <w:rFonts w:ascii="Calibri" w:eastAsia="Calibri" w:hAnsi="Calibri" w:cs="Calibri"/>
                <w:sz w:val="18"/>
                <w:szCs w:val="18"/>
              </w:rPr>
              <w:t>31</w:t>
            </w:r>
          </w:p>
        </w:tc>
        <w:tc>
          <w:tcPr>
            <w:tcW w:w="3200" w:type="dxa"/>
          </w:tcPr>
          <w:p w14:paraId="65238839"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partner</w:t>
            </w:r>
          </w:p>
        </w:tc>
        <w:tc>
          <w:tcPr>
            <w:tcW w:w="4842" w:type="dxa"/>
          </w:tcPr>
          <w:p w14:paraId="1F2DE726" w14:textId="77777777" w:rsidR="00BF0CFF" w:rsidRDefault="00000000">
            <w:pPr>
              <w:spacing w:line="480" w:lineRule="auto"/>
              <w:rPr>
                <w:rFonts w:ascii="Calibri" w:eastAsia="Calibri" w:hAnsi="Calibri" w:cs="Calibri"/>
              </w:rPr>
            </w:pPr>
            <w:r>
              <w:rPr>
                <w:rFonts w:ascii="Calibri" w:eastAsia="Calibri" w:hAnsi="Calibri" w:cs="Calibri"/>
                <w:sz w:val="18"/>
                <w:szCs w:val="18"/>
              </w:rPr>
              <w:t>Partnership status</w:t>
            </w:r>
          </w:p>
        </w:tc>
      </w:tr>
      <w:tr w:rsidR="00BF0CFF" w14:paraId="55EFEA66" w14:textId="77777777">
        <w:tc>
          <w:tcPr>
            <w:tcW w:w="600" w:type="dxa"/>
          </w:tcPr>
          <w:p w14:paraId="64E659FB" w14:textId="77777777" w:rsidR="00BF0CFF" w:rsidRDefault="00000000">
            <w:pPr>
              <w:spacing w:line="480" w:lineRule="auto"/>
              <w:rPr>
                <w:rFonts w:ascii="Calibri" w:eastAsia="Calibri" w:hAnsi="Calibri" w:cs="Calibri"/>
              </w:rPr>
            </w:pPr>
            <w:r>
              <w:rPr>
                <w:rFonts w:ascii="Calibri" w:eastAsia="Calibri" w:hAnsi="Calibri" w:cs="Calibri"/>
                <w:sz w:val="18"/>
                <w:szCs w:val="18"/>
              </w:rPr>
              <w:t>32</w:t>
            </w:r>
          </w:p>
        </w:tc>
        <w:tc>
          <w:tcPr>
            <w:tcW w:w="3200" w:type="dxa"/>
          </w:tcPr>
          <w:p w14:paraId="7416D250"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marital_stat_Single</w:t>
            </w:r>
          </w:p>
        </w:tc>
        <w:tc>
          <w:tcPr>
            <w:tcW w:w="4842" w:type="dxa"/>
          </w:tcPr>
          <w:p w14:paraId="2A8F48FD" w14:textId="77777777" w:rsidR="00BF0CFF" w:rsidRDefault="00000000">
            <w:pPr>
              <w:spacing w:line="480" w:lineRule="auto"/>
              <w:rPr>
                <w:rFonts w:ascii="Calibri" w:eastAsia="Calibri" w:hAnsi="Calibri" w:cs="Calibri"/>
              </w:rPr>
            </w:pPr>
            <w:r>
              <w:rPr>
                <w:rFonts w:ascii="Calibri" w:eastAsia="Calibri" w:hAnsi="Calibri" w:cs="Calibri"/>
                <w:sz w:val="18"/>
                <w:szCs w:val="18"/>
              </w:rPr>
              <w:t>Marital status: Single</w:t>
            </w:r>
          </w:p>
        </w:tc>
      </w:tr>
      <w:tr w:rsidR="00BF0CFF" w14:paraId="31C1C1AE" w14:textId="77777777">
        <w:tc>
          <w:tcPr>
            <w:tcW w:w="600" w:type="dxa"/>
          </w:tcPr>
          <w:p w14:paraId="700038BF" w14:textId="77777777" w:rsidR="00BF0CFF" w:rsidRDefault="00000000">
            <w:pPr>
              <w:spacing w:line="480" w:lineRule="auto"/>
              <w:rPr>
                <w:rFonts w:ascii="Calibri" w:eastAsia="Calibri" w:hAnsi="Calibri" w:cs="Calibri"/>
              </w:rPr>
            </w:pPr>
            <w:r>
              <w:rPr>
                <w:rFonts w:ascii="Calibri" w:eastAsia="Calibri" w:hAnsi="Calibri" w:cs="Calibri"/>
                <w:sz w:val="18"/>
                <w:szCs w:val="18"/>
              </w:rPr>
              <w:t>33</w:t>
            </w:r>
          </w:p>
        </w:tc>
        <w:tc>
          <w:tcPr>
            <w:tcW w:w="3200" w:type="dxa"/>
          </w:tcPr>
          <w:p w14:paraId="538DF497"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outpat_treatment</w:t>
            </w:r>
          </w:p>
        </w:tc>
        <w:tc>
          <w:tcPr>
            <w:tcW w:w="4842" w:type="dxa"/>
          </w:tcPr>
          <w:p w14:paraId="07ED32C7" w14:textId="77777777" w:rsidR="00BF0CFF" w:rsidRDefault="00000000">
            <w:pPr>
              <w:spacing w:line="480" w:lineRule="auto"/>
              <w:rPr>
                <w:rFonts w:ascii="Calibri" w:eastAsia="Calibri" w:hAnsi="Calibri" w:cs="Calibri"/>
              </w:rPr>
            </w:pPr>
            <w:r>
              <w:rPr>
                <w:rFonts w:ascii="Calibri" w:eastAsia="Calibri" w:hAnsi="Calibri" w:cs="Calibri"/>
                <w:sz w:val="18"/>
                <w:szCs w:val="18"/>
              </w:rPr>
              <w:t>Outpatient treatment (current)</w:t>
            </w:r>
          </w:p>
        </w:tc>
      </w:tr>
      <w:tr w:rsidR="00BF0CFF" w14:paraId="307622B9" w14:textId="77777777">
        <w:tc>
          <w:tcPr>
            <w:tcW w:w="600" w:type="dxa"/>
          </w:tcPr>
          <w:p w14:paraId="712FEB54" w14:textId="77777777" w:rsidR="00BF0CFF" w:rsidRDefault="00000000">
            <w:pPr>
              <w:spacing w:line="480" w:lineRule="auto"/>
              <w:rPr>
                <w:rFonts w:ascii="Calibri" w:eastAsia="Calibri" w:hAnsi="Calibri" w:cs="Calibri"/>
              </w:rPr>
            </w:pPr>
            <w:r>
              <w:rPr>
                <w:rFonts w:ascii="Calibri" w:eastAsia="Calibri" w:hAnsi="Calibri" w:cs="Calibri"/>
                <w:sz w:val="18"/>
                <w:szCs w:val="18"/>
              </w:rPr>
              <w:t>34</w:t>
            </w:r>
          </w:p>
        </w:tc>
        <w:tc>
          <w:tcPr>
            <w:tcW w:w="3200" w:type="dxa"/>
          </w:tcPr>
          <w:p w14:paraId="5663DB6B"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current_psych_treatment</w:t>
            </w:r>
          </w:p>
        </w:tc>
        <w:tc>
          <w:tcPr>
            <w:tcW w:w="4842" w:type="dxa"/>
          </w:tcPr>
          <w:p w14:paraId="4FE572E9" w14:textId="77777777" w:rsidR="00BF0CFF" w:rsidRDefault="00000000">
            <w:pPr>
              <w:spacing w:line="480" w:lineRule="auto"/>
              <w:rPr>
                <w:rFonts w:ascii="Calibri" w:eastAsia="Calibri" w:hAnsi="Calibri" w:cs="Calibri"/>
              </w:rPr>
            </w:pPr>
            <w:r>
              <w:rPr>
                <w:rFonts w:ascii="Calibri" w:eastAsia="Calibri" w:hAnsi="Calibri" w:cs="Calibri"/>
                <w:sz w:val="18"/>
                <w:szCs w:val="18"/>
              </w:rPr>
              <w:t>Current psychiatric treatment</w:t>
            </w:r>
          </w:p>
        </w:tc>
      </w:tr>
      <w:tr w:rsidR="00BF0CFF" w14:paraId="5A601100" w14:textId="77777777">
        <w:tc>
          <w:tcPr>
            <w:tcW w:w="600" w:type="dxa"/>
          </w:tcPr>
          <w:p w14:paraId="3F1ED106" w14:textId="77777777" w:rsidR="00BF0CFF" w:rsidRDefault="00000000">
            <w:pPr>
              <w:spacing w:line="480" w:lineRule="auto"/>
              <w:rPr>
                <w:rFonts w:ascii="Calibri" w:eastAsia="Calibri" w:hAnsi="Calibri" w:cs="Calibri"/>
              </w:rPr>
            </w:pPr>
            <w:r>
              <w:rPr>
                <w:rFonts w:ascii="Calibri" w:eastAsia="Calibri" w:hAnsi="Calibri" w:cs="Calibri"/>
                <w:sz w:val="18"/>
                <w:szCs w:val="18"/>
              </w:rPr>
              <w:t>35</w:t>
            </w:r>
          </w:p>
        </w:tc>
        <w:tc>
          <w:tcPr>
            <w:tcW w:w="3200" w:type="dxa"/>
          </w:tcPr>
          <w:p w14:paraId="1C45A767"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sex</w:t>
            </w:r>
          </w:p>
        </w:tc>
        <w:tc>
          <w:tcPr>
            <w:tcW w:w="4842" w:type="dxa"/>
          </w:tcPr>
          <w:p w14:paraId="3733D430" w14:textId="77777777" w:rsidR="00BF0CFF" w:rsidRDefault="00000000">
            <w:pPr>
              <w:spacing w:line="480" w:lineRule="auto"/>
              <w:rPr>
                <w:rFonts w:ascii="Calibri" w:eastAsia="Calibri" w:hAnsi="Calibri" w:cs="Calibri"/>
              </w:rPr>
            </w:pPr>
            <w:r>
              <w:rPr>
                <w:rFonts w:ascii="Calibri" w:eastAsia="Calibri" w:hAnsi="Calibri" w:cs="Calibri"/>
                <w:sz w:val="18"/>
                <w:szCs w:val="18"/>
              </w:rPr>
              <w:t>Sex</w:t>
            </w:r>
          </w:p>
        </w:tc>
      </w:tr>
      <w:tr w:rsidR="00BF0CFF" w14:paraId="5BB9B226" w14:textId="77777777">
        <w:tc>
          <w:tcPr>
            <w:tcW w:w="600" w:type="dxa"/>
          </w:tcPr>
          <w:p w14:paraId="3279057E" w14:textId="77777777" w:rsidR="00BF0CFF" w:rsidRDefault="00000000">
            <w:pPr>
              <w:spacing w:line="480" w:lineRule="auto"/>
              <w:rPr>
                <w:rFonts w:ascii="Calibri" w:eastAsia="Calibri" w:hAnsi="Calibri" w:cs="Calibri"/>
              </w:rPr>
            </w:pPr>
            <w:r>
              <w:rPr>
                <w:rFonts w:ascii="Calibri" w:eastAsia="Calibri" w:hAnsi="Calibri" w:cs="Calibri"/>
                <w:sz w:val="18"/>
                <w:szCs w:val="18"/>
              </w:rPr>
              <w:t>36</w:t>
            </w:r>
          </w:p>
        </w:tc>
        <w:tc>
          <w:tcPr>
            <w:tcW w:w="3200" w:type="dxa"/>
          </w:tcPr>
          <w:p w14:paraId="67D47A1A"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school</w:t>
            </w:r>
          </w:p>
        </w:tc>
        <w:tc>
          <w:tcPr>
            <w:tcW w:w="4842" w:type="dxa"/>
          </w:tcPr>
          <w:p w14:paraId="5D5D34A6" w14:textId="77777777" w:rsidR="00BF0CFF" w:rsidRDefault="00000000">
            <w:pPr>
              <w:spacing w:line="480" w:lineRule="auto"/>
              <w:rPr>
                <w:rFonts w:ascii="Calibri" w:eastAsia="Calibri" w:hAnsi="Calibri" w:cs="Calibri"/>
              </w:rPr>
            </w:pPr>
            <w:r>
              <w:rPr>
                <w:rFonts w:ascii="Calibri" w:eastAsia="Calibri" w:hAnsi="Calibri" w:cs="Calibri"/>
                <w:sz w:val="18"/>
                <w:szCs w:val="18"/>
              </w:rPr>
              <w:t>Years of schooling</w:t>
            </w:r>
          </w:p>
        </w:tc>
      </w:tr>
      <w:tr w:rsidR="00BF0CFF" w14:paraId="6A5FED6D" w14:textId="77777777">
        <w:tc>
          <w:tcPr>
            <w:tcW w:w="600" w:type="dxa"/>
          </w:tcPr>
          <w:p w14:paraId="7DF44094" w14:textId="77777777" w:rsidR="00BF0CFF" w:rsidRDefault="00000000">
            <w:pPr>
              <w:spacing w:line="480" w:lineRule="auto"/>
              <w:rPr>
                <w:rFonts w:ascii="Calibri" w:eastAsia="Calibri" w:hAnsi="Calibri" w:cs="Calibri"/>
              </w:rPr>
            </w:pPr>
            <w:r>
              <w:rPr>
                <w:rFonts w:ascii="Calibri" w:eastAsia="Calibri" w:hAnsi="Calibri" w:cs="Calibri"/>
                <w:sz w:val="18"/>
                <w:szCs w:val="18"/>
              </w:rPr>
              <w:t>37</w:t>
            </w:r>
          </w:p>
        </w:tc>
        <w:tc>
          <w:tcPr>
            <w:tcW w:w="3200" w:type="dxa"/>
          </w:tcPr>
          <w:p w14:paraId="1E5E79BC"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language_skill_mother tongue</w:t>
            </w:r>
          </w:p>
        </w:tc>
        <w:tc>
          <w:tcPr>
            <w:tcW w:w="4842" w:type="dxa"/>
          </w:tcPr>
          <w:p w14:paraId="2970E077" w14:textId="77777777" w:rsidR="00BF0CFF" w:rsidRDefault="00000000">
            <w:pPr>
              <w:spacing w:line="480" w:lineRule="auto"/>
              <w:rPr>
                <w:rFonts w:ascii="Calibri" w:eastAsia="Calibri" w:hAnsi="Calibri" w:cs="Calibri"/>
              </w:rPr>
            </w:pPr>
            <w:r>
              <w:rPr>
                <w:rFonts w:ascii="Calibri" w:eastAsia="Calibri" w:hAnsi="Calibri" w:cs="Calibri"/>
                <w:sz w:val="18"/>
                <w:szCs w:val="18"/>
              </w:rPr>
              <w:t>Language skill: mother tongue</w:t>
            </w:r>
          </w:p>
        </w:tc>
      </w:tr>
      <w:tr w:rsidR="00BF0CFF" w14:paraId="19F71DCB" w14:textId="77777777">
        <w:tc>
          <w:tcPr>
            <w:tcW w:w="600" w:type="dxa"/>
          </w:tcPr>
          <w:p w14:paraId="7D245146" w14:textId="77777777" w:rsidR="00BF0CFF" w:rsidRDefault="00000000">
            <w:pPr>
              <w:spacing w:line="480" w:lineRule="auto"/>
              <w:rPr>
                <w:rFonts w:ascii="Calibri" w:eastAsia="Calibri" w:hAnsi="Calibri" w:cs="Calibri"/>
              </w:rPr>
            </w:pPr>
            <w:r>
              <w:rPr>
                <w:rFonts w:ascii="Calibri" w:eastAsia="Calibri" w:hAnsi="Calibri" w:cs="Calibri"/>
                <w:sz w:val="18"/>
                <w:szCs w:val="18"/>
              </w:rPr>
              <w:t>38</w:t>
            </w:r>
          </w:p>
        </w:tc>
        <w:tc>
          <w:tcPr>
            <w:tcW w:w="3200" w:type="dxa"/>
          </w:tcPr>
          <w:p w14:paraId="754EF319"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fam_hist</w:t>
            </w:r>
          </w:p>
        </w:tc>
        <w:tc>
          <w:tcPr>
            <w:tcW w:w="4842" w:type="dxa"/>
          </w:tcPr>
          <w:p w14:paraId="70D0EBE8" w14:textId="77777777" w:rsidR="00BF0CFF" w:rsidRDefault="00000000">
            <w:pPr>
              <w:spacing w:line="480" w:lineRule="auto"/>
              <w:rPr>
                <w:rFonts w:ascii="Calibri" w:eastAsia="Calibri" w:hAnsi="Calibri" w:cs="Calibri"/>
              </w:rPr>
            </w:pPr>
            <w:r>
              <w:rPr>
                <w:rFonts w:ascii="Calibri" w:eastAsia="Calibri" w:hAnsi="Calibri" w:cs="Calibri"/>
                <w:sz w:val="18"/>
                <w:szCs w:val="18"/>
              </w:rPr>
              <w:t>Family history of psychiatric illness</w:t>
            </w:r>
          </w:p>
        </w:tc>
      </w:tr>
      <w:tr w:rsidR="00BF0CFF" w14:paraId="1B6B8B18" w14:textId="77777777">
        <w:tc>
          <w:tcPr>
            <w:tcW w:w="600" w:type="dxa"/>
          </w:tcPr>
          <w:p w14:paraId="383EA7A0" w14:textId="77777777" w:rsidR="00BF0CFF" w:rsidRDefault="00000000">
            <w:pPr>
              <w:spacing w:line="480" w:lineRule="auto"/>
              <w:rPr>
                <w:rFonts w:ascii="Calibri" w:eastAsia="Calibri" w:hAnsi="Calibri" w:cs="Calibri"/>
              </w:rPr>
            </w:pPr>
            <w:r>
              <w:rPr>
                <w:rFonts w:ascii="Calibri" w:eastAsia="Calibri" w:hAnsi="Calibri" w:cs="Calibri"/>
                <w:sz w:val="18"/>
                <w:szCs w:val="18"/>
              </w:rPr>
              <w:t>39</w:t>
            </w:r>
          </w:p>
        </w:tc>
        <w:tc>
          <w:tcPr>
            <w:tcW w:w="3200" w:type="dxa"/>
          </w:tcPr>
          <w:p w14:paraId="56B1656A"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smoker_yes</w:t>
            </w:r>
          </w:p>
        </w:tc>
        <w:tc>
          <w:tcPr>
            <w:tcW w:w="4842" w:type="dxa"/>
          </w:tcPr>
          <w:p w14:paraId="6E8C6780" w14:textId="77777777" w:rsidR="00BF0CFF" w:rsidRDefault="00000000">
            <w:pPr>
              <w:spacing w:line="480" w:lineRule="auto"/>
              <w:rPr>
                <w:rFonts w:ascii="Calibri" w:eastAsia="Calibri" w:hAnsi="Calibri" w:cs="Calibri"/>
              </w:rPr>
            </w:pPr>
            <w:r>
              <w:rPr>
                <w:rFonts w:ascii="Calibri" w:eastAsia="Calibri" w:hAnsi="Calibri" w:cs="Calibri"/>
                <w:sz w:val="18"/>
                <w:szCs w:val="18"/>
              </w:rPr>
              <w:t>Current smoker</w:t>
            </w:r>
          </w:p>
        </w:tc>
      </w:tr>
      <w:tr w:rsidR="00BF0CFF" w14:paraId="320029C6" w14:textId="77777777">
        <w:tc>
          <w:tcPr>
            <w:tcW w:w="600" w:type="dxa"/>
          </w:tcPr>
          <w:p w14:paraId="07C3D949" w14:textId="77777777" w:rsidR="00BF0CFF" w:rsidRDefault="00000000">
            <w:pPr>
              <w:spacing w:line="480" w:lineRule="auto"/>
              <w:rPr>
                <w:rFonts w:ascii="Calibri" w:eastAsia="Calibri" w:hAnsi="Calibri" w:cs="Calibri"/>
              </w:rPr>
            </w:pPr>
            <w:r>
              <w:rPr>
                <w:rFonts w:ascii="Calibri" w:eastAsia="Calibri" w:hAnsi="Calibri" w:cs="Calibri"/>
                <w:sz w:val="18"/>
                <w:szCs w:val="18"/>
              </w:rPr>
              <w:t>40</w:t>
            </w:r>
          </w:p>
        </w:tc>
        <w:tc>
          <w:tcPr>
            <w:tcW w:w="3200" w:type="dxa"/>
          </w:tcPr>
          <w:p w14:paraId="7F737685"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illicit_drugs</w:t>
            </w:r>
          </w:p>
        </w:tc>
        <w:tc>
          <w:tcPr>
            <w:tcW w:w="4842" w:type="dxa"/>
          </w:tcPr>
          <w:p w14:paraId="0B96C494" w14:textId="77777777" w:rsidR="00BF0CFF" w:rsidRDefault="00000000">
            <w:pPr>
              <w:spacing w:line="480" w:lineRule="auto"/>
              <w:rPr>
                <w:rFonts w:ascii="Calibri" w:eastAsia="Calibri" w:hAnsi="Calibri" w:cs="Calibri"/>
              </w:rPr>
            </w:pPr>
            <w:r>
              <w:rPr>
                <w:rFonts w:ascii="Calibri" w:eastAsia="Calibri" w:hAnsi="Calibri" w:cs="Calibri"/>
                <w:sz w:val="18"/>
                <w:szCs w:val="18"/>
              </w:rPr>
              <w:t>Illicit drug use</w:t>
            </w:r>
          </w:p>
        </w:tc>
      </w:tr>
      <w:tr w:rsidR="00BF0CFF" w14:paraId="29D81B6C" w14:textId="77777777">
        <w:tc>
          <w:tcPr>
            <w:tcW w:w="600" w:type="dxa"/>
          </w:tcPr>
          <w:p w14:paraId="4B4F59C2" w14:textId="77777777" w:rsidR="00BF0CFF" w:rsidRDefault="00000000">
            <w:pPr>
              <w:spacing w:line="480" w:lineRule="auto"/>
              <w:rPr>
                <w:rFonts w:ascii="Calibri" w:eastAsia="Calibri" w:hAnsi="Calibri" w:cs="Calibri"/>
              </w:rPr>
            </w:pPr>
            <w:r>
              <w:rPr>
                <w:rFonts w:ascii="Calibri" w:eastAsia="Calibri" w:hAnsi="Calibri" w:cs="Calibri"/>
                <w:sz w:val="18"/>
                <w:szCs w:val="18"/>
              </w:rPr>
              <w:t>41</w:t>
            </w:r>
          </w:p>
        </w:tc>
        <w:tc>
          <w:tcPr>
            <w:tcW w:w="3200" w:type="dxa"/>
          </w:tcPr>
          <w:p w14:paraId="3E335698"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inf_disease</w:t>
            </w:r>
          </w:p>
        </w:tc>
        <w:tc>
          <w:tcPr>
            <w:tcW w:w="4842" w:type="dxa"/>
          </w:tcPr>
          <w:p w14:paraId="528DED5E" w14:textId="77777777" w:rsidR="00BF0CFF" w:rsidRDefault="00000000">
            <w:pPr>
              <w:spacing w:line="480" w:lineRule="auto"/>
              <w:rPr>
                <w:rFonts w:ascii="Calibri" w:eastAsia="Calibri" w:hAnsi="Calibri" w:cs="Calibri"/>
              </w:rPr>
            </w:pPr>
            <w:r>
              <w:rPr>
                <w:rFonts w:ascii="Calibri" w:eastAsia="Calibri" w:hAnsi="Calibri" w:cs="Calibri"/>
                <w:sz w:val="18"/>
                <w:szCs w:val="18"/>
              </w:rPr>
              <w:t>Infectious disease (current/past)</w:t>
            </w:r>
          </w:p>
        </w:tc>
      </w:tr>
      <w:tr w:rsidR="00BF0CFF" w14:paraId="6A006505" w14:textId="77777777">
        <w:tc>
          <w:tcPr>
            <w:tcW w:w="600" w:type="dxa"/>
          </w:tcPr>
          <w:p w14:paraId="62A0C3C4" w14:textId="77777777" w:rsidR="00BF0CFF" w:rsidRDefault="00000000">
            <w:pPr>
              <w:spacing w:line="480" w:lineRule="auto"/>
              <w:rPr>
                <w:rFonts w:ascii="Calibri" w:eastAsia="Calibri" w:hAnsi="Calibri" w:cs="Calibri"/>
              </w:rPr>
            </w:pPr>
            <w:r>
              <w:rPr>
                <w:rFonts w:ascii="Calibri" w:eastAsia="Calibri" w:hAnsi="Calibri" w:cs="Calibri"/>
                <w:sz w:val="18"/>
                <w:szCs w:val="18"/>
              </w:rPr>
              <w:t>42</w:t>
            </w:r>
          </w:p>
        </w:tc>
        <w:tc>
          <w:tcPr>
            <w:tcW w:w="3200" w:type="dxa"/>
          </w:tcPr>
          <w:p w14:paraId="4C83259F"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med_change</w:t>
            </w:r>
          </w:p>
        </w:tc>
        <w:tc>
          <w:tcPr>
            <w:tcW w:w="4842" w:type="dxa"/>
          </w:tcPr>
          <w:p w14:paraId="5E47226C" w14:textId="77777777" w:rsidR="00BF0CFF" w:rsidRDefault="00000000">
            <w:pPr>
              <w:spacing w:line="480" w:lineRule="auto"/>
              <w:rPr>
                <w:rFonts w:ascii="Calibri" w:eastAsia="Calibri" w:hAnsi="Calibri" w:cs="Calibri"/>
              </w:rPr>
            </w:pPr>
            <w:r>
              <w:rPr>
                <w:rFonts w:ascii="Calibri" w:eastAsia="Calibri" w:hAnsi="Calibri" w:cs="Calibri"/>
                <w:sz w:val="18"/>
                <w:szCs w:val="18"/>
              </w:rPr>
              <w:t>Medication change (recent)</w:t>
            </w:r>
          </w:p>
        </w:tc>
      </w:tr>
      <w:tr w:rsidR="00BF0CFF" w14:paraId="32B7B5CE" w14:textId="77777777">
        <w:tc>
          <w:tcPr>
            <w:tcW w:w="600" w:type="dxa"/>
          </w:tcPr>
          <w:p w14:paraId="2C305E37" w14:textId="77777777" w:rsidR="00BF0CFF" w:rsidRDefault="00000000">
            <w:pPr>
              <w:spacing w:line="480" w:lineRule="auto"/>
              <w:rPr>
                <w:rFonts w:ascii="Calibri" w:eastAsia="Calibri" w:hAnsi="Calibri" w:cs="Calibri"/>
              </w:rPr>
            </w:pPr>
            <w:r>
              <w:rPr>
                <w:rFonts w:ascii="Calibri" w:eastAsia="Calibri" w:hAnsi="Calibri" w:cs="Calibri"/>
                <w:sz w:val="18"/>
                <w:szCs w:val="18"/>
              </w:rPr>
              <w:t>43</w:t>
            </w:r>
          </w:p>
        </w:tc>
        <w:tc>
          <w:tcPr>
            <w:tcW w:w="3200" w:type="dxa"/>
          </w:tcPr>
          <w:p w14:paraId="569B1EF3"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adverse_events_curr_medication</w:t>
            </w:r>
          </w:p>
        </w:tc>
        <w:tc>
          <w:tcPr>
            <w:tcW w:w="4842" w:type="dxa"/>
          </w:tcPr>
          <w:p w14:paraId="17FF283F" w14:textId="77777777" w:rsidR="00BF0CFF" w:rsidRDefault="00000000">
            <w:pPr>
              <w:spacing w:line="480" w:lineRule="auto"/>
              <w:rPr>
                <w:rFonts w:ascii="Calibri" w:eastAsia="Calibri" w:hAnsi="Calibri" w:cs="Calibri"/>
              </w:rPr>
            </w:pPr>
            <w:r>
              <w:rPr>
                <w:rFonts w:ascii="Calibri" w:eastAsia="Calibri" w:hAnsi="Calibri" w:cs="Calibri"/>
                <w:sz w:val="18"/>
                <w:szCs w:val="18"/>
              </w:rPr>
              <w:t>Adverse events of current medication</w:t>
            </w:r>
          </w:p>
        </w:tc>
      </w:tr>
      <w:tr w:rsidR="00BF0CFF" w14:paraId="23EB721E" w14:textId="77777777">
        <w:tc>
          <w:tcPr>
            <w:tcW w:w="600" w:type="dxa"/>
          </w:tcPr>
          <w:p w14:paraId="4CC66D29" w14:textId="77777777" w:rsidR="00BF0CFF" w:rsidRDefault="00000000">
            <w:pPr>
              <w:spacing w:line="480" w:lineRule="auto"/>
              <w:rPr>
                <w:rFonts w:ascii="Calibri" w:eastAsia="Calibri" w:hAnsi="Calibri" w:cs="Calibri"/>
              </w:rPr>
            </w:pPr>
            <w:r>
              <w:rPr>
                <w:rFonts w:ascii="Calibri" w:eastAsia="Calibri" w:hAnsi="Calibri" w:cs="Calibri"/>
                <w:sz w:val="18"/>
                <w:szCs w:val="18"/>
              </w:rPr>
              <w:t>44</w:t>
            </w:r>
          </w:p>
        </w:tc>
        <w:tc>
          <w:tcPr>
            <w:tcW w:w="3200" w:type="dxa"/>
          </w:tcPr>
          <w:p w14:paraId="7356A91D"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ever_delus</w:t>
            </w:r>
          </w:p>
        </w:tc>
        <w:tc>
          <w:tcPr>
            <w:tcW w:w="4842" w:type="dxa"/>
          </w:tcPr>
          <w:p w14:paraId="5EA2BAF7" w14:textId="77777777" w:rsidR="00BF0CFF" w:rsidRDefault="00000000">
            <w:pPr>
              <w:spacing w:line="480" w:lineRule="auto"/>
              <w:rPr>
                <w:rFonts w:ascii="Calibri" w:eastAsia="Calibri" w:hAnsi="Calibri" w:cs="Calibri"/>
              </w:rPr>
            </w:pPr>
            <w:r>
              <w:rPr>
                <w:rFonts w:ascii="Calibri" w:eastAsia="Calibri" w:hAnsi="Calibri" w:cs="Calibri"/>
                <w:sz w:val="18"/>
                <w:szCs w:val="18"/>
              </w:rPr>
              <w:t>Lifetime delusions</w:t>
            </w:r>
          </w:p>
        </w:tc>
      </w:tr>
      <w:tr w:rsidR="00BF0CFF" w14:paraId="7A0ABD70" w14:textId="77777777">
        <w:tc>
          <w:tcPr>
            <w:tcW w:w="600" w:type="dxa"/>
          </w:tcPr>
          <w:p w14:paraId="1A85C151" w14:textId="77777777" w:rsidR="00BF0CFF" w:rsidRDefault="00000000">
            <w:pPr>
              <w:spacing w:line="480" w:lineRule="auto"/>
              <w:rPr>
                <w:rFonts w:ascii="Calibri" w:eastAsia="Calibri" w:hAnsi="Calibri" w:cs="Calibri"/>
              </w:rPr>
            </w:pPr>
            <w:r>
              <w:rPr>
                <w:rFonts w:ascii="Calibri" w:eastAsia="Calibri" w:hAnsi="Calibri" w:cs="Calibri"/>
                <w:sz w:val="18"/>
                <w:szCs w:val="18"/>
              </w:rPr>
              <w:t>45</w:t>
            </w:r>
          </w:p>
        </w:tc>
        <w:tc>
          <w:tcPr>
            <w:tcW w:w="3200" w:type="dxa"/>
          </w:tcPr>
          <w:p w14:paraId="185600CB" w14:textId="77777777" w:rsidR="00BF0CFF" w:rsidRDefault="00000000">
            <w:pPr>
              <w:spacing w:line="480" w:lineRule="auto"/>
              <w:rPr>
                <w:rFonts w:ascii="Calibri" w:eastAsia="Calibri" w:hAnsi="Calibri" w:cs="Calibri"/>
              </w:rPr>
            </w:pPr>
            <w:r>
              <w:rPr>
                <w:rFonts w:ascii="Calibri" w:eastAsia="Calibri" w:hAnsi="Calibri" w:cs="Calibri"/>
                <w:b/>
                <w:bCs/>
                <w:sz w:val="18"/>
                <w:szCs w:val="18"/>
              </w:rPr>
              <w:t>ever_halluc</w:t>
            </w:r>
          </w:p>
        </w:tc>
        <w:tc>
          <w:tcPr>
            <w:tcW w:w="4842" w:type="dxa"/>
          </w:tcPr>
          <w:p w14:paraId="36692059" w14:textId="77777777" w:rsidR="00BF0CFF" w:rsidRDefault="00000000">
            <w:pPr>
              <w:spacing w:line="480" w:lineRule="auto"/>
              <w:rPr>
                <w:rFonts w:ascii="Calibri" w:eastAsia="Calibri" w:hAnsi="Calibri" w:cs="Calibri"/>
              </w:rPr>
            </w:pPr>
            <w:r>
              <w:rPr>
                <w:rFonts w:ascii="Calibri" w:eastAsia="Calibri" w:hAnsi="Calibri" w:cs="Calibri"/>
                <w:sz w:val="18"/>
                <w:szCs w:val="18"/>
              </w:rPr>
              <w:t>Lifetime hallucinations</w:t>
            </w:r>
          </w:p>
        </w:tc>
      </w:tr>
    </w:tbl>
    <w:p w14:paraId="091259FE" w14:textId="77777777" w:rsidR="00BF0CFF" w:rsidRDefault="00BF0CFF">
      <w:pPr>
        <w:spacing w:line="480" w:lineRule="auto"/>
        <w:rPr>
          <w:rFonts w:ascii="Calibri" w:eastAsia="Calibri" w:hAnsi="Calibri" w:cs="Calibri"/>
        </w:rPr>
      </w:pPr>
    </w:p>
    <w:p w14:paraId="201312C2" w14:textId="77777777" w:rsidR="00BF0CFF" w:rsidRDefault="00000000">
      <w:pPr>
        <w:spacing w:line="480" w:lineRule="auto"/>
        <w:rPr>
          <w:rFonts w:ascii="Calibri" w:eastAsia="Calibri" w:hAnsi="Calibri" w:cs="Calibri"/>
          <w:b/>
          <w:bCs/>
          <w:color w:val="2E4057"/>
        </w:rPr>
      </w:pPr>
      <w:r>
        <w:br w:type="page"/>
      </w:r>
    </w:p>
    <w:p w14:paraId="16C359C5" w14:textId="77777777" w:rsidR="00BF0CFF" w:rsidRDefault="00BF0CFF">
      <w:pPr>
        <w:pStyle w:val="Heading2"/>
        <w:spacing w:line="480" w:lineRule="auto"/>
        <w:rPr>
          <w:rFonts w:ascii="Calibri" w:eastAsia="Calibri" w:hAnsi="Calibri" w:cs="Calibri"/>
        </w:rPr>
      </w:pPr>
    </w:p>
    <w:p w14:paraId="5F57A45F" w14:textId="77777777" w:rsidR="00BF0CFF" w:rsidRDefault="00000000">
      <w:pPr>
        <w:pStyle w:val="Heading1"/>
        <w:spacing w:line="480" w:lineRule="auto"/>
        <w:rPr>
          <w:rFonts w:ascii="Calibri" w:eastAsia="Calibri" w:hAnsi="Calibri" w:cs="Calibri"/>
        </w:rPr>
      </w:pPr>
      <w:r>
        <w:rPr>
          <w:rFonts w:ascii="Calibri" w:eastAsia="Calibri" w:hAnsi="Calibri" w:cs="Calibri"/>
        </w:rPr>
        <w:t>Supplementary Figures</w:t>
      </w:r>
    </w:p>
    <w:p w14:paraId="4049A721" w14:textId="77777777" w:rsidR="00BF0CFF" w:rsidRDefault="00000000">
      <w:pPr>
        <w:pStyle w:val="Heading1"/>
        <w:keepNext/>
        <w:spacing w:line="480" w:lineRule="auto"/>
        <w:rPr>
          <w:rFonts w:ascii="Calibri" w:eastAsia="Calibri" w:hAnsi="Calibri" w:cs="Calibri"/>
        </w:rPr>
      </w:pPr>
      <w:r>
        <w:rPr>
          <w:rFonts w:ascii="Calibri" w:eastAsia="Calibri" w:hAnsi="Calibri" w:cs="Calibri"/>
          <w:noProof/>
        </w:rPr>
        <w:drawing>
          <wp:inline distT="0" distB="0" distL="0" distR="0" wp14:anchorId="30432624" wp14:editId="1B1AFF35">
            <wp:extent cx="5943384" cy="5012690"/>
            <wp:effectExtent l="0" t="0" r="0" b="0"/>
            <wp:docPr id="159578188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
                    <a:srcRect/>
                    <a:stretch>
                      <a:fillRect/>
                    </a:stretch>
                  </pic:blipFill>
                  <pic:spPr>
                    <a:xfrm>
                      <a:off x="0" y="0"/>
                      <a:ext cx="5943384" cy="5012690"/>
                    </a:xfrm>
                    <a:prstGeom prst="rect">
                      <a:avLst/>
                    </a:prstGeom>
                    <a:ln/>
                  </pic:spPr>
                </pic:pic>
              </a:graphicData>
            </a:graphic>
          </wp:inline>
        </w:drawing>
      </w:r>
    </w:p>
    <w:p w14:paraId="649D75ED" w14:textId="4EFD4624" w:rsidR="00BF0CFF" w:rsidRDefault="007E53A0">
      <w:pPr>
        <w:pBdr>
          <w:top w:val="nil"/>
          <w:left w:val="nil"/>
          <w:bottom w:val="nil"/>
          <w:right w:val="nil"/>
          <w:between w:val="nil"/>
        </w:pBdr>
        <w:spacing w:after="200"/>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1. SVM classifier performance.</w:t>
      </w:r>
      <w:r w:rsidR="00000000">
        <w:rPr>
          <w:rFonts w:ascii="Calibri" w:eastAsia="Calibri" w:hAnsi="Calibri" w:cs="Calibri"/>
          <w:color w:val="000000"/>
          <w:sz w:val="20"/>
          <w:szCs w:val="20"/>
        </w:rPr>
        <w:t xml:space="preserve"> </w:t>
      </w:r>
      <w:r w:rsidR="00000000">
        <w:rPr>
          <w:rFonts w:ascii="Calibri" w:eastAsia="Calibri" w:hAnsi="Calibri" w:cs="Calibri"/>
          <w:b/>
          <w:bCs/>
          <w:color w:val="000000"/>
          <w:sz w:val="20"/>
          <w:szCs w:val="20"/>
        </w:rPr>
        <w:t xml:space="preserve">(A) </w:t>
      </w:r>
      <w:r w:rsidR="00000000">
        <w:rPr>
          <w:rFonts w:ascii="Calibri" w:eastAsia="Calibri" w:hAnsi="Calibri" w:cs="Calibri"/>
          <w:color w:val="000000"/>
          <w:sz w:val="20"/>
          <w:szCs w:val="20"/>
        </w:rPr>
        <w:t>Learning curve showing balanced accuracy on training and validation sets across increasing training sample sizes; shading indicates ±1 SD across cross-validation folds.</w:t>
      </w:r>
      <w:r w:rsidR="00000000">
        <w:rPr>
          <w:rFonts w:ascii="Calibri" w:eastAsia="Calibri" w:hAnsi="Calibri" w:cs="Calibri"/>
          <w:b/>
          <w:bCs/>
          <w:color w:val="000000"/>
          <w:sz w:val="20"/>
          <w:szCs w:val="20"/>
        </w:rPr>
        <w:t xml:space="preserve"> (B) </w:t>
      </w:r>
      <w:r w:rsidR="00000000">
        <w:rPr>
          <w:rFonts w:ascii="Calibri" w:eastAsia="Calibri" w:hAnsi="Calibri" w:cs="Calibri"/>
          <w:color w:val="000000"/>
          <w:sz w:val="20"/>
          <w:szCs w:val="20"/>
        </w:rPr>
        <w:t>ROC curves for one-vs-one multiclass classification across all five psychosis subtypes; AUC values ranged from 0.95 to 0.98.</w:t>
      </w:r>
      <w:r w:rsidR="00000000">
        <w:rPr>
          <w:rFonts w:ascii="Calibri" w:eastAsia="Calibri" w:hAnsi="Calibri" w:cs="Calibri"/>
          <w:b/>
          <w:bCs/>
          <w:color w:val="000000"/>
          <w:sz w:val="20"/>
          <w:szCs w:val="20"/>
        </w:rPr>
        <w:t xml:space="preserve"> (C) </w:t>
      </w:r>
      <w:r w:rsidR="00000000">
        <w:rPr>
          <w:rFonts w:ascii="Calibri" w:eastAsia="Calibri" w:hAnsi="Calibri" w:cs="Calibri"/>
          <w:color w:val="000000"/>
          <w:sz w:val="20"/>
          <w:szCs w:val="20"/>
        </w:rPr>
        <w:t>Normalized confusion matrix on the held-out test set; diagonal values reflect proportion correctly classified per class, with absolute counts in parentheses.</w:t>
      </w:r>
      <w:r w:rsidR="00000000">
        <w:rPr>
          <w:rFonts w:ascii="Calibri" w:eastAsia="Calibri" w:hAnsi="Calibri" w:cs="Calibri"/>
          <w:b/>
          <w:bCs/>
          <w:color w:val="000000"/>
          <w:sz w:val="20"/>
          <w:szCs w:val="20"/>
        </w:rPr>
        <w:t xml:space="preserve"> (D) </w:t>
      </w:r>
      <w:r w:rsidR="00000000">
        <w:rPr>
          <w:rFonts w:ascii="Calibri" w:eastAsia="Calibri" w:hAnsi="Calibri" w:cs="Calibri"/>
          <w:color w:val="000000"/>
          <w:sz w:val="20"/>
          <w:szCs w:val="20"/>
        </w:rPr>
        <w:t>Per-class precision, recall, and F1 scores; dashed line indicates 0.80. Class 5 (severe psychosis subtype) achieved the highest AUC (0.98), precision (0.79), recall (0.93), and F1 (0.85).</w:t>
      </w:r>
    </w:p>
    <w:p w14:paraId="07C1F63E" w14:textId="77777777" w:rsidR="00BF0CFF" w:rsidRDefault="00BF0CFF">
      <w:pPr>
        <w:pBdr>
          <w:top w:val="nil"/>
          <w:left w:val="nil"/>
          <w:bottom w:val="nil"/>
          <w:right w:val="nil"/>
          <w:between w:val="nil"/>
        </w:pBdr>
        <w:spacing w:after="200" w:line="480" w:lineRule="auto"/>
        <w:rPr>
          <w:rFonts w:ascii="Calibri" w:eastAsia="Calibri" w:hAnsi="Calibri" w:cs="Calibri"/>
          <w:b/>
          <w:bCs/>
          <w:color w:val="000000"/>
          <w:sz w:val="20"/>
          <w:szCs w:val="20"/>
        </w:rPr>
      </w:pPr>
    </w:p>
    <w:p w14:paraId="371066A4" w14:textId="77777777" w:rsidR="00BF0CFF" w:rsidRDefault="00000000">
      <w:pPr>
        <w:pBdr>
          <w:top w:val="nil"/>
          <w:left w:val="nil"/>
          <w:bottom w:val="nil"/>
          <w:right w:val="nil"/>
          <w:between w:val="nil"/>
        </w:pBdr>
        <w:spacing w:after="200" w:line="480" w:lineRule="auto"/>
        <w:rPr>
          <w:rFonts w:ascii="Calibri" w:eastAsia="Calibri" w:hAnsi="Calibri" w:cs="Calibri"/>
          <w:b/>
          <w:bCs/>
          <w:color w:val="000000"/>
          <w:sz w:val="20"/>
          <w:szCs w:val="20"/>
        </w:rPr>
      </w:pPr>
      <w:r>
        <w:rPr>
          <w:rFonts w:ascii="Calibri" w:eastAsia="Calibri" w:hAnsi="Calibri" w:cs="Calibri"/>
          <w:b/>
          <w:bCs/>
          <w:noProof/>
          <w:color w:val="000000"/>
          <w:sz w:val="20"/>
          <w:szCs w:val="20"/>
        </w:rPr>
        <w:lastRenderedPageBreak/>
        <w:drawing>
          <wp:inline distT="0" distB="0" distL="0" distR="0" wp14:anchorId="75BD5CB5" wp14:editId="7C9A7E64">
            <wp:extent cx="5684812" cy="4229099"/>
            <wp:effectExtent l="0" t="0" r="0" b="0"/>
            <wp:docPr id="159578188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
                    <a:srcRect/>
                    <a:stretch>
                      <a:fillRect/>
                    </a:stretch>
                  </pic:blipFill>
                  <pic:spPr>
                    <a:xfrm>
                      <a:off x="0" y="0"/>
                      <a:ext cx="5684812" cy="4229099"/>
                    </a:xfrm>
                    <a:prstGeom prst="rect">
                      <a:avLst/>
                    </a:prstGeom>
                    <a:ln/>
                  </pic:spPr>
                </pic:pic>
              </a:graphicData>
            </a:graphic>
          </wp:inline>
        </w:drawing>
      </w:r>
    </w:p>
    <w:p w14:paraId="0B3E6B50" w14:textId="44B08AFA" w:rsidR="00BF0CFF" w:rsidRPr="00EC259F" w:rsidRDefault="007E53A0">
      <w:pPr>
        <w:pBdr>
          <w:top w:val="nil"/>
          <w:left w:val="nil"/>
          <w:bottom w:val="nil"/>
          <w:right w:val="nil"/>
          <w:between w:val="nil"/>
        </w:pBdr>
        <w:spacing w:after="200"/>
        <w:rPr>
          <w:rFonts w:ascii="Calibri" w:eastAsia="Calibri" w:hAnsi="Calibri" w:cs="Calibri"/>
          <w:color w:val="000000"/>
          <w:sz w:val="20"/>
          <w:szCs w:val="20"/>
          <w:lang w:val="en-US"/>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 xml:space="preserve">2. Distribution of predicted probability of severe psychosis probability in the PRS sample (n=1,190) and the lipid subsample (n=428). </w:t>
      </w:r>
      <w:r w:rsidR="00000000">
        <w:rPr>
          <w:rFonts w:ascii="Calibri" w:eastAsia="Calibri" w:hAnsi="Calibri" w:cs="Calibri"/>
          <w:color w:val="000000"/>
          <w:sz w:val="20"/>
          <w:szCs w:val="20"/>
        </w:rPr>
        <w:t>Histograms show the distribution of machine-learning-derived severe psychosis subtype probability scores (0–1) in the PRS sample (n=1,190; top) and the lipidomics subset (n=428; bottom).</w:t>
      </w:r>
      <w:r w:rsidR="00EC259F">
        <w:rPr>
          <w:rFonts w:ascii="Calibri" w:eastAsia="Calibri" w:hAnsi="Calibri" w:cs="Calibri"/>
          <w:color w:val="000000"/>
          <w:sz w:val="20"/>
          <w:szCs w:val="20"/>
          <w:lang w:val="en-US"/>
        </w:rPr>
        <w:t xml:space="preserve"> The right-skewed distribution reflects the low base rate of the severe psychosis subtype in the transdiagnostic PsyCourse cohort. Scores were generated by a calibrated support vector machine classifier replicating the previously identified severe psychosis subtype (1). </w:t>
      </w:r>
    </w:p>
    <w:p w14:paraId="74A78558" w14:textId="77777777" w:rsidR="00BF0CFF" w:rsidRDefault="00BF0CFF">
      <w:pPr>
        <w:spacing w:line="480" w:lineRule="auto"/>
        <w:rPr>
          <w:rFonts w:ascii="Calibri" w:eastAsia="Calibri" w:hAnsi="Calibri" w:cs="Calibri"/>
        </w:rPr>
      </w:pPr>
    </w:p>
    <w:p w14:paraId="59B38464" w14:textId="77777777" w:rsidR="00BF0CFF" w:rsidRDefault="00BF0CFF">
      <w:pPr>
        <w:spacing w:line="480" w:lineRule="auto"/>
        <w:rPr>
          <w:rFonts w:ascii="Calibri" w:eastAsia="Calibri" w:hAnsi="Calibri" w:cs="Calibri"/>
        </w:rPr>
      </w:pPr>
    </w:p>
    <w:p w14:paraId="56EAE118" w14:textId="77777777" w:rsidR="00BF0CFF" w:rsidRDefault="00000000">
      <w:pPr>
        <w:keepNext/>
        <w:pBdr>
          <w:top w:val="nil"/>
          <w:left w:val="nil"/>
          <w:bottom w:val="nil"/>
          <w:right w:val="nil"/>
          <w:between w:val="nil"/>
        </w:pBdr>
        <w:spacing w:after="200" w:line="480" w:lineRule="auto"/>
        <w:rPr>
          <w:rFonts w:ascii="Calibri" w:eastAsia="Calibri" w:hAnsi="Calibri" w:cs="Calibri"/>
          <w:b/>
          <w:bCs/>
          <w:color w:val="000000"/>
          <w:sz w:val="20"/>
          <w:szCs w:val="20"/>
        </w:rPr>
      </w:pPr>
      <w:r>
        <w:rPr>
          <w:rFonts w:ascii="Calibri" w:eastAsia="Calibri" w:hAnsi="Calibri" w:cs="Calibri"/>
          <w:b/>
          <w:bCs/>
          <w:noProof/>
          <w:color w:val="000000"/>
          <w:sz w:val="20"/>
          <w:szCs w:val="20"/>
        </w:rPr>
        <w:lastRenderedPageBreak/>
        <w:drawing>
          <wp:inline distT="0" distB="0" distL="0" distR="0" wp14:anchorId="4DEFBF15" wp14:editId="0182731B">
            <wp:extent cx="5342055" cy="4843728"/>
            <wp:effectExtent l="0" t="0" r="0" b="0"/>
            <wp:docPr id="159578188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7"/>
                    <a:srcRect/>
                    <a:stretch>
                      <a:fillRect/>
                    </a:stretch>
                  </pic:blipFill>
                  <pic:spPr>
                    <a:xfrm>
                      <a:off x="0" y="0"/>
                      <a:ext cx="5342055" cy="4843728"/>
                    </a:xfrm>
                    <a:prstGeom prst="rect">
                      <a:avLst/>
                    </a:prstGeom>
                    <a:ln/>
                  </pic:spPr>
                </pic:pic>
              </a:graphicData>
            </a:graphic>
          </wp:inline>
        </w:drawing>
      </w:r>
    </w:p>
    <w:p w14:paraId="0BCA3DB9" w14:textId="0173AC8B" w:rsidR="00BF0CFF" w:rsidRDefault="007E53A0">
      <w:pPr>
        <w:pBdr>
          <w:top w:val="nil"/>
          <w:left w:val="nil"/>
          <w:bottom w:val="nil"/>
          <w:right w:val="nil"/>
          <w:between w:val="nil"/>
        </w:pBdr>
        <w:spacing w:after="200" w:line="480" w:lineRule="auto"/>
        <w:rPr>
          <w:rFonts w:ascii="Calibri" w:eastAsia="Calibri" w:hAnsi="Calibri" w:cs="Calibri"/>
          <w:b/>
          <w:bCs/>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10122A" w:rsidRPr="00EC259F">
        <w:rPr>
          <w:rFonts w:ascii="Calibri" w:eastAsia="Calibri" w:hAnsi="Calibri" w:cs="Calibri"/>
          <w:b/>
          <w:bCs/>
          <w:color w:val="000000"/>
          <w:sz w:val="20"/>
          <w:szCs w:val="20"/>
          <w:lang w:val="en-US"/>
        </w:rPr>
        <w:t>F</w:t>
      </w:r>
      <w:r w:rsidR="0010122A">
        <w:rPr>
          <w:rFonts w:ascii="Calibri" w:eastAsia="Calibri" w:hAnsi="Calibri" w:cs="Calibri"/>
          <w:b/>
          <w:bCs/>
          <w:color w:val="000000"/>
          <w:sz w:val="20"/>
          <w:szCs w:val="20"/>
        </w:rPr>
        <w:t xml:space="preserve">igure </w:t>
      </w:r>
      <w:r w:rsidR="0010122A" w:rsidRPr="00EC259F">
        <w:rPr>
          <w:rFonts w:ascii="Calibri" w:eastAsia="Calibri" w:hAnsi="Calibri" w:cs="Calibri"/>
          <w:b/>
          <w:bCs/>
          <w:color w:val="000000"/>
          <w:sz w:val="20"/>
          <w:szCs w:val="20"/>
          <w:lang w:val="en-US"/>
        </w:rPr>
        <w:t>S</w:t>
      </w:r>
      <w:r w:rsidR="0010122A">
        <w:rPr>
          <w:rFonts w:ascii="Calibri" w:eastAsia="Calibri" w:hAnsi="Calibri" w:cs="Calibri"/>
          <w:b/>
          <w:bCs/>
          <w:color w:val="000000"/>
          <w:sz w:val="20"/>
          <w:szCs w:val="20"/>
        </w:rPr>
        <w:t>3. Correlation matrix of polygenic risk scores.</w:t>
      </w:r>
      <w:r w:rsidR="0010122A">
        <w:rPr>
          <w:rFonts w:ascii="Calibri" w:eastAsia="Calibri" w:hAnsi="Calibri" w:cs="Calibri"/>
          <w:color w:val="000000"/>
          <w:sz w:val="20"/>
          <w:szCs w:val="20"/>
        </w:rPr>
        <w:t xml:space="preserve"> Pearson correlations between all 14 PRS included in the primary analysis and their four lipid-restricted counterparts (prefixed "Lipid_"). Color intensity reflects correlation magnitude; red = positive, blue = negative. Notable correlations include MDD-PRS and Neuroticism-PRS (r=0.53), SCZ-PRS and BD-PRS (r=0.48), and moderate correlations between each full PRS and its lipid-restricted counterpart (r=0.25–0.33).</w:t>
      </w:r>
    </w:p>
    <w:p w14:paraId="68AE9A2D" w14:textId="77777777" w:rsidR="00BF0CFF" w:rsidRDefault="00000000">
      <w:pPr>
        <w:keepNext/>
        <w:pBdr>
          <w:top w:val="nil"/>
          <w:left w:val="nil"/>
          <w:bottom w:val="nil"/>
          <w:right w:val="nil"/>
          <w:between w:val="nil"/>
        </w:pBdr>
        <w:spacing w:after="200" w:line="480" w:lineRule="auto"/>
        <w:rPr>
          <w:rFonts w:ascii="Calibri" w:eastAsia="Calibri" w:hAnsi="Calibri" w:cs="Calibri"/>
          <w:b/>
          <w:bCs/>
          <w:color w:val="000000"/>
          <w:sz w:val="20"/>
          <w:szCs w:val="20"/>
        </w:rPr>
      </w:pPr>
      <w:r>
        <w:rPr>
          <w:rFonts w:ascii="Calibri" w:eastAsia="Calibri" w:hAnsi="Calibri" w:cs="Calibri"/>
          <w:b/>
          <w:bCs/>
          <w:noProof/>
          <w:color w:val="000000"/>
          <w:sz w:val="20"/>
          <w:szCs w:val="20"/>
        </w:rPr>
        <w:lastRenderedPageBreak/>
        <w:drawing>
          <wp:inline distT="0" distB="0" distL="0" distR="0" wp14:anchorId="04868A8F" wp14:editId="387E48D2">
            <wp:extent cx="5943416" cy="6814820"/>
            <wp:effectExtent l="0" t="0" r="0" b="0"/>
            <wp:docPr id="159578188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5943416" cy="6814820"/>
                    </a:xfrm>
                    <a:prstGeom prst="rect">
                      <a:avLst/>
                    </a:prstGeom>
                    <a:ln/>
                  </pic:spPr>
                </pic:pic>
              </a:graphicData>
            </a:graphic>
          </wp:inline>
        </w:drawing>
      </w:r>
    </w:p>
    <w:p w14:paraId="0D5DA47D" w14:textId="7CEF6167" w:rsidR="00BF0CFF" w:rsidRPr="0010122A" w:rsidRDefault="007E53A0">
      <w:pPr>
        <w:pBdr>
          <w:top w:val="nil"/>
          <w:left w:val="nil"/>
          <w:bottom w:val="nil"/>
          <w:right w:val="nil"/>
          <w:between w:val="nil"/>
        </w:pBdr>
        <w:spacing w:after="200" w:line="480" w:lineRule="auto"/>
        <w:rPr>
          <w:rFonts w:ascii="Calibri" w:eastAsia="Calibri" w:hAnsi="Calibri" w:cs="Calibri"/>
          <w:b/>
          <w:bCs/>
          <w:color w:val="000000"/>
          <w:sz w:val="20"/>
          <w:szCs w:val="20"/>
          <w:lang w:val="en-US"/>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4. Lipid species associations with severe psychosis subtype probability across sensitivity models.</w:t>
      </w:r>
      <w:r w:rsidR="00000000">
        <w:rPr>
          <w:rFonts w:ascii="Calibri" w:eastAsia="Calibri" w:hAnsi="Calibri" w:cs="Calibri"/>
          <w:color w:val="000000"/>
          <w:sz w:val="20"/>
          <w:szCs w:val="20"/>
        </w:rPr>
        <w:t xml:space="preserve"> Forest plots show OLS regression coefficients (β) with 95% confidence intervals for the top 20 lipid species by absolute effect size in each model. Fill color indicates significance: dark green, FDR &lt; 0.05; light green, p &lt; 0.05 uncorrected; open, not significant. </w:t>
      </w:r>
      <w:r w:rsidR="00000000">
        <w:rPr>
          <w:rFonts w:ascii="Calibri" w:eastAsia="Calibri" w:hAnsi="Calibri" w:cs="Calibri"/>
          <w:b/>
          <w:bCs/>
          <w:color w:val="000000"/>
          <w:sz w:val="20"/>
          <w:szCs w:val="20"/>
        </w:rPr>
        <w:t>(A)</w:t>
      </w:r>
      <w:r w:rsidR="00000000">
        <w:rPr>
          <w:rFonts w:ascii="Calibri" w:eastAsia="Calibri" w:hAnsi="Calibri" w:cs="Calibri"/>
          <w:color w:val="000000"/>
          <w:sz w:val="20"/>
          <w:szCs w:val="20"/>
        </w:rPr>
        <w:t xml:space="preserve"> Primary model, adjusted for age, sex, BMI, duration of illness, and smoking </w:t>
      </w:r>
      <w:r w:rsidR="00000000">
        <w:rPr>
          <w:rFonts w:ascii="Calibri" w:eastAsia="Calibri" w:hAnsi="Calibri" w:cs="Calibri"/>
          <w:color w:val="000000"/>
          <w:sz w:val="20"/>
          <w:szCs w:val="20"/>
        </w:rPr>
        <w:lastRenderedPageBreak/>
        <w:t xml:space="preserve">status. </w:t>
      </w:r>
      <w:r w:rsidR="00000000">
        <w:rPr>
          <w:rFonts w:ascii="Calibri" w:eastAsia="Calibri" w:hAnsi="Calibri" w:cs="Calibri"/>
          <w:b/>
          <w:bCs/>
          <w:color w:val="000000"/>
          <w:sz w:val="20"/>
          <w:szCs w:val="20"/>
        </w:rPr>
        <w:t>(B)</w:t>
      </w:r>
      <w:r w:rsidR="00000000">
        <w:rPr>
          <w:rFonts w:ascii="Calibri" w:eastAsia="Calibri" w:hAnsi="Calibri" w:cs="Calibri"/>
          <w:color w:val="000000"/>
          <w:sz w:val="20"/>
          <w:szCs w:val="20"/>
        </w:rPr>
        <w:t xml:space="preserve"> Additionally adjusted for number of medications. </w:t>
      </w:r>
      <w:r w:rsidR="00000000">
        <w:rPr>
          <w:rFonts w:ascii="Calibri" w:eastAsia="Calibri" w:hAnsi="Calibri" w:cs="Calibri"/>
          <w:b/>
          <w:bCs/>
          <w:color w:val="000000"/>
          <w:sz w:val="20"/>
          <w:szCs w:val="20"/>
        </w:rPr>
        <w:t>(C)</w:t>
      </w:r>
      <w:r w:rsidR="00000000">
        <w:rPr>
          <w:rFonts w:ascii="Calibri" w:eastAsia="Calibri" w:hAnsi="Calibri" w:cs="Calibri"/>
          <w:color w:val="000000"/>
          <w:sz w:val="20"/>
          <w:szCs w:val="20"/>
        </w:rPr>
        <w:t xml:space="preserve"> Additionally adjusted for diagnosis. </w:t>
      </w:r>
      <w:r w:rsidR="00000000">
        <w:rPr>
          <w:rFonts w:ascii="Calibri" w:eastAsia="Calibri" w:hAnsi="Calibri" w:cs="Calibri"/>
          <w:b/>
          <w:bCs/>
          <w:color w:val="000000"/>
          <w:sz w:val="20"/>
          <w:szCs w:val="20"/>
        </w:rPr>
        <w:t>(D)</w:t>
      </w:r>
      <w:r w:rsidR="00000000">
        <w:rPr>
          <w:rFonts w:ascii="Calibri" w:eastAsia="Calibri" w:hAnsi="Calibri" w:cs="Calibri"/>
          <w:color w:val="000000"/>
          <w:sz w:val="20"/>
          <w:szCs w:val="20"/>
        </w:rPr>
        <w:t xml:space="preserve"> Additionally adjusted for both medication and diagnosis.</w:t>
      </w:r>
      <w:r w:rsidR="0010122A" w:rsidRPr="0010122A">
        <w:rPr>
          <w:rFonts w:ascii="Calibri" w:eastAsia="Calibri" w:hAnsi="Calibri" w:cs="Calibri"/>
          <w:color w:val="000000"/>
          <w:sz w:val="20"/>
          <w:szCs w:val="20"/>
          <w:lang w:val="en-US"/>
        </w:rPr>
        <w:t xml:space="preserve"> Full results </w:t>
      </w:r>
      <w:r w:rsidR="0010122A">
        <w:rPr>
          <w:rFonts w:ascii="Calibri" w:eastAsia="Calibri" w:hAnsi="Calibri" w:cs="Calibri"/>
          <w:color w:val="000000"/>
          <w:sz w:val="20"/>
          <w:szCs w:val="20"/>
          <w:lang w:val="en-US"/>
        </w:rPr>
        <w:t>are in Supplemental Tables 6-9.</w:t>
      </w:r>
    </w:p>
    <w:p w14:paraId="5C7C17B7" w14:textId="77777777" w:rsidR="00BF0CFF" w:rsidRDefault="00000000">
      <w:pPr>
        <w:keepNext/>
        <w:spacing w:line="480" w:lineRule="auto"/>
        <w:rPr>
          <w:rFonts w:ascii="Calibri" w:eastAsia="Calibri" w:hAnsi="Calibri" w:cs="Calibri"/>
        </w:rPr>
      </w:pPr>
      <w:r>
        <w:rPr>
          <w:rFonts w:ascii="Calibri" w:eastAsia="Calibri" w:hAnsi="Calibri" w:cs="Calibri"/>
          <w:noProof/>
        </w:rPr>
        <w:lastRenderedPageBreak/>
        <w:drawing>
          <wp:inline distT="0" distB="0" distL="0" distR="0" wp14:anchorId="5FBC8075" wp14:editId="5D98FAC5">
            <wp:extent cx="5943599" cy="6840747"/>
            <wp:effectExtent l="0" t="0" r="0" b="0"/>
            <wp:docPr id="159578188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
                    <a:srcRect/>
                    <a:stretch>
                      <a:fillRect/>
                    </a:stretch>
                  </pic:blipFill>
                  <pic:spPr>
                    <a:xfrm>
                      <a:off x="0" y="0"/>
                      <a:ext cx="5943599" cy="6840747"/>
                    </a:xfrm>
                    <a:prstGeom prst="rect">
                      <a:avLst/>
                    </a:prstGeom>
                    <a:ln/>
                  </pic:spPr>
                </pic:pic>
              </a:graphicData>
            </a:graphic>
          </wp:inline>
        </w:drawing>
      </w:r>
    </w:p>
    <w:p w14:paraId="1FA6AC30" w14:textId="0BC92C89" w:rsidR="00BF0CFF" w:rsidRDefault="007E53A0">
      <w:pPr>
        <w:pBdr>
          <w:top w:val="nil"/>
          <w:left w:val="nil"/>
          <w:bottom w:val="nil"/>
          <w:right w:val="nil"/>
          <w:between w:val="nil"/>
        </w:pBdr>
        <w:spacing w:after="200" w:line="480" w:lineRule="auto"/>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 xml:space="preserve">5. Lipid species associations with PANSS subscale scores as covariates. </w:t>
      </w:r>
      <w:r w:rsidR="00000000">
        <w:rPr>
          <w:rFonts w:ascii="Calibri" w:eastAsia="Calibri" w:hAnsi="Calibri" w:cs="Calibri"/>
          <w:color w:val="000000"/>
          <w:sz w:val="20"/>
          <w:szCs w:val="20"/>
        </w:rPr>
        <w:t xml:space="preserve">Forest plots show OLS regression coefficients (β) with 95% confidence intervals for the top 20 lipid species by absolute effect size, with PANSS positive (A), negative (B), general (C), and total (D) subscale scores as the outcome variable. All models </w:t>
      </w:r>
      <w:r w:rsidR="00000000">
        <w:rPr>
          <w:rFonts w:ascii="Calibri" w:eastAsia="Calibri" w:hAnsi="Calibri" w:cs="Calibri"/>
          <w:color w:val="000000"/>
          <w:sz w:val="20"/>
          <w:szCs w:val="20"/>
        </w:rPr>
        <w:lastRenderedPageBreak/>
        <w:t>adjusted for age, sex, BMI, duration of illness, and smoking status. Fill color indicates significance: dark green, FDR &lt; 0.05; light green, p &lt; 0.05 uncorrected; open, not significant.</w:t>
      </w:r>
    </w:p>
    <w:p w14:paraId="582865B5" w14:textId="77777777" w:rsidR="00BF0CFF" w:rsidRDefault="00000000">
      <w:pPr>
        <w:spacing w:line="480" w:lineRule="auto"/>
        <w:rPr>
          <w:rFonts w:ascii="Calibri" w:eastAsia="Calibri" w:hAnsi="Calibri" w:cs="Calibri"/>
        </w:rPr>
      </w:pPr>
      <w:r>
        <w:br w:type="page"/>
      </w:r>
    </w:p>
    <w:p w14:paraId="20D2BA68" w14:textId="77777777" w:rsidR="00BF0CFF" w:rsidRDefault="00000000">
      <w:pPr>
        <w:keepNext/>
        <w:spacing w:line="480" w:lineRule="auto"/>
        <w:rPr>
          <w:rFonts w:ascii="Calibri" w:eastAsia="Calibri" w:hAnsi="Calibri" w:cs="Calibri"/>
        </w:rPr>
      </w:pPr>
      <w:r>
        <w:rPr>
          <w:rFonts w:ascii="Calibri" w:eastAsia="Calibri" w:hAnsi="Calibri" w:cs="Calibri"/>
          <w:noProof/>
        </w:rPr>
        <w:lastRenderedPageBreak/>
        <w:drawing>
          <wp:inline distT="0" distB="0" distL="0" distR="0" wp14:anchorId="50D9317B" wp14:editId="374C1453">
            <wp:extent cx="5943600" cy="6884035"/>
            <wp:effectExtent l="0" t="0" r="0" b="0"/>
            <wp:docPr id="159578187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5943600" cy="6884035"/>
                    </a:xfrm>
                    <a:prstGeom prst="rect">
                      <a:avLst/>
                    </a:prstGeom>
                    <a:ln/>
                  </pic:spPr>
                </pic:pic>
              </a:graphicData>
            </a:graphic>
          </wp:inline>
        </w:drawing>
      </w:r>
    </w:p>
    <w:p w14:paraId="4F45DF9A" w14:textId="6B7F18B1" w:rsidR="00BF0CFF" w:rsidRDefault="007E53A0">
      <w:pPr>
        <w:pBdr>
          <w:top w:val="nil"/>
          <w:left w:val="nil"/>
          <w:bottom w:val="nil"/>
          <w:right w:val="nil"/>
          <w:between w:val="nil"/>
        </w:pBdr>
        <w:spacing w:after="200"/>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6.</w:t>
      </w:r>
      <w:r w:rsidR="00000000">
        <w:rPr>
          <w:rFonts w:ascii="Calibri" w:eastAsia="Calibri" w:hAnsi="Calibri" w:cs="Calibri"/>
          <w:b/>
          <w:bCs/>
          <w:sz w:val="20"/>
          <w:szCs w:val="20"/>
        </w:rPr>
        <w:t xml:space="preserve"> </w:t>
      </w:r>
      <w:r w:rsidR="00000000">
        <w:rPr>
          <w:rFonts w:ascii="Calibri" w:eastAsia="Calibri" w:hAnsi="Calibri" w:cs="Calibri"/>
          <w:b/>
          <w:bCs/>
          <w:color w:val="000000"/>
          <w:sz w:val="20"/>
          <w:szCs w:val="20"/>
        </w:rPr>
        <w:t xml:space="preserve"> Lipid species associations with the number of medications as covariates. </w:t>
      </w:r>
      <w:r w:rsidR="00000000">
        <w:rPr>
          <w:rFonts w:ascii="Calibri" w:eastAsia="Calibri" w:hAnsi="Calibri" w:cs="Calibri"/>
          <w:color w:val="000000"/>
          <w:sz w:val="20"/>
          <w:szCs w:val="20"/>
        </w:rPr>
        <w:t xml:space="preserve">Boxplots show distributions of species-level OLS regression coefficients (β) grouped by lipid class, from models additionally adjusting for </w:t>
      </w:r>
      <w:r w:rsidR="00000000">
        <w:rPr>
          <w:rFonts w:ascii="Calibri" w:eastAsia="Calibri" w:hAnsi="Calibri" w:cs="Calibri"/>
          <w:b/>
          <w:bCs/>
          <w:color w:val="000000"/>
          <w:sz w:val="20"/>
          <w:szCs w:val="20"/>
        </w:rPr>
        <w:t>(A),</w:t>
      </w:r>
      <w:r w:rsidR="00000000">
        <w:rPr>
          <w:rFonts w:ascii="Calibri" w:eastAsia="Calibri" w:hAnsi="Calibri" w:cs="Calibri"/>
          <w:color w:val="000000"/>
          <w:sz w:val="20"/>
          <w:szCs w:val="20"/>
        </w:rPr>
        <w:t xml:space="preserve"> antidepressants </w:t>
      </w:r>
      <w:r w:rsidR="00000000">
        <w:rPr>
          <w:rFonts w:ascii="Calibri" w:eastAsia="Calibri" w:hAnsi="Calibri" w:cs="Calibri"/>
          <w:b/>
          <w:bCs/>
          <w:color w:val="000000"/>
          <w:sz w:val="20"/>
          <w:szCs w:val="20"/>
        </w:rPr>
        <w:t>(B),</w:t>
      </w:r>
      <w:r w:rsidR="00000000">
        <w:rPr>
          <w:rFonts w:ascii="Calibri" w:eastAsia="Calibri" w:hAnsi="Calibri" w:cs="Calibri"/>
          <w:color w:val="000000"/>
          <w:sz w:val="20"/>
          <w:szCs w:val="20"/>
        </w:rPr>
        <w:t xml:space="preserve"> antipsychotics </w:t>
      </w:r>
      <w:r w:rsidR="00000000">
        <w:rPr>
          <w:rFonts w:ascii="Calibri" w:eastAsia="Calibri" w:hAnsi="Calibri" w:cs="Calibri"/>
          <w:b/>
          <w:bCs/>
          <w:color w:val="000000"/>
          <w:sz w:val="20"/>
          <w:szCs w:val="20"/>
        </w:rPr>
        <w:t xml:space="preserve">(C) </w:t>
      </w:r>
      <w:r w:rsidR="00000000">
        <w:rPr>
          <w:rFonts w:ascii="Calibri" w:eastAsia="Calibri" w:hAnsi="Calibri" w:cs="Calibri"/>
          <w:color w:val="000000"/>
          <w:sz w:val="20"/>
          <w:szCs w:val="20"/>
        </w:rPr>
        <w:t xml:space="preserve">tranquilizers and </w:t>
      </w:r>
      <w:r w:rsidR="00000000">
        <w:rPr>
          <w:rFonts w:ascii="Calibri" w:eastAsia="Calibri" w:hAnsi="Calibri" w:cs="Calibri"/>
          <w:b/>
          <w:bCs/>
          <w:color w:val="000000"/>
          <w:sz w:val="20"/>
          <w:szCs w:val="20"/>
        </w:rPr>
        <w:t>(D</w:t>
      </w:r>
      <w:r w:rsidR="00000000">
        <w:rPr>
          <w:rFonts w:ascii="Calibri" w:eastAsia="Calibri" w:hAnsi="Calibri" w:cs="Calibri"/>
          <w:color w:val="000000"/>
          <w:sz w:val="20"/>
          <w:szCs w:val="20"/>
        </w:rPr>
        <w:t>) mood stabilizers as covariates (alongside age, sex, BMI, duration of illness, and smoking status). Dark green boxes indicate lipid classes with FDR-significant enrichment (q &lt; 0.05) from permutation-based enrichment analysis (5,000 permutations); open boxes indicate non-significant classes. The dashed line indicates β = 0; outliers shown as individual points.</w:t>
      </w:r>
    </w:p>
    <w:p w14:paraId="469FFD26" w14:textId="77777777" w:rsidR="00BF0CFF" w:rsidRDefault="00BF0CFF">
      <w:pPr>
        <w:spacing w:line="480" w:lineRule="auto"/>
        <w:rPr>
          <w:rFonts w:ascii="Calibri" w:eastAsia="Calibri" w:hAnsi="Calibri" w:cs="Calibri"/>
        </w:rPr>
      </w:pPr>
    </w:p>
    <w:p w14:paraId="02BF6B5B" w14:textId="77777777" w:rsidR="00BF0CFF" w:rsidRDefault="00000000">
      <w:pPr>
        <w:keepNext/>
        <w:spacing w:line="480" w:lineRule="auto"/>
        <w:rPr>
          <w:rFonts w:ascii="Calibri" w:eastAsia="Calibri" w:hAnsi="Calibri" w:cs="Calibri"/>
        </w:rPr>
      </w:pPr>
      <w:r>
        <w:rPr>
          <w:rFonts w:ascii="Calibri" w:eastAsia="Calibri" w:hAnsi="Calibri" w:cs="Calibri"/>
          <w:noProof/>
        </w:rPr>
        <w:drawing>
          <wp:inline distT="0" distB="0" distL="0" distR="0" wp14:anchorId="7CB4896B" wp14:editId="3508C2D6">
            <wp:extent cx="6089449" cy="4208209"/>
            <wp:effectExtent l="0" t="0" r="0" b="0"/>
            <wp:docPr id="159578187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6089449" cy="4208209"/>
                    </a:xfrm>
                    <a:prstGeom prst="rect">
                      <a:avLst/>
                    </a:prstGeom>
                    <a:ln/>
                  </pic:spPr>
                </pic:pic>
              </a:graphicData>
            </a:graphic>
          </wp:inline>
        </w:drawing>
      </w:r>
    </w:p>
    <w:p w14:paraId="04863FA7" w14:textId="0F6CDB41" w:rsidR="00BF0CFF" w:rsidRDefault="007E53A0">
      <w:pPr>
        <w:pBdr>
          <w:top w:val="nil"/>
          <w:left w:val="nil"/>
          <w:bottom w:val="nil"/>
          <w:right w:val="nil"/>
          <w:between w:val="nil"/>
        </w:pBdr>
        <w:spacing w:after="200"/>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 xml:space="preserve">7. Lipid class enrichment in severe psychosis subtype probability after adjustment for PANSS subscales. </w:t>
      </w:r>
      <w:r w:rsidR="00000000">
        <w:rPr>
          <w:rFonts w:ascii="Calibri" w:eastAsia="Calibri" w:hAnsi="Calibri" w:cs="Calibri"/>
          <w:color w:val="000000"/>
          <w:sz w:val="20"/>
          <w:szCs w:val="20"/>
        </w:rPr>
        <w:t xml:space="preserve">Boxplots show distributions of species-level OLS regression coefficients (β) grouped by lipid class, from models additionally adjusting for PANSS positive </w:t>
      </w:r>
      <w:r w:rsidR="00000000">
        <w:rPr>
          <w:rFonts w:ascii="Calibri" w:eastAsia="Calibri" w:hAnsi="Calibri" w:cs="Calibri"/>
          <w:b/>
          <w:bCs/>
          <w:color w:val="000000"/>
          <w:sz w:val="20"/>
          <w:szCs w:val="20"/>
        </w:rPr>
        <w:t>(A),</w:t>
      </w:r>
      <w:r w:rsidR="00000000">
        <w:rPr>
          <w:rFonts w:ascii="Calibri" w:eastAsia="Calibri" w:hAnsi="Calibri" w:cs="Calibri"/>
          <w:color w:val="000000"/>
          <w:sz w:val="20"/>
          <w:szCs w:val="20"/>
        </w:rPr>
        <w:t xml:space="preserve"> negative </w:t>
      </w:r>
      <w:r w:rsidR="00000000">
        <w:rPr>
          <w:rFonts w:ascii="Calibri" w:eastAsia="Calibri" w:hAnsi="Calibri" w:cs="Calibri"/>
          <w:b/>
          <w:bCs/>
          <w:color w:val="000000"/>
          <w:sz w:val="20"/>
          <w:szCs w:val="20"/>
        </w:rPr>
        <w:t>(B),</w:t>
      </w:r>
      <w:r w:rsidR="00000000">
        <w:rPr>
          <w:rFonts w:ascii="Calibri" w:eastAsia="Calibri" w:hAnsi="Calibri" w:cs="Calibri"/>
          <w:color w:val="000000"/>
          <w:sz w:val="20"/>
          <w:szCs w:val="20"/>
        </w:rPr>
        <w:t xml:space="preserve"> general </w:t>
      </w:r>
      <w:r w:rsidR="00000000">
        <w:rPr>
          <w:rFonts w:ascii="Calibri" w:eastAsia="Calibri" w:hAnsi="Calibri" w:cs="Calibri"/>
          <w:b/>
          <w:bCs/>
          <w:color w:val="000000"/>
          <w:sz w:val="20"/>
          <w:szCs w:val="20"/>
        </w:rPr>
        <w:t>(C),</w:t>
      </w:r>
      <w:r w:rsidR="00000000">
        <w:rPr>
          <w:rFonts w:ascii="Calibri" w:eastAsia="Calibri" w:hAnsi="Calibri" w:cs="Calibri"/>
          <w:color w:val="000000"/>
          <w:sz w:val="20"/>
          <w:szCs w:val="20"/>
        </w:rPr>
        <w:t xml:space="preserve"> and total </w:t>
      </w:r>
      <w:r w:rsidR="00000000">
        <w:rPr>
          <w:rFonts w:ascii="Calibri" w:eastAsia="Calibri" w:hAnsi="Calibri" w:cs="Calibri"/>
          <w:b/>
          <w:bCs/>
          <w:color w:val="000000"/>
          <w:sz w:val="20"/>
          <w:szCs w:val="20"/>
        </w:rPr>
        <w:t>(D</w:t>
      </w:r>
      <w:r w:rsidR="00000000">
        <w:rPr>
          <w:rFonts w:ascii="Calibri" w:eastAsia="Calibri" w:hAnsi="Calibri" w:cs="Calibri"/>
          <w:color w:val="000000"/>
          <w:sz w:val="20"/>
          <w:szCs w:val="20"/>
        </w:rPr>
        <w:t>) subscale scores as covariates (alongside age, sex, BMI, duration of illness, and smoking status). Dark green boxes indicate lipid classes with FDR-significant enrichment (q &lt; 0.05) from permutation-based enrichment analysis (5,000 permutations); open boxes indicate non-significant classes. The dashed line indicates β = 0; outliers shown as individual points.</w:t>
      </w:r>
    </w:p>
    <w:p w14:paraId="2D44A8FC" w14:textId="77777777" w:rsidR="00BF0CFF" w:rsidRDefault="00BF0CFF">
      <w:pPr>
        <w:spacing w:line="480" w:lineRule="auto"/>
        <w:rPr>
          <w:rFonts w:ascii="Calibri" w:eastAsia="Calibri" w:hAnsi="Calibri" w:cs="Calibri"/>
        </w:rPr>
      </w:pPr>
    </w:p>
    <w:p w14:paraId="3E13A8AE" w14:textId="77777777" w:rsidR="00BF0CFF" w:rsidRDefault="00BF0CFF">
      <w:pPr>
        <w:spacing w:line="480" w:lineRule="auto"/>
        <w:rPr>
          <w:rFonts w:ascii="Calibri" w:eastAsia="Calibri" w:hAnsi="Calibri" w:cs="Calibri"/>
        </w:rPr>
      </w:pPr>
    </w:p>
    <w:p w14:paraId="133AE4F2" w14:textId="77777777" w:rsidR="00BF0CFF" w:rsidRDefault="00000000">
      <w:pPr>
        <w:keepNext/>
        <w:spacing w:line="480" w:lineRule="auto"/>
        <w:rPr>
          <w:rFonts w:ascii="Calibri" w:eastAsia="Calibri" w:hAnsi="Calibri" w:cs="Calibri"/>
        </w:rPr>
      </w:pPr>
      <w:r>
        <w:rPr>
          <w:rFonts w:ascii="Calibri" w:eastAsia="Calibri" w:hAnsi="Calibri" w:cs="Calibri"/>
          <w:noProof/>
        </w:rPr>
        <w:lastRenderedPageBreak/>
        <w:drawing>
          <wp:inline distT="0" distB="0" distL="0" distR="0" wp14:anchorId="2C27540D" wp14:editId="7BD0350F">
            <wp:extent cx="5943600" cy="7175500"/>
            <wp:effectExtent l="0" t="0" r="0" b="0"/>
            <wp:docPr id="159578187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a:stretch>
                      <a:fillRect/>
                    </a:stretch>
                  </pic:blipFill>
                  <pic:spPr>
                    <a:xfrm>
                      <a:off x="0" y="0"/>
                      <a:ext cx="5943600" cy="7175500"/>
                    </a:xfrm>
                    <a:prstGeom prst="rect">
                      <a:avLst/>
                    </a:prstGeom>
                    <a:ln/>
                  </pic:spPr>
                </pic:pic>
              </a:graphicData>
            </a:graphic>
          </wp:inline>
        </w:drawing>
      </w:r>
    </w:p>
    <w:p w14:paraId="556DC133" w14:textId="106D4717" w:rsidR="00BF0CFF" w:rsidRDefault="007E53A0">
      <w:pPr>
        <w:pBdr>
          <w:top w:val="nil"/>
          <w:left w:val="nil"/>
          <w:bottom w:val="nil"/>
          <w:right w:val="nil"/>
          <w:between w:val="nil"/>
        </w:pBdr>
        <w:spacing w:after="200"/>
        <w:rPr>
          <w:rFonts w:ascii="Calibri" w:eastAsia="Calibri" w:hAnsi="Calibri" w:cs="Calibri"/>
          <w:b/>
          <w:bCs/>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8. Lipid class enrichment in severe psychosis subtype probability after adjustment for number of medications per class.</w:t>
      </w:r>
      <w:r w:rsidR="00000000">
        <w:rPr>
          <w:rFonts w:ascii="Calibri" w:eastAsia="Calibri" w:hAnsi="Calibri" w:cs="Calibri"/>
          <w:color w:val="000000"/>
          <w:sz w:val="20"/>
          <w:szCs w:val="20"/>
        </w:rPr>
        <w:t xml:space="preserve"> Boxplots show distributions of species-level OLS regression coefficients (β) grouped by lipid class, from models additionally adjusting for antidepressants </w:t>
      </w:r>
      <w:r w:rsidR="00000000">
        <w:rPr>
          <w:rFonts w:ascii="Calibri" w:eastAsia="Calibri" w:hAnsi="Calibri" w:cs="Calibri"/>
          <w:b/>
          <w:bCs/>
          <w:color w:val="000000"/>
          <w:sz w:val="20"/>
          <w:szCs w:val="20"/>
        </w:rPr>
        <w:t xml:space="preserve">(A) </w:t>
      </w:r>
      <w:r w:rsidR="00000000">
        <w:rPr>
          <w:rFonts w:ascii="Calibri" w:eastAsia="Calibri" w:hAnsi="Calibri" w:cs="Calibri"/>
          <w:color w:val="000000"/>
          <w:sz w:val="20"/>
          <w:szCs w:val="20"/>
        </w:rPr>
        <w:t>antipsychotics</w:t>
      </w:r>
      <w:r w:rsidR="00000000">
        <w:rPr>
          <w:rFonts w:ascii="Calibri" w:eastAsia="Calibri" w:hAnsi="Calibri" w:cs="Calibri"/>
          <w:b/>
          <w:bCs/>
          <w:color w:val="000000"/>
          <w:sz w:val="20"/>
          <w:szCs w:val="20"/>
        </w:rPr>
        <w:t xml:space="preserve"> (B),</w:t>
      </w:r>
      <w:r w:rsidR="00000000">
        <w:rPr>
          <w:rFonts w:ascii="Calibri" w:eastAsia="Calibri" w:hAnsi="Calibri" w:cs="Calibri"/>
          <w:color w:val="000000"/>
          <w:sz w:val="20"/>
          <w:szCs w:val="20"/>
        </w:rPr>
        <w:t xml:space="preserve"> tranquilizers </w:t>
      </w:r>
      <w:r w:rsidR="00000000">
        <w:rPr>
          <w:rFonts w:ascii="Calibri" w:eastAsia="Calibri" w:hAnsi="Calibri" w:cs="Calibri"/>
          <w:b/>
          <w:bCs/>
          <w:color w:val="000000"/>
          <w:sz w:val="20"/>
          <w:szCs w:val="20"/>
        </w:rPr>
        <w:t>(C),</w:t>
      </w:r>
      <w:r w:rsidR="00000000">
        <w:rPr>
          <w:rFonts w:ascii="Calibri" w:eastAsia="Calibri" w:hAnsi="Calibri" w:cs="Calibri"/>
          <w:color w:val="000000"/>
          <w:sz w:val="20"/>
          <w:szCs w:val="20"/>
        </w:rPr>
        <w:t xml:space="preserve"> and mood stabilizers </w:t>
      </w:r>
      <w:r w:rsidR="00000000">
        <w:rPr>
          <w:rFonts w:ascii="Calibri" w:eastAsia="Calibri" w:hAnsi="Calibri" w:cs="Calibri"/>
          <w:b/>
          <w:bCs/>
          <w:color w:val="000000"/>
          <w:sz w:val="20"/>
          <w:szCs w:val="20"/>
        </w:rPr>
        <w:t>(D</w:t>
      </w:r>
      <w:r w:rsidR="00000000">
        <w:rPr>
          <w:rFonts w:ascii="Calibri" w:eastAsia="Calibri" w:hAnsi="Calibri" w:cs="Calibri"/>
          <w:color w:val="000000"/>
          <w:sz w:val="20"/>
          <w:szCs w:val="20"/>
        </w:rPr>
        <w:t xml:space="preserve">) as covariates (alongside age, sex, BMI, duration of illness, and smoking status). Dark green boxes indicate lipid classes with FDR-significant enrichment (q &lt; 0.05) from permutation-based enrichment </w:t>
      </w:r>
      <w:r w:rsidR="00000000">
        <w:rPr>
          <w:rFonts w:ascii="Calibri" w:eastAsia="Calibri" w:hAnsi="Calibri" w:cs="Calibri"/>
          <w:color w:val="000000"/>
          <w:sz w:val="20"/>
          <w:szCs w:val="20"/>
        </w:rPr>
        <w:lastRenderedPageBreak/>
        <w:t>analysis (5,000 permutations); open boxes indicate non-significant classes. The dashed line indicates β = 0; outliers shown as individual points.</w:t>
      </w:r>
    </w:p>
    <w:p w14:paraId="6E999E96" w14:textId="77777777" w:rsidR="00BF0CFF" w:rsidRDefault="00BF0CFF">
      <w:pPr>
        <w:pBdr>
          <w:top w:val="nil"/>
          <w:left w:val="nil"/>
          <w:bottom w:val="nil"/>
          <w:right w:val="nil"/>
          <w:between w:val="nil"/>
        </w:pBdr>
        <w:spacing w:after="200" w:line="480" w:lineRule="auto"/>
        <w:rPr>
          <w:rFonts w:ascii="Calibri" w:eastAsia="Calibri" w:hAnsi="Calibri" w:cs="Calibri"/>
          <w:b/>
          <w:bCs/>
          <w:color w:val="000000"/>
          <w:sz w:val="20"/>
          <w:szCs w:val="20"/>
        </w:rPr>
      </w:pPr>
    </w:p>
    <w:p w14:paraId="1665D143" w14:textId="77777777" w:rsidR="00BF0CFF" w:rsidRDefault="00BF0CFF">
      <w:pPr>
        <w:spacing w:line="480" w:lineRule="auto"/>
        <w:rPr>
          <w:rFonts w:ascii="Calibri" w:eastAsia="Calibri" w:hAnsi="Calibri" w:cs="Calibri"/>
        </w:rPr>
      </w:pPr>
    </w:p>
    <w:p w14:paraId="5B19B90D" w14:textId="77777777" w:rsidR="00BF0CFF" w:rsidRDefault="00000000">
      <w:pPr>
        <w:keepNext/>
        <w:spacing w:line="480" w:lineRule="auto"/>
        <w:rPr>
          <w:rFonts w:ascii="Calibri" w:eastAsia="Calibri" w:hAnsi="Calibri" w:cs="Calibri"/>
          <w:color w:val="000000"/>
          <w:sz w:val="20"/>
          <w:szCs w:val="20"/>
        </w:rPr>
      </w:pPr>
      <w:r>
        <w:rPr>
          <w:rFonts w:ascii="Calibri" w:eastAsia="Calibri" w:hAnsi="Calibri" w:cs="Calibri"/>
          <w:color w:val="000000"/>
          <w:sz w:val="20"/>
          <w:szCs w:val="20"/>
        </w:rPr>
        <w:t xml:space="preserve"> </w:t>
      </w:r>
    </w:p>
    <w:p w14:paraId="04DD0D08" w14:textId="77777777" w:rsidR="00BF0CFF" w:rsidRDefault="00BF0CFF">
      <w:pPr>
        <w:pBdr>
          <w:top w:val="nil"/>
          <w:left w:val="nil"/>
          <w:bottom w:val="nil"/>
          <w:right w:val="nil"/>
          <w:between w:val="nil"/>
        </w:pBdr>
        <w:spacing w:after="200" w:line="480" w:lineRule="auto"/>
        <w:rPr>
          <w:rFonts w:ascii="Calibri" w:eastAsia="Calibri" w:hAnsi="Calibri" w:cs="Calibri"/>
          <w:b/>
          <w:bCs/>
          <w:color w:val="000000"/>
          <w:sz w:val="20"/>
          <w:szCs w:val="20"/>
        </w:rPr>
      </w:pPr>
    </w:p>
    <w:p w14:paraId="2F498F33" w14:textId="77777777" w:rsidR="00BF0CFF" w:rsidRDefault="00000000">
      <w:pPr>
        <w:keepNext/>
        <w:spacing w:line="480" w:lineRule="auto"/>
        <w:rPr>
          <w:rFonts w:ascii="Calibri" w:eastAsia="Calibri" w:hAnsi="Calibri" w:cs="Calibri"/>
        </w:rPr>
      </w:pPr>
      <w:r>
        <w:rPr>
          <w:rFonts w:ascii="Calibri" w:eastAsia="Calibri" w:hAnsi="Calibri" w:cs="Calibri"/>
          <w:noProof/>
        </w:rPr>
        <w:lastRenderedPageBreak/>
        <w:drawing>
          <wp:inline distT="0" distB="0" distL="0" distR="0" wp14:anchorId="7D908572" wp14:editId="2C5C5024">
            <wp:extent cx="5783787" cy="6648449"/>
            <wp:effectExtent l="0" t="0" r="0" b="0"/>
            <wp:docPr id="159578187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5783787" cy="6648449"/>
                    </a:xfrm>
                    <a:prstGeom prst="rect">
                      <a:avLst/>
                    </a:prstGeom>
                    <a:ln/>
                  </pic:spPr>
                </pic:pic>
              </a:graphicData>
            </a:graphic>
          </wp:inline>
        </w:drawing>
      </w:r>
    </w:p>
    <w:p w14:paraId="34076035" w14:textId="45DDAA94" w:rsidR="00BF0CFF" w:rsidRDefault="007E53A0">
      <w:pPr>
        <w:pBdr>
          <w:top w:val="nil"/>
          <w:left w:val="nil"/>
          <w:bottom w:val="nil"/>
          <w:right w:val="nil"/>
          <w:between w:val="nil"/>
        </w:pBdr>
        <w:spacing w:after="200"/>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 xml:space="preserve">9. Lipid species associations with PANSS subscale scores as primary outcomes. </w:t>
      </w:r>
      <w:r w:rsidR="00000000">
        <w:rPr>
          <w:rFonts w:ascii="Calibri" w:eastAsia="Calibri" w:hAnsi="Calibri" w:cs="Calibri"/>
          <w:color w:val="000000"/>
          <w:sz w:val="20"/>
          <w:szCs w:val="20"/>
        </w:rPr>
        <w:t xml:space="preserve">Forest plots show OLS regression coefficients (β) with 95% confidence intervals for the top 20 lipid species by absolute effect size, with PANSS positive </w:t>
      </w:r>
      <w:r w:rsidR="00000000">
        <w:rPr>
          <w:rFonts w:ascii="Calibri" w:eastAsia="Calibri" w:hAnsi="Calibri" w:cs="Calibri"/>
          <w:b/>
          <w:bCs/>
          <w:color w:val="000000"/>
          <w:sz w:val="20"/>
          <w:szCs w:val="20"/>
        </w:rPr>
        <w:t>(A),</w:t>
      </w:r>
      <w:r w:rsidR="00000000">
        <w:rPr>
          <w:rFonts w:ascii="Calibri" w:eastAsia="Calibri" w:hAnsi="Calibri" w:cs="Calibri"/>
          <w:color w:val="000000"/>
          <w:sz w:val="20"/>
          <w:szCs w:val="20"/>
        </w:rPr>
        <w:t xml:space="preserve"> negative </w:t>
      </w:r>
      <w:r w:rsidR="00000000">
        <w:rPr>
          <w:rFonts w:ascii="Calibri" w:eastAsia="Calibri" w:hAnsi="Calibri" w:cs="Calibri"/>
          <w:b/>
          <w:bCs/>
          <w:color w:val="000000"/>
          <w:sz w:val="20"/>
          <w:szCs w:val="20"/>
        </w:rPr>
        <w:t>(B),</w:t>
      </w:r>
      <w:r w:rsidR="00000000">
        <w:rPr>
          <w:rFonts w:ascii="Calibri" w:eastAsia="Calibri" w:hAnsi="Calibri" w:cs="Calibri"/>
          <w:color w:val="000000"/>
          <w:sz w:val="20"/>
          <w:szCs w:val="20"/>
        </w:rPr>
        <w:t xml:space="preserve"> general </w:t>
      </w:r>
      <w:r w:rsidR="00000000">
        <w:rPr>
          <w:rFonts w:ascii="Calibri" w:eastAsia="Calibri" w:hAnsi="Calibri" w:cs="Calibri"/>
          <w:b/>
          <w:bCs/>
          <w:color w:val="000000"/>
          <w:sz w:val="20"/>
          <w:szCs w:val="20"/>
        </w:rPr>
        <w:t>(C)</w:t>
      </w:r>
      <w:r w:rsidR="00000000">
        <w:rPr>
          <w:rFonts w:ascii="Calibri" w:eastAsia="Calibri" w:hAnsi="Calibri" w:cs="Calibri"/>
          <w:color w:val="000000"/>
          <w:sz w:val="20"/>
          <w:szCs w:val="20"/>
        </w:rPr>
        <w:t xml:space="preserve">, and total </w:t>
      </w:r>
      <w:r w:rsidR="00000000">
        <w:rPr>
          <w:rFonts w:ascii="Calibri" w:eastAsia="Calibri" w:hAnsi="Calibri" w:cs="Calibri"/>
          <w:b/>
          <w:bCs/>
          <w:color w:val="000000"/>
          <w:sz w:val="20"/>
          <w:szCs w:val="20"/>
        </w:rPr>
        <w:t>(D)</w:t>
      </w:r>
      <w:r w:rsidR="00000000">
        <w:rPr>
          <w:rFonts w:ascii="Calibri" w:eastAsia="Calibri" w:hAnsi="Calibri" w:cs="Calibri"/>
          <w:color w:val="000000"/>
          <w:sz w:val="20"/>
          <w:szCs w:val="20"/>
        </w:rPr>
        <w:t xml:space="preserve"> subscale scores as the outcome variable. All models adjusted for age, sex, BMI, duration of illness, and smoking status. Fill color indicates significance: dark green, FDR &lt; 0.05; light green, p &lt; 0.05 uncorrected; open, not significant. Note the differing x-axis scales across panels. PE-P species dominate positive associations across PANSS general and total scores; TAG species are prominent for PANSS negative; acylcarnitines show negative associations particularly in panels C and D.</w:t>
      </w:r>
    </w:p>
    <w:p w14:paraId="1A02B270" w14:textId="77777777" w:rsidR="00BF0CFF" w:rsidRDefault="00BF0CFF">
      <w:pPr>
        <w:spacing w:line="480" w:lineRule="auto"/>
        <w:rPr>
          <w:rFonts w:ascii="Calibri" w:eastAsia="Calibri" w:hAnsi="Calibri" w:cs="Calibri"/>
        </w:rPr>
      </w:pPr>
    </w:p>
    <w:p w14:paraId="74843CB7" w14:textId="77777777" w:rsidR="00BF0CFF" w:rsidRDefault="00000000">
      <w:pPr>
        <w:keepNext/>
        <w:spacing w:line="480" w:lineRule="auto"/>
        <w:rPr>
          <w:rFonts w:ascii="Calibri" w:eastAsia="Calibri" w:hAnsi="Calibri" w:cs="Calibri"/>
        </w:rPr>
      </w:pPr>
      <w:r>
        <w:rPr>
          <w:rFonts w:ascii="Calibri" w:eastAsia="Calibri" w:hAnsi="Calibri" w:cs="Calibri"/>
          <w:noProof/>
        </w:rPr>
        <w:drawing>
          <wp:inline distT="0" distB="0" distL="0" distR="0" wp14:anchorId="6C7B33F1" wp14:editId="4D848D9A">
            <wp:extent cx="6652072" cy="5563120"/>
            <wp:effectExtent l="0" t="0" r="0" b="0"/>
            <wp:docPr id="159578188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
                    <a:srcRect/>
                    <a:stretch>
                      <a:fillRect/>
                    </a:stretch>
                  </pic:blipFill>
                  <pic:spPr>
                    <a:xfrm>
                      <a:off x="0" y="0"/>
                      <a:ext cx="6652072" cy="5563120"/>
                    </a:xfrm>
                    <a:prstGeom prst="rect">
                      <a:avLst/>
                    </a:prstGeom>
                    <a:ln/>
                  </pic:spPr>
                </pic:pic>
              </a:graphicData>
            </a:graphic>
          </wp:inline>
        </w:drawing>
      </w:r>
    </w:p>
    <w:p w14:paraId="101A2401" w14:textId="386C4884" w:rsidR="00BF0CFF" w:rsidRDefault="007E53A0">
      <w:pPr>
        <w:pBdr>
          <w:top w:val="nil"/>
          <w:left w:val="nil"/>
          <w:bottom w:val="nil"/>
          <w:right w:val="nil"/>
          <w:between w:val="nil"/>
        </w:pBdr>
        <w:spacing w:after="200"/>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 xml:space="preserve">10. Lipid class enrichment with PANSS subscale scores as primary outcomes. </w:t>
      </w:r>
      <w:r w:rsidR="00000000">
        <w:rPr>
          <w:rFonts w:ascii="Calibri" w:eastAsia="Calibri" w:hAnsi="Calibri" w:cs="Calibri"/>
          <w:color w:val="000000"/>
          <w:sz w:val="20"/>
          <w:szCs w:val="20"/>
        </w:rPr>
        <w:t xml:space="preserve">Boxplots show distributions of species-level OLS regression coefficients (β) grouped by lipid class, with PANSS positive </w:t>
      </w:r>
      <w:r w:rsidR="00000000">
        <w:rPr>
          <w:rFonts w:ascii="Calibri" w:eastAsia="Calibri" w:hAnsi="Calibri" w:cs="Calibri"/>
          <w:b/>
          <w:bCs/>
          <w:color w:val="000000"/>
          <w:sz w:val="20"/>
          <w:szCs w:val="20"/>
        </w:rPr>
        <w:t>(A)</w:t>
      </w:r>
      <w:r w:rsidR="00000000">
        <w:rPr>
          <w:rFonts w:ascii="Calibri" w:eastAsia="Calibri" w:hAnsi="Calibri" w:cs="Calibri"/>
          <w:color w:val="000000"/>
          <w:sz w:val="20"/>
          <w:szCs w:val="20"/>
        </w:rPr>
        <w:t xml:space="preserve">, negative </w:t>
      </w:r>
      <w:r w:rsidR="00000000">
        <w:rPr>
          <w:rFonts w:ascii="Calibri" w:eastAsia="Calibri" w:hAnsi="Calibri" w:cs="Calibri"/>
          <w:b/>
          <w:bCs/>
          <w:color w:val="000000"/>
          <w:sz w:val="20"/>
          <w:szCs w:val="20"/>
        </w:rPr>
        <w:t>(B)</w:t>
      </w:r>
      <w:r w:rsidR="00000000">
        <w:rPr>
          <w:rFonts w:ascii="Calibri" w:eastAsia="Calibri" w:hAnsi="Calibri" w:cs="Calibri"/>
          <w:color w:val="000000"/>
          <w:sz w:val="20"/>
          <w:szCs w:val="20"/>
        </w:rPr>
        <w:t xml:space="preserve">, general </w:t>
      </w:r>
      <w:r w:rsidR="00000000">
        <w:rPr>
          <w:rFonts w:ascii="Calibri" w:eastAsia="Calibri" w:hAnsi="Calibri" w:cs="Calibri"/>
          <w:b/>
          <w:bCs/>
          <w:color w:val="000000"/>
          <w:sz w:val="20"/>
          <w:szCs w:val="20"/>
        </w:rPr>
        <w:t>(C)</w:t>
      </w:r>
      <w:r w:rsidR="00000000">
        <w:rPr>
          <w:rFonts w:ascii="Calibri" w:eastAsia="Calibri" w:hAnsi="Calibri" w:cs="Calibri"/>
          <w:color w:val="000000"/>
          <w:sz w:val="20"/>
          <w:szCs w:val="20"/>
        </w:rPr>
        <w:t xml:space="preserve">, and total </w:t>
      </w:r>
      <w:r w:rsidR="00000000">
        <w:rPr>
          <w:rFonts w:ascii="Calibri" w:eastAsia="Calibri" w:hAnsi="Calibri" w:cs="Calibri"/>
          <w:b/>
          <w:bCs/>
          <w:color w:val="000000"/>
          <w:sz w:val="20"/>
          <w:szCs w:val="20"/>
        </w:rPr>
        <w:t>(D)</w:t>
      </w:r>
      <w:r w:rsidR="00000000">
        <w:rPr>
          <w:rFonts w:ascii="Calibri" w:eastAsia="Calibri" w:hAnsi="Calibri" w:cs="Calibri"/>
          <w:color w:val="000000"/>
          <w:sz w:val="20"/>
          <w:szCs w:val="20"/>
        </w:rPr>
        <w:t xml:space="preserve"> subscale scores as the outcome variable, adjusted for age, sex, BMI, duration of illness, and smoking status. Dark green boxes indicate FDR-significant enrichment (q &lt; 0.05) from permutation-based enrichment analysis (5,000 permutations); open boxes indicate non-significant classes. The dashed line indicates β = 0; outliers shown as individual points. Note differing y-axis scales across panels. </w:t>
      </w:r>
    </w:p>
    <w:p w14:paraId="55E40704" w14:textId="77777777" w:rsidR="00BF0CFF" w:rsidRDefault="00000000">
      <w:pPr>
        <w:keepNext/>
        <w:spacing w:line="480" w:lineRule="auto"/>
        <w:rPr>
          <w:rFonts w:ascii="Calibri" w:eastAsia="Calibri" w:hAnsi="Calibri" w:cs="Calibri"/>
        </w:rPr>
      </w:pPr>
      <w:r>
        <w:rPr>
          <w:rFonts w:ascii="Calibri" w:eastAsia="Calibri" w:hAnsi="Calibri" w:cs="Calibri"/>
          <w:noProof/>
        </w:rPr>
        <w:lastRenderedPageBreak/>
        <w:drawing>
          <wp:inline distT="0" distB="0" distL="0" distR="0" wp14:anchorId="713919BE" wp14:editId="369D9532">
            <wp:extent cx="5943600" cy="4754880"/>
            <wp:effectExtent l="0" t="0" r="0" b="0"/>
            <wp:docPr id="159578187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5943600" cy="4754880"/>
                    </a:xfrm>
                    <a:prstGeom prst="rect">
                      <a:avLst/>
                    </a:prstGeom>
                    <a:ln/>
                  </pic:spPr>
                </pic:pic>
              </a:graphicData>
            </a:graphic>
          </wp:inline>
        </w:drawing>
      </w:r>
    </w:p>
    <w:p w14:paraId="27EDF753" w14:textId="101D9DF0" w:rsidR="00BF0CFF" w:rsidRDefault="007E53A0">
      <w:pPr>
        <w:pBdr>
          <w:top w:val="nil"/>
          <w:left w:val="nil"/>
          <w:bottom w:val="nil"/>
          <w:right w:val="nil"/>
          <w:between w:val="nil"/>
        </w:pBdr>
        <w:spacing w:after="200"/>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 xml:space="preserve">11. Mediation of genetic liability through lipid classes. </w:t>
      </w:r>
      <w:r w:rsidR="00000000">
        <w:rPr>
          <w:rFonts w:ascii="Calibri" w:eastAsia="Calibri" w:hAnsi="Calibri" w:cs="Calibri"/>
          <w:color w:val="000000"/>
          <w:sz w:val="20"/>
          <w:szCs w:val="20"/>
        </w:rPr>
        <w:t xml:space="preserve">Forest plot of indirect effects (95% CI) from bootstrap mediation analysis testing whether enriched lipid classes mediate PRS associations with severe psychosis. None of 24 pathways showed significant mediation. </w:t>
      </w:r>
    </w:p>
    <w:p w14:paraId="6F3600F1" w14:textId="77777777" w:rsidR="00BF0CFF" w:rsidRDefault="00BF0CFF">
      <w:pPr>
        <w:pBdr>
          <w:top w:val="nil"/>
          <w:left w:val="nil"/>
          <w:bottom w:val="nil"/>
          <w:right w:val="nil"/>
          <w:between w:val="nil"/>
        </w:pBdr>
        <w:spacing w:after="200" w:line="480" w:lineRule="auto"/>
        <w:rPr>
          <w:rFonts w:ascii="Calibri" w:eastAsia="Calibri" w:hAnsi="Calibri" w:cs="Calibri"/>
          <w:color w:val="000000"/>
          <w:sz w:val="20"/>
          <w:szCs w:val="20"/>
        </w:rPr>
      </w:pPr>
    </w:p>
    <w:p w14:paraId="05CF1CEF" w14:textId="77777777" w:rsidR="00BF0CFF" w:rsidRDefault="00000000">
      <w:pPr>
        <w:keepNext/>
        <w:spacing w:line="480" w:lineRule="auto"/>
        <w:rPr>
          <w:rFonts w:ascii="Calibri" w:eastAsia="Calibri" w:hAnsi="Calibri" w:cs="Calibri"/>
        </w:rPr>
      </w:pPr>
      <w:r>
        <w:rPr>
          <w:rFonts w:ascii="Calibri" w:eastAsia="Calibri" w:hAnsi="Calibri" w:cs="Calibri"/>
          <w:noProof/>
        </w:rPr>
        <w:lastRenderedPageBreak/>
        <w:drawing>
          <wp:inline distT="0" distB="0" distL="0" distR="0" wp14:anchorId="56716CB7" wp14:editId="5864823E">
            <wp:extent cx="5943600" cy="5029200"/>
            <wp:effectExtent l="0" t="0" r="0" b="0"/>
            <wp:docPr id="159578187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6"/>
                    <a:srcRect/>
                    <a:stretch>
                      <a:fillRect/>
                    </a:stretch>
                  </pic:blipFill>
                  <pic:spPr>
                    <a:xfrm>
                      <a:off x="0" y="0"/>
                      <a:ext cx="5943600" cy="5029200"/>
                    </a:xfrm>
                    <a:prstGeom prst="rect">
                      <a:avLst/>
                    </a:prstGeom>
                    <a:ln/>
                  </pic:spPr>
                </pic:pic>
              </a:graphicData>
            </a:graphic>
          </wp:inline>
        </w:drawing>
      </w:r>
    </w:p>
    <w:p w14:paraId="7595A834" w14:textId="4450C222" w:rsidR="00BF0CFF" w:rsidRDefault="007E53A0">
      <w:pPr>
        <w:pBdr>
          <w:top w:val="nil"/>
          <w:left w:val="nil"/>
          <w:bottom w:val="nil"/>
          <w:right w:val="nil"/>
          <w:between w:val="nil"/>
        </w:pBdr>
        <w:spacing w:after="200"/>
        <w:rPr>
          <w:rFonts w:ascii="Calibri" w:eastAsia="Calibri" w:hAnsi="Calibri" w:cs="Calibri"/>
          <w:color w:val="000000"/>
          <w:sz w:val="20"/>
          <w:szCs w:val="20"/>
        </w:rPr>
      </w:pPr>
      <w:proofErr w:type="spellStart"/>
      <w:r>
        <w:rPr>
          <w:rFonts w:ascii="Calibri" w:eastAsia="Calibri" w:hAnsi="Calibri" w:cs="Calibri"/>
          <w:b/>
          <w:bCs/>
          <w:color w:val="000000"/>
          <w:sz w:val="20"/>
          <w:szCs w:val="20"/>
          <w:lang w:val="de-DE"/>
        </w:rPr>
        <w:t>Supplementary</w:t>
      </w:r>
      <w:proofErr w:type="spellEnd"/>
      <w:r>
        <w:rPr>
          <w:rFonts w:ascii="Calibri" w:eastAsia="Calibri" w:hAnsi="Calibri" w:cs="Calibri"/>
          <w:b/>
          <w:bCs/>
          <w:color w:val="000000"/>
          <w:sz w:val="20"/>
          <w:szCs w:val="20"/>
          <w:lang w:val="de-DE"/>
        </w:rPr>
        <w:t xml:space="preserve"> </w:t>
      </w:r>
      <w:r w:rsidR="00000000">
        <w:rPr>
          <w:rFonts w:ascii="Calibri" w:eastAsia="Calibri" w:hAnsi="Calibri" w:cs="Calibri"/>
          <w:b/>
          <w:bCs/>
          <w:color w:val="000000"/>
          <w:sz w:val="20"/>
          <w:szCs w:val="20"/>
        </w:rPr>
        <w:t xml:space="preserve">Figure </w:t>
      </w:r>
      <w:r w:rsidR="0010122A" w:rsidRPr="00EC259F">
        <w:rPr>
          <w:rFonts w:ascii="Calibri" w:eastAsia="Calibri" w:hAnsi="Calibri" w:cs="Calibri"/>
          <w:b/>
          <w:bCs/>
          <w:color w:val="000000"/>
          <w:sz w:val="20"/>
          <w:szCs w:val="20"/>
          <w:lang w:val="en-US"/>
        </w:rPr>
        <w:t>S</w:t>
      </w:r>
      <w:r w:rsidR="00000000">
        <w:rPr>
          <w:rFonts w:ascii="Calibri" w:eastAsia="Calibri" w:hAnsi="Calibri" w:cs="Calibri"/>
          <w:b/>
          <w:bCs/>
          <w:color w:val="000000"/>
          <w:sz w:val="20"/>
          <w:szCs w:val="20"/>
        </w:rPr>
        <w:t>12. Canonical correlation analysis of polygenic risk scores and lipid classes. (A)</w:t>
      </w:r>
      <w:r w:rsidR="00000000">
        <w:rPr>
          <w:rFonts w:ascii="Calibri" w:eastAsia="Calibri" w:hAnsi="Calibri" w:cs="Calibri"/>
          <w:color w:val="000000"/>
          <w:sz w:val="20"/>
          <w:szCs w:val="20"/>
        </w:rPr>
        <w:t xml:space="preserve"> Relationship between the first PRS canonical component (U1) and the first lipid canonical component (V1); canonical correlation was modest and non-significant by permutation testing (r=0.33, p=0.604, 10,000 permutations). </w:t>
      </w:r>
      <w:r w:rsidR="00000000">
        <w:rPr>
          <w:rFonts w:ascii="Calibri" w:eastAsia="Calibri" w:hAnsi="Calibri" w:cs="Calibri"/>
          <w:b/>
          <w:bCs/>
          <w:color w:val="000000"/>
          <w:sz w:val="20"/>
          <w:szCs w:val="20"/>
        </w:rPr>
        <w:t xml:space="preserve">(B) </w:t>
      </w:r>
      <w:r w:rsidR="00000000">
        <w:rPr>
          <w:rFonts w:ascii="Calibri" w:eastAsia="Calibri" w:hAnsi="Calibri" w:cs="Calibri"/>
          <w:color w:val="000000"/>
          <w:sz w:val="20"/>
          <w:szCs w:val="20"/>
        </w:rPr>
        <w:t xml:space="preserve">Association of the lipid canonical score (V1) with severe psychosis subtype probability (β=−0.0068, p=0.741, permutation test, 20,000 permutations); the flat regression line indicates no severity-related structure in the shared genetic-lipidomic axis. </w:t>
      </w:r>
      <w:r w:rsidR="00000000">
        <w:rPr>
          <w:rFonts w:ascii="Calibri" w:eastAsia="Calibri" w:hAnsi="Calibri" w:cs="Calibri"/>
          <w:b/>
          <w:bCs/>
          <w:color w:val="000000"/>
          <w:sz w:val="20"/>
          <w:szCs w:val="20"/>
        </w:rPr>
        <w:t>(C)</w:t>
      </w:r>
      <w:r w:rsidR="00000000">
        <w:rPr>
          <w:rFonts w:ascii="Calibri" w:eastAsia="Calibri" w:hAnsi="Calibri" w:cs="Calibri"/>
          <w:color w:val="000000"/>
          <w:sz w:val="20"/>
          <w:szCs w:val="20"/>
        </w:rPr>
        <w:t xml:space="preserve"> Canonical loadings for individual PRS on U1 and </w:t>
      </w:r>
      <w:r w:rsidR="00000000">
        <w:rPr>
          <w:rFonts w:ascii="Calibri" w:eastAsia="Calibri" w:hAnsi="Calibri" w:cs="Calibri"/>
          <w:b/>
          <w:bCs/>
          <w:color w:val="000000"/>
          <w:sz w:val="20"/>
          <w:szCs w:val="20"/>
        </w:rPr>
        <w:t>(D)</w:t>
      </w:r>
      <w:r w:rsidR="00000000">
        <w:rPr>
          <w:rFonts w:ascii="Calibri" w:eastAsia="Calibri" w:hAnsi="Calibri" w:cs="Calibri"/>
          <w:color w:val="000000"/>
          <w:sz w:val="20"/>
          <w:szCs w:val="20"/>
        </w:rPr>
        <w:t xml:space="preserve"> lipid classes on V1; all loadings |r|≤0.40, indicating diffuse rather than feature-specific contributions to the canonical components. </w:t>
      </w:r>
    </w:p>
    <w:p w14:paraId="0962D99E" w14:textId="77777777" w:rsidR="00BF0CFF" w:rsidRDefault="00BF0CFF">
      <w:pPr>
        <w:spacing w:line="480" w:lineRule="auto"/>
        <w:rPr>
          <w:rFonts w:ascii="Calibri" w:eastAsia="Calibri" w:hAnsi="Calibri" w:cs="Calibri"/>
        </w:rPr>
      </w:pPr>
    </w:p>
    <w:p w14:paraId="575F2531" w14:textId="7822B1FF" w:rsidR="00EC259F" w:rsidRDefault="00EC259F">
      <w:pPr>
        <w:rPr>
          <w:rFonts w:ascii="Calibri" w:eastAsia="Calibri" w:hAnsi="Calibri" w:cs="Calibri"/>
        </w:rPr>
      </w:pPr>
      <w:r>
        <w:rPr>
          <w:rFonts w:ascii="Calibri" w:eastAsia="Calibri" w:hAnsi="Calibri" w:cs="Calibri"/>
        </w:rPr>
        <w:br w:type="page"/>
      </w:r>
    </w:p>
    <w:p w14:paraId="661384BC" w14:textId="33B56B92" w:rsidR="00EC259F" w:rsidRPr="007E53A0" w:rsidRDefault="00EC259F">
      <w:pPr>
        <w:spacing w:line="480" w:lineRule="auto"/>
        <w:rPr>
          <w:rFonts w:ascii="Calibri" w:eastAsia="Calibri" w:hAnsi="Calibri" w:cs="Calibri"/>
          <w:b/>
          <w:bCs/>
          <w:lang w:val="en-US"/>
        </w:rPr>
      </w:pPr>
      <w:r w:rsidRPr="007E53A0">
        <w:rPr>
          <w:rFonts w:ascii="Calibri" w:eastAsia="Calibri" w:hAnsi="Calibri" w:cs="Calibri"/>
          <w:b/>
          <w:bCs/>
          <w:lang w:val="en-US"/>
        </w:rPr>
        <w:lastRenderedPageBreak/>
        <w:t>References</w:t>
      </w:r>
    </w:p>
    <w:p w14:paraId="7B3FF0C5" w14:textId="77777777" w:rsidR="00EC259F" w:rsidRPr="007E53A0" w:rsidRDefault="00EC259F">
      <w:pPr>
        <w:spacing w:line="480" w:lineRule="auto"/>
        <w:rPr>
          <w:rFonts w:ascii="Calibri" w:eastAsia="Calibri" w:hAnsi="Calibri" w:cs="Calibri"/>
          <w:b/>
          <w:bCs/>
          <w:lang w:val="en-US"/>
        </w:rPr>
      </w:pPr>
    </w:p>
    <w:p w14:paraId="11A463F9" w14:textId="77777777" w:rsidR="00EC259F" w:rsidRPr="00EC259F" w:rsidRDefault="00EC259F" w:rsidP="00EC259F">
      <w:pPr>
        <w:pStyle w:val="Bibliography"/>
        <w:rPr>
          <w:rFonts w:ascii="Calibri" w:hAnsi="Calibri" w:cs="Calibri"/>
          <w:lang w:val="en-GB"/>
        </w:rPr>
      </w:pPr>
      <w:r>
        <w:rPr>
          <w:rFonts w:ascii="Calibri" w:eastAsia="Calibri" w:hAnsi="Calibri" w:cs="Calibri"/>
          <w:lang w:val="de-DE"/>
        </w:rPr>
        <w:fldChar w:fldCharType="begin"/>
      </w:r>
      <w:r w:rsidRPr="00EC259F">
        <w:rPr>
          <w:rFonts w:ascii="Calibri" w:eastAsia="Calibri" w:hAnsi="Calibri" w:cs="Calibri"/>
          <w:lang w:val="en-US"/>
        </w:rPr>
        <w:instrText xml:space="preserve"> ADDIN ZOTERO_BIBL {"uncited":[],"omitted":[],"custom":[]} CSL_BIBLIOGRAPHY </w:instrText>
      </w:r>
      <w:r>
        <w:rPr>
          <w:rFonts w:ascii="Calibri" w:eastAsia="Calibri" w:hAnsi="Calibri" w:cs="Calibri"/>
          <w:lang w:val="de-DE"/>
        </w:rPr>
        <w:fldChar w:fldCharType="separate"/>
      </w:r>
      <w:r w:rsidRPr="00EC259F">
        <w:rPr>
          <w:rFonts w:ascii="Calibri" w:hAnsi="Calibri" w:cs="Calibri"/>
          <w:lang w:val="en-GB"/>
        </w:rPr>
        <w:t xml:space="preserve">1. Dwyer DB, Kalman JL, </w:t>
      </w:r>
      <w:proofErr w:type="spellStart"/>
      <w:r w:rsidRPr="00EC259F">
        <w:rPr>
          <w:rFonts w:ascii="Calibri" w:hAnsi="Calibri" w:cs="Calibri"/>
          <w:lang w:val="en-GB"/>
        </w:rPr>
        <w:t>Budde</w:t>
      </w:r>
      <w:proofErr w:type="spellEnd"/>
      <w:r w:rsidRPr="00EC259F">
        <w:rPr>
          <w:rFonts w:ascii="Calibri" w:hAnsi="Calibri" w:cs="Calibri"/>
          <w:lang w:val="en-GB"/>
        </w:rPr>
        <w:t xml:space="preserve"> M, Kambeitz J, Ruef A, Antonucci LA, </w:t>
      </w:r>
      <w:r w:rsidRPr="00EC259F">
        <w:rPr>
          <w:rFonts w:ascii="Calibri" w:hAnsi="Calibri" w:cs="Calibri"/>
          <w:i/>
          <w:iCs/>
          <w:lang w:val="en-GB"/>
        </w:rPr>
        <w:t>et al.</w:t>
      </w:r>
      <w:r w:rsidRPr="00EC259F">
        <w:rPr>
          <w:rFonts w:ascii="Calibri" w:hAnsi="Calibri" w:cs="Calibri"/>
          <w:lang w:val="en-GB"/>
        </w:rPr>
        <w:t xml:space="preserve"> (2020): An Investigation of Psychosis Subgroups </w:t>
      </w:r>
      <w:proofErr w:type="gramStart"/>
      <w:r w:rsidRPr="00EC259F">
        <w:rPr>
          <w:rFonts w:ascii="Calibri" w:hAnsi="Calibri" w:cs="Calibri"/>
          <w:lang w:val="en-GB"/>
        </w:rPr>
        <w:t>With</w:t>
      </w:r>
      <w:proofErr w:type="gramEnd"/>
      <w:r w:rsidRPr="00EC259F">
        <w:rPr>
          <w:rFonts w:ascii="Calibri" w:hAnsi="Calibri" w:cs="Calibri"/>
          <w:lang w:val="en-GB"/>
        </w:rPr>
        <w:t xml:space="preserve"> Prognostic Validation and Exploration of Genetic Underpinnings: The PsyCourse Study. </w:t>
      </w:r>
      <w:r w:rsidRPr="00EC259F">
        <w:rPr>
          <w:rFonts w:ascii="Calibri" w:hAnsi="Calibri" w:cs="Calibri"/>
          <w:i/>
          <w:iCs/>
          <w:lang w:val="en-GB"/>
        </w:rPr>
        <w:t>JAMA Psychiatry</w:t>
      </w:r>
      <w:r w:rsidRPr="00EC259F">
        <w:rPr>
          <w:rFonts w:ascii="Calibri" w:hAnsi="Calibri" w:cs="Calibri"/>
          <w:lang w:val="en-GB"/>
        </w:rPr>
        <w:t xml:space="preserve"> 77: 523.</w:t>
      </w:r>
    </w:p>
    <w:p w14:paraId="6A9BFA7B" w14:textId="77777777" w:rsidR="00EC259F" w:rsidRPr="00EC259F" w:rsidRDefault="00EC259F" w:rsidP="00EC259F">
      <w:pPr>
        <w:pStyle w:val="Bibliography"/>
        <w:rPr>
          <w:rFonts w:ascii="Calibri" w:hAnsi="Calibri" w:cs="Calibri"/>
          <w:lang w:val="en-GB"/>
        </w:rPr>
      </w:pPr>
      <w:r w:rsidRPr="00EC259F">
        <w:rPr>
          <w:rFonts w:ascii="Calibri" w:hAnsi="Calibri" w:cs="Calibri"/>
          <w:lang w:val="en-GB"/>
        </w:rPr>
        <w:t xml:space="preserve">2. Solomon P, Budde M, Kohshour MO, Adorjan K, Heilbronner M, Navarro-Flores A, </w:t>
      </w:r>
      <w:r w:rsidRPr="00EC259F">
        <w:rPr>
          <w:rFonts w:ascii="Calibri" w:hAnsi="Calibri" w:cs="Calibri"/>
          <w:i/>
          <w:iCs/>
          <w:lang w:val="en-GB"/>
        </w:rPr>
        <w:t>et al.</w:t>
      </w:r>
      <w:r w:rsidRPr="00EC259F">
        <w:rPr>
          <w:rFonts w:ascii="Calibri" w:hAnsi="Calibri" w:cs="Calibri"/>
          <w:lang w:val="en-GB"/>
        </w:rPr>
        <w:t xml:space="preserve"> (2025): Disease severity across psychiatric disorders is linked to pro-inflammatory cytokines. </w:t>
      </w:r>
      <w:r w:rsidRPr="00EC259F">
        <w:rPr>
          <w:rFonts w:ascii="Calibri" w:hAnsi="Calibri" w:cs="Calibri"/>
          <w:i/>
          <w:iCs/>
          <w:lang w:val="en-GB"/>
        </w:rPr>
        <w:t>Brain Behav Immun</w:t>
      </w:r>
      <w:r w:rsidRPr="00EC259F">
        <w:rPr>
          <w:rFonts w:ascii="Calibri" w:hAnsi="Calibri" w:cs="Calibri"/>
          <w:lang w:val="en-GB"/>
        </w:rPr>
        <w:t xml:space="preserve"> 129: 359–372.</w:t>
      </w:r>
    </w:p>
    <w:p w14:paraId="7CE53545" w14:textId="77777777" w:rsidR="00EC259F" w:rsidRPr="00EC259F" w:rsidRDefault="00EC259F" w:rsidP="00EC259F">
      <w:pPr>
        <w:pStyle w:val="Bibliography"/>
        <w:rPr>
          <w:rFonts w:ascii="Calibri" w:hAnsi="Calibri" w:cs="Calibri"/>
          <w:lang w:val="de-DE"/>
        </w:rPr>
      </w:pPr>
      <w:r w:rsidRPr="00EC259F">
        <w:rPr>
          <w:rFonts w:ascii="Calibri" w:hAnsi="Calibri" w:cs="Calibri"/>
          <w:lang w:val="en-GB"/>
        </w:rPr>
        <w:t xml:space="preserve">3. Trubetskoy V, Pardiñas AF, Qi T, Panagiotaropoulou G, Awasthi S, Bigdeli TB, </w:t>
      </w:r>
      <w:r w:rsidRPr="00EC259F">
        <w:rPr>
          <w:rFonts w:ascii="Calibri" w:hAnsi="Calibri" w:cs="Calibri"/>
          <w:i/>
          <w:iCs/>
          <w:lang w:val="en-GB"/>
        </w:rPr>
        <w:t>et al.</w:t>
      </w:r>
      <w:r w:rsidRPr="00EC259F">
        <w:rPr>
          <w:rFonts w:ascii="Calibri" w:hAnsi="Calibri" w:cs="Calibri"/>
          <w:lang w:val="en-GB"/>
        </w:rPr>
        <w:t xml:space="preserve"> (2022): Mapping genomic loci implicates genes and synaptic biology in schizophrenia. </w:t>
      </w:r>
      <w:r w:rsidRPr="00EC259F">
        <w:rPr>
          <w:rFonts w:ascii="Calibri" w:hAnsi="Calibri" w:cs="Calibri"/>
          <w:i/>
          <w:iCs/>
          <w:lang w:val="de-DE"/>
        </w:rPr>
        <w:t>Nature</w:t>
      </w:r>
      <w:r w:rsidRPr="00EC259F">
        <w:rPr>
          <w:rFonts w:ascii="Calibri" w:hAnsi="Calibri" w:cs="Calibri"/>
          <w:lang w:val="de-DE"/>
        </w:rPr>
        <w:t xml:space="preserve"> 604: 502–508.</w:t>
      </w:r>
    </w:p>
    <w:p w14:paraId="00398A30" w14:textId="77777777" w:rsidR="00EC259F" w:rsidRPr="00EC259F" w:rsidRDefault="00EC259F" w:rsidP="00EC259F">
      <w:pPr>
        <w:pStyle w:val="Bibliography"/>
        <w:rPr>
          <w:rFonts w:ascii="Calibri" w:hAnsi="Calibri" w:cs="Calibri"/>
          <w:lang w:val="en-GB"/>
        </w:rPr>
      </w:pPr>
      <w:r w:rsidRPr="00EC259F">
        <w:rPr>
          <w:rFonts w:ascii="Calibri" w:hAnsi="Calibri" w:cs="Calibri"/>
          <w:lang w:val="de-DE"/>
        </w:rPr>
        <w:t xml:space="preserve">4. O’Connell KS, Koromina M, van der Veen T, Boltz T, David FS, Yang JMK, </w:t>
      </w:r>
      <w:r w:rsidRPr="00EC259F">
        <w:rPr>
          <w:rFonts w:ascii="Calibri" w:hAnsi="Calibri" w:cs="Calibri"/>
          <w:i/>
          <w:iCs/>
          <w:lang w:val="de-DE"/>
        </w:rPr>
        <w:t>et al.</w:t>
      </w:r>
      <w:r w:rsidRPr="00EC259F">
        <w:rPr>
          <w:rFonts w:ascii="Calibri" w:hAnsi="Calibri" w:cs="Calibri"/>
          <w:lang w:val="de-DE"/>
        </w:rPr>
        <w:t xml:space="preserve"> </w:t>
      </w:r>
      <w:r w:rsidRPr="00EC259F">
        <w:rPr>
          <w:rFonts w:ascii="Calibri" w:hAnsi="Calibri" w:cs="Calibri"/>
          <w:lang w:val="en-GB"/>
        </w:rPr>
        <w:t xml:space="preserve">(2025): Genomics yields biological and phenotypic insights into bipolar disorder. </w:t>
      </w:r>
      <w:r w:rsidRPr="00EC259F">
        <w:rPr>
          <w:rFonts w:ascii="Calibri" w:hAnsi="Calibri" w:cs="Calibri"/>
          <w:i/>
          <w:iCs/>
          <w:lang w:val="en-GB"/>
        </w:rPr>
        <w:t>Nature</w:t>
      </w:r>
      <w:r w:rsidRPr="00EC259F">
        <w:rPr>
          <w:rFonts w:ascii="Calibri" w:hAnsi="Calibri" w:cs="Calibri"/>
          <w:lang w:val="en-GB"/>
        </w:rPr>
        <w:t xml:space="preserve"> 639: 968–975.</w:t>
      </w:r>
    </w:p>
    <w:p w14:paraId="3A76F921" w14:textId="77777777" w:rsidR="00EC259F" w:rsidRPr="00EC259F" w:rsidRDefault="00EC259F" w:rsidP="00EC259F">
      <w:pPr>
        <w:pStyle w:val="Bibliography"/>
        <w:rPr>
          <w:rFonts w:ascii="Calibri" w:hAnsi="Calibri" w:cs="Calibri"/>
          <w:lang w:val="de-DE"/>
        </w:rPr>
      </w:pPr>
      <w:r w:rsidRPr="00EC259F">
        <w:rPr>
          <w:rFonts w:ascii="Calibri" w:hAnsi="Calibri" w:cs="Calibri"/>
          <w:lang w:val="en-GB"/>
        </w:rPr>
        <w:t xml:space="preserve">5. Adams MJ, Streit F, Meng X, Awasthi S, Adey BN, Choi KW, </w:t>
      </w:r>
      <w:r w:rsidRPr="00EC259F">
        <w:rPr>
          <w:rFonts w:ascii="Calibri" w:hAnsi="Calibri" w:cs="Calibri"/>
          <w:i/>
          <w:iCs/>
          <w:lang w:val="en-GB"/>
        </w:rPr>
        <w:t>et al.</w:t>
      </w:r>
      <w:r w:rsidRPr="00EC259F">
        <w:rPr>
          <w:rFonts w:ascii="Calibri" w:hAnsi="Calibri" w:cs="Calibri"/>
          <w:lang w:val="en-GB"/>
        </w:rPr>
        <w:t xml:space="preserve"> (2025): Trans-ancestry genome-wide study of depression identifies 697 associations implicating cell types and pharmacotherapies. </w:t>
      </w:r>
      <w:r w:rsidRPr="00EC259F">
        <w:rPr>
          <w:rFonts w:ascii="Calibri" w:hAnsi="Calibri" w:cs="Calibri"/>
          <w:i/>
          <w:iCs/>
          <w:lang w:val="de-DE"/>
        </w:rPr>
        <w:t>Cell</w:t>
      </w:r>
      <w:r w:rsidRPr="00EC259F">
        <w:rPr>
          <w:rFonts w:ascii="Calibri" w:hAnsi="Calibri" w:cs="Calibri"/>
          <w:lang w:val="de-DE"/>
        </w:rPr>
        <w:t xml:space="preserve"> 188: 640-652.e9.</w:t>
      </w:r>
    </w:p>
    <w:p w14:paraId="0140287B" w14:textId="77777777" w:rsidR="00EC259F" w:rsidRPr="00EC259F" w:rsidRDefault="00EC259F" w:rsidP="00EC259F">
      <w:pPr>
        <w:pStyle w:val="Bibliography"/>
        <w:rPr>
          <w:rFonts w:ascii="Calibri" w:hAnsi="Calibri" w:cs="Calibri"/>
          <w:lang w:val="en-GB"/>
        </w:rPr>
      </w:pPr>
      <w:r w:rsidRPr="00EC259F">
        <w:rPr>
          <w:rFonts w:ascii="Calibri" w:hAnsi="Calibri" w:cs="Calibri"/>
          <w:lang w:val="de-DE"/>
        </w:rPr>
        <w:t xml:space="preserve">6. Bellenguez C, Küçükali F, Jansen IE, Kleineidam L, Moreno-Grau S, Amin N, </w:t>
      </w:r>
      <w:r w:rsidRPr="00EC259F">
        <w:rPr>
          <w:rFonts w:ascii="Calibri" w:hAnsi="Calibri" w:cs="Calibri"/>
          <w:i/>
          <w:iCs/>
          <w:lang w:val="de-DE"/>
        </w:rPr>
        <w:t>et al.</w:t>
      </w:r>
      <w:r w:rsidRPr="00EC259F">
        <w:rPr>
          <w:rFonts w:ascii="Calibri" w:hAnsi="Calibri" w:cs="Calibri"/>
          <w:lang w:val="de-DE"/>
        </w:rPr>
        <w:t xml:space="preserve"> </w:t>
      </w:r>
      <w:r w:rsidRPr="00EC259F">
        <w:rPr>
          <w:rFonts w:ascii="Calibri" w:hAnsi="Calibri" w:cs="Calibri"/>
          <w:lang w:val="en-GB"/>
        </w:rPr>
        <w:t xml:space="preserve">(2022): New insights into the genetic etiology of Alzheimer’s disease and related dementias. </w:t>
      </w:r>
      <w:r w:rsidRPr="00EC259F">
        <w:rPr>
          <w:rFonts w:ascii="Calibri" w:hAnsi="Calibri" w:cs="Calibri"/>
          <w:i/>
          <w:iCs/>
          <w:lang w:val="en-GB"/>
        </w:rPr>
        <w:t>Nat Genet</w:t>
      </w:r>
      <w:r w:rsidRPr="00EC259F">
        <w:rPr>
          <w:rFonts w:ascii="Calibri" w:hAnsi="Calibri" w:cs="Calibri"/>
          <w:lang w:val="en-GB"/>
        </w:rPr>
        <w:t xml:space="preserve"> 54: 412–436.</w:t>
      </w:r>
    </w:p>
    <w:p w14:paraId="155DAF1C" w14:textId="77777777" w:rsidR="00EC259F" w:rsidRPr="00EC259F" w:rsidRDefault="00EC259F" w:rsidP="00EC259F">
      <w:pPr>
        <w:pStyle w:val="Bibliography"/>
        <w:rPr>
          <w:rFonts w:ascii="Calibri" w:hAnsi="Calibri" w:cs="Calibri"/>
          <w:lang w:val="en-GB"/>
        </w:rPr>
      </w:pPr>
      <w:r w:rsidRPr="00EC259F">
        <w:rPr>
          <w:rFonts w:ascii="Calibri" w:hAnsi="Calibri" w:cs="Calibri"/>
          <w:lang w:val="en-GB"/>
        </w:rPr>
        <w:lastRenderedPageBreak/>
        <w:t xml:space="preserve">7. Okbay A, Wu Y, Wang N, Jayashankar H, Bennett M, Nehzati SM, </w:t>
      </w:r>
      <w:r w:rsidRPr="00EC259F">
        <w:rPr>
          <w:rFonts w:ascii="Calibri" w:hAnsi="Calibri" w:cs="Calibri"/>
          <w:i/>
          <w:iCs/>
          <w:lang w:val="en-GB"/>
        </w:rPr>
        <w:t>et al.</w:t>
      </w:r>
      <w:r w:rsidRPr="00EC259F">
        <w:rPr>
          <w:rFonts w:ascii="Calibri" w:hAnsi="Calibri" w:cs="Calibri"/>
          <w:lang w:val="en-GB"/>
        </w:rPr>
        <w:t xml:space="preserve"> (2022): Polygenic prediction of educational attainment within and between families from genome-wide association analyses in 3 million individuals. </w:t>
      </w:r>
      <w:r w:rsidRPr="00EC259F">
        <w:rPr>
          <w:rFonts w:ascii="Calibri" w:hAnsi="Calibri" w:cs="Calibri"/>
          <w:i/>
          <w:iCs/>
          <w:lang w:val="en-GB"/>
        </w:rPr>
        <w:t>Nat Genet</w:t>
      </w:r>
      <w:r w:rsidRPr="00EC259F">
        <w:rPr>
          <w:rFonts w:ascii="Calibri" w:hAnsi="Calibri" w:cs="Calibri"/>
          <w:lang w:val="en-GB"/>
        </w:rPr>
        <w:t xml:space="preserve"> 54: 437–449.</w:t>
      </w:r>
    </w:p>
    <w:p w14:paraId="46137008" w14:textId="77777777" w:rsidR="00EC259F" w:rsidRPr="00EC259F" w:rsidRDefault="00EC259F" w:rsidP="00EC259F">
      <w:pPr>
        <w:pStyle w:val="Bibliography"/>
        <w:rPr>
          <w:rFonts w:ascii="Calibri" w:hAnsi="Calibri" w:cs="Calibri"/>
          <w:lang w:val="de-DE"/>
        </w:rPr>
      </w:pPr>
      <w:r w:rsidRPr="00EC259F">
        <w:rPr>
          <w:rFonts w:ascii="Calibri" w:hAnsi="Calibri" w:cs="Calibri"/>
          <w:lang w:val="en-GB"/>
        </w:rPr>
        <w:t xml:space="preserve">8. Grove J, Ripke S, Als TD, Mattheisen M, Walters RK, Won H, </w:t>
      </w:r>
      <w:r w:rsidRPr="00EC259F">
        <w:rPr>
          <w:rFonts w:ascii="Calibri" w:hAnsi="Calibri" w:cs="Calibri"/>
          <w:i/>
          <w:iCs/>
          <w:lang w:val="en-GB"/>
        </w:rPr>
        <w:t>et al.</w:t>
      </w:r>
      <w:r w:rsidRPr="00EC259F">
        <w:rPr>
          <w:rFonts w:ascii="Calibri" w:hAnsi="Calibri" w:cs="Calibri"/>
          <w:lang w:val="en-GB"/>
        </w:rPr>
        <w:t xml:space="preserve"> (2019): Identification of common genetic risk variants for autism spectrum disorder. </w:t>
      </w:r>
      <w:r w:rsidRPr="00EC259F">
        <w:rPr>
          <w:rFonts w:ascii="Calibri" w:hAnsi="Calibri" w:cs="Calibri"/>
          <w:i/>
          <w:iCs/>
          <w:lang w:val="de-DE"/>
        </w:rPr>
        <w:t>Nat Genet</w:t>
      </w:r>
      <w:r w:rsidRPr="00EC259F">
        <w:rPr>
          <w:rFonts w:ascii="Calibri" w:hAnsi="Calibri" w:cs="Calibri"/>
          <w:lang w:val="de-DE"/>
        </w:rPr>
        <w:t xml:space="preserve"> 51: 431–444.</w:t>
      </w:r>
    </w:p>
    <w:p w14:paraId="72BDC459" w14:textId="77777777" w:rsidR="00EC259F" w:rsidRPr="00EC259F" w:rsidRDefault="00EC259F" w:rsidP="00EC259F">
      <w:pPr>
        <w:pStyle w:val="Bibliography"/>
        <w:rPr>
          <w:rFonts w:ascii="Calibri" w:hAnsi="Calibri" w:cs="Calibri"/>
          <w:lang w:val="en-GB"/>
        </w:rPr>
      </w:pPr>
      <w:r w:rsidRPr="00EC259F">
        <w:rPr>
          <w:rFonts w:ascii="Calibri" w:hAnsi="Calibri" w:cs="Calibri"/>
          <w:lang w:val="de-DE"/>
        </w:rPr>
        <w:t xml:space="preserve">9. Demontis D, Walters GB, Athanasiadis G, Walters R, Therrien K, Nielsen TT, </w:t>
      </w:r>
      <w:r w:rsidRPr="00EC259F">
        <w:rPr>
          <w:rFonts w:ascii="Calibri" w:hAnsi="Calibri" w:cs="Calibri"/>
          <w:i/>
          <w:iCs/>
          <w:lang w:val="de-DE"/>
        </w:rPr>
        <w:t>et al.</w:t>
      </w:r>
      <w:r w:rsidRPr="00EC259F">
        <w:rPr>
          <w:rFonts w:ascii="Calibri" w:hAnsi="Calibri" w:cs="Calibri"/>
          <w:lang w:val="de-DE"/>
        </w:rPr>
        <w:t xml:space="preserve"> </w:t>
      </w:r>
      <w:r w:rsidRPr="00EC259F">
        <w:rPr>
          <w:rFonts w:ascii="Calibri" w:hAnsi="Calibri" w:cs="Calibri"/>
          <w:lang w:val="en-GB"/>
        </w:rPr>
        <w:t xml:space="preserve">(2023): Genome-wide analyses of ADHD identify 27 risk loci, refine the genetic architecture and implicate several cognitive domains. </w:t>
      </w:r>
      <w:r w:rsidRPr="00EC259F">
        <w:rPr>
          <w:rFonts w:ascii="Calibri" w:hAnsi="Calibri" w:cs="Calibri"/>
          <w:i/>
          <w:iCs/>
          <w:lang w:val="en-GB"/>
        </w:rPr>
        <w:t>Nat Genet</w:t>
      </w:r>
      <w:r w:rsidRPr="00EC259F">
        <w:rPr>
          <w:rFonts w:ascii="Calibri" w:hAnsi="Calibri" w:cs="Calibri"/>
          <w:lang w:val="en-GB"/>
        </w:rPr>
        <w:t xml:space="preserve"> 55: 198–208.</w:t>
      </w:r>
    </w:p>
    <w:p w14:paraId="75227FF7" w14:textId="77777777" w:rsidR="00EC259F" w:rsidRPr="00EC259F" w:rsidRDefault="00EC259F" w:rsidP="00EC259F">
      <w:pPr>
        <w:pStyle w:val="Bibliography"/>
        <w:rPr>
          <w:rFonts w:ascii="Calibri" w:hAnsi="Calibri" w:cs="Calibri"/>
          <w:lang w:val="en-GB"/>
        </w:rPr>
      </w:pPr>
      <w:r w:rsidRPr="00EC259F">
        <w:rPr>
          <w:rFonts w:ascii="Calibri" w:hAnsi="Calibri" w:cs="Calibri"/>
          <w:lang w:val="en-GB"/>
        </w:rPr>
        <w:t xml:space="preserve">10. Gupta P, Galimberti M, Liu Y, Beck S, Wingo A, Wingo T, </w:t>
      </w:r>
      <w:r w:rsidRPr="00EC259F">
        <w:rPr>
          <w:rFonts w:ascii="Calibri" w:hAnsi="Calibri" w:cs="Calibri"/>
          <w:i/>
          <w:iCs/>
          <w:lang w:val="en-GB"/>
        </w:rPr>
        <w:t>et al.</w:t>
      </w:r>
      <w:r w:rsidRPr="00EC259F">
        <w:rPr>
          <w:rFonts w:ascii="Calibri" w:hAnsi="Calibri" w:cs="Calibri"/>
          <w:lang w:val="en-GB"/>
        </w:rPr>
        <w:t xml:space="preserve"> (2024): A genome-wide investigation into the underlying genetic architecture of personality traits and overlap with psychopathology. </w:t>
      </w:r>
      <w:r w:rsidRPr="00EC259F">
        <w:rPr>
          <w:rFonts w:ascii="Calibri" w:hAnsi="Calibri" w:cs="Calibri"/>
          <w:i/>
          <w:iCs/>
          <w:lang w:val="en-GB"/>
        </w:rPr>
        <w:t>Nat Hum Behav</w:t>
      </w:r>
      <w:r w:rsidRPr="00EC259F">
        <w:rPr>
          <w:rFonts w:ascii="Calibri" w:hAnsi="Calibri" w:cs="Calibri"/>
          <w:lang w:val="en-GB"/>
        </w:rPr>
        <w:t xml:space="preserve"> 8: 2235–2249.</w:t>
      </w:r>
    </w:p>
    <w:p w14:paraId="47942DAD" w14:textId="77777777" w:rsidR="00EC259F" w:rsidRPr="00EC259F" w:rsidRDefault="00EC259F" w:rsidP="00EC259F">
      <w:pPr>
        <w:pStyle w:val="Bibliography"/>
        <w:rPr>
          <w:rFonts w:ascii="Calibri" w:hAnsi="Calibri" w:cs="Calibri"/>
          <w:lang w:val="en-GB"/>
        </w:rPr>
      </w:pPr>
      <w:r w:rsidRPr="00EC259F">
        <w:rPr>
          <w:rFonts w:ascii="Calibri" w:hAnsi="Calibri" w:cs="Calibri"/>
          <w:lang w:val="en-GB"/>
        </w:rPr>
        <w:t xml:space="preserve">11. Austin-Zimmerman I, Levey DF, Giannakopoulou O, Deak JD, Galimberti M, Adhikari K, </w:t>
      </w:r>
      <w:r w:rsidRPr="00EC259F">
        <w:rPr>
          <w:rFonts w:ascii="Calibri" w:hAnsi="Calibri" w:cs="Calibri"/>
          <w:i/>
          <w:iCs/>
          <w:lang w:val="en-GB"/>
        </w:rPr>
        <w:t>et al.</w:t>
      </w:r>
      <w:r w:rsidRPr="00EC259F">
        <w:rPr>
          <w:rFonts w:ascii="Calibri" w:hAnsi="Calibri" w:cs="Calibri"/>
          <w:lang w:val="en-GB"/>
        </w:rPr>
        <w:t xml:space="preserve"> (2023): Genome-wide association studies and cross-population meta-analyses investigating short and long sleep duration. </w:t>
      </w:r>
      <w:r w:rsidRPr="00EC259F">
        <w:rPr>
          <w:rFonts w:ascii="Calibri" w:hAnsi="Calibri" w:cs="Calibri"/>
          <w:i/>
          <w:iCs/>
          <w:lang w:val="en-GB"/>
        </w:rPr>
        <w:t>Nat Commun</w:t>
      </w:r>
      <w:r w:rsidRPr="00EC259F">
        <w:rPr>
          <w:rFonts w:ascii="Calibri" w:hAnsi="Calibri" w:cs="Calibri"/>
          <w:lang w:val="en-GB"/>
        </w:rPr>
        <w:t xml:space="preserve"> 14: 6059.</w:t>
      </w:r>
    </w:p>
    <w:p w14:paraId="1AA924EF" w14:textId="77777777" w:rsidR="00EC259F" w:rsidRPr="00EC259F" w:rsidRDefault="00EC259F" w:rsidP="00EC259F">
      <w:pPr>
        <w:pStyle w:val="Bibliography"/>
        <w:rPr>
          <w:rFonts w:ascii="Calibri" w:hAnsi="Calibri" w:cs="Calibri"/>
          <w:lang w:val="en-GB"/>
        </w:rPr>
      </w:pPr>
      <w:r w:rsidRPr="00EC259F">
        <w:rPr>
          <w:rFonts w:ascii="Calibri" w:hAnsi="Calibri" w:cs="Calibri"/>
          <w:lang w:val="en-GB"/>
        </w:rPr>
        <w:t xml:space="preserve">12. Ge T, Chen C-Y, Ni Y, Feng Y-CA, Smoller JW (2019): Polygenic prediction via Bayesian regression and continuous shrinkage priors. </w:t>
      </w:r>
      <w:r w:rsidRPr="00EC259F">
        <w:rPr>
          <w:rFonts w:ascii="Calibri" w:hAnsi="Calibri" w:cs="Calibri"/>
          <w:i/>
          <w:iCs/>
          <w:lang w:val="en-GB"/>
        </w:rPr>
        <w:t>Nat Commun</w:t>
      </w:r>
      <w:r w:rsidRPr="00EC259F">
        <w:rPr>
          <w:rFonts w:ascii="Calibri" w:hAnsi="Calibri" w:cs="Calibri"/>
          <w:lang w:val="en-GB"/>
        </w:rPr>
        <w:t xml:space="preserve"> 10: 1776.</w:t>
      </w:r>
    </w:p>
    <w:p w14:paraId="65FAAB8E" w14:textId="77777777" w:rsidR="00EC259F" w:rsidRPr="00EC259F" w:rsidRDefault="00EC259F" w:rsidP="00EC259F">
      <w:pPr>
        <w:pStyle w:val="Bibliography"/>
        <w:rPr>
          <w:rFonts w:ascii="Calibri" w:hAnsi="Calibri" w:cs="Calibri"/>
          <w:lang w:val="en-GB"/>
        </w:rPr>
      </w:pPr>
      <w:r w:rsidRPr="00EC259F">
        <w:rPr>
          <w:rFonts w:ascii="Calibri" w:hAnsi="Calibri" w:cs="Calibri"/>
          <w:lang w:val="en-GB"/>
        </w:rPr>
        <w:t xml:space="preserve">13. Liberzon A, Birger C, Thorvaldsdóttir H, Ghandi M, Mesirov JP, Tamayo P (2015): The Molecular Signatures Database (MSigDB) hallmark gene set collection. </w:t>
      </w:r>
      <w:r w:rsidRPr="00EC259F">
        <w:rPr>
          <w:rFonts w:ascii="Calibri" w:hAnsi="Calibri" w:cs="Calibri"/>
          <w:i/>
          <w:iCs/>
          <w:lang w:val="en-GB"/>
        </w:rPr>
        <w:t>Cell Syst</w:t>
      </w:r>
      <w:r w:rsidRPr="00EC259F">
        <w:rPr>
          <w:rFonts w:ascii="Calibri" w:hAnsi="Calibri" w:cs="Calibri"/>
          <w:lang w:val="en-GB"/>
        </w:rPr>
        <w:t xml:space="preserve"> 1: 417–425.</w:t>
      </w:r>
    </w:p>
    <w:p w14:paraId="5C945268" w14:textId="77777777" w:rsidR="00EC259F" w:rsidRPr="00EC259F" w:rsidRDefault="00EC259F" w:rsidP="00EC259F">
      <w:pPr>
        <w:pStyle w:val="Bibliography"/>
        <w:rPr>
          <w:rFonts w:ascii="Calibri" w:hAnsi="Calibri" w:cs="Calibri"/>
          <w:lang w:val="en-GB"/>
        </w:rPr>
      </w:pPr>
      <w:r w:rsidRPr="00EC259F">
        <w:rPr>
          <w:rFonts w:ascii="Calibri" w:hAnsi="Calibri" w:cs="Calibri"/>
          <w:lang w:val="en-GB"/>
        </w:rPr>
        <w:t xml:space="preserve">14. Tkachev A, Stekolshchikova E, Vanyushkina A, Zhang H, Morozova A, Zozulya S, </w:t>
      </w:r>
      <w:r w:rsidRPr="00EC259F">
        <w:rPr>
          <w:rFonts w:ascii="Calibri" w:hAnsi="Calibri" w:cs="Calibri"/>
          <w:i/>
          <w:iCs/>
          <w:lang w:val="en-GB"/>
        </w:rPr>
        <w:t>et al.</w:t>
      </w:r>
      <w:r w:rsidRPr="00EC259F">
        <w:rPr>
          <w:rFonts w:ascii="Calibri" w:hAnsi="Calibri" w:cs="Calibri"/>
          <w:lang w:val="en-GB"/>
        </w:rPr>
        <w:t xml:space="preserve"> (2023): Lipid Alteration Signature in the Blood Plasma of Individuals With Schizophrenia, Depression, and Bipolar Disorder. </w:t>
      </w:r>
      <w:r w:rsidRPr="00EC259F">
        <w:rPr>
          <w:rFonts w:ascii="Calibri" w:hAnsi="Calibri" w:cs="Calibri"/>
          <w:i/>
          <w:iCs/>
          <w:lang w:val="en-GB"/>
        </w:rPr>
        <w:t>JAMA Psychiatry</w:t>
      </w:r>
      <w:r w:rsidRPr="00EC259F">
        <w:rPr>
          <w:rFonts w:ascii="Calibri" w:hAnsi="Calibri" w:cs="Calibri"/>
          <w:lang w:val="en-GB"/>
        </w:rPr>
        <w:t xml:space="preserve"> 80: 250.</w:t>
      </w:r>
    </w:p>
    <w:p w14:paraId="54228847" w14:textId="412A483B" w:rsidR="00EC259F" w:rsidRPr="00EC259F" w:rsidRDefault="00EC259F">
      <w:pPr>
        <w:spacing w:line="480" w:lineRule="auto"/>
        <w:rPr>
          <w:rFonts w:ascii="Calibri" w:eastAsia="Calibri" w:hAnsi="Calibri" w:cs="Calibri"/>
          <w:lang w:val="de-DE"/>
        </w:rPr>
      </w:pPr>
      <w:r>
        <w:rPr>
          <w:rFonts w:ascii="Calibri" w:eastAsia="Calibri" w:hAnsi="Calibri" w:cs="Calibri"/>
          <w:lang w:val="de-DE"/>
        </w:rPr>
        <w:lastRenderedPageBreak/>
        <w:fldChar w:fldCharType="end"/>
      </w:r>
    </w:p>
    <w:sectPr w:rsidR="00EC259F" w:rsidRPr="00EC259F" w:rsidSect="007E53A0">
      <w:pgSz w:w="12240" w:h="15840"/>
      <w:pgMar w:top="1440" w:right="1440" w:bottom="1440" w:left="1440" w:header="708" w:footer="708" w:gutter="0"/>
      <w:lnNumType w:countBy="1" w:restart="continuous"/>
      <w:pgNumType w:start="1"/>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9EE9A569-8357-0D49-8B14-D15B2E829F88}"/>
    <w:embedBold r:id="rId2" w:fontKey="{80AA5473-B147-EC4A-87C0-84A696549D94}"/>
    <w:embedItalic r:id="rId3" w:fontKey="{9E83B7EF-167B-B943-9D1C-B7D263511254}"/>
  </w:font>
  <w:font w:name="Arial">
    <w:panose1 w:val="020B0604020202020204"/>
    <w:charset w:val="00"/>
    <w:family w:val="swiss"/>
    <w:pitch w:val="variable"/>
    <w:sig w:usb0="E0002AFF" w:usb1="C0007843" w:usb2="00000009" w:usb3="00000000" w:csb0="000001FF" w:csb1="00000000"/>
    <w:embedBold r:id="rId4" w:fontKey="{53EFFD6C-BE7B-7142-8C8D-070C78ADE2C1}"/>
    <w:embedBoldItalic r:id="rId5" w:fontKey="{F6A28435-311B-9148-A554-83ACBFAD7B46}"/>
  </w:font>
  <w:font w:name="Calibri">
    <w:panose1 w:val="020F0502020204030204"/>
    <w:charset w:val="00"/>
    <w:family w:val="swiss"/>
    <w:pitch w:val="variable"/>
    <w:sig w:usb0="E0002AFF" w:usb1="C000247B" w:usb2="00000009" w:usb3="00000000" w:csb0="000001FF" w:csb1="00000000"/>
    <w:embedRegular r:id="rId6" w:fontKey="{9ED836EB-7901-9843-B495-9D1BDB2D666B}"/>
    <w:embedBold r:id="rId7" w:fontKey="{1A28E983-7F98-224A-A96B-66988D0850B2}"/>
    <w:embedItalic r:id="rId8" w:fontKey="{B06D63EC-8D8C-3748-AF9A-4C78B54E851E}"/>
    <w:embedBoldItalic r:id="rId9" w:fontKey="{E236868C-74C7-B546-81FE-3A94C42A77B5}"/>
  </w:font>
  <w:font w:name="Calibri Light">
    <w:panose1 w:val="020F0302020204030204"/>
    <w:charset w:val="00"/>
    <w:family w:val="swiss"/>
    <w:pitch w:val="variable"/>
    <w:sig w:usb0="E0002AFF" w:usb1="C000247B" w:usb2="00000009" w:usb3="00000000" w:csb0="000001FF" w:csb1="00000000"/>
    <w:embedRegular r:id="rId10" w:fontKey="{C6488DD5-C272-6C49-8E6A-AA0896D93C65}"/>
    <w:embedItalic r:id="rId11" w:fontKey="{935625C5-1B52-2C44-8ECC-1CCF374FFC74}"/>
  </w:font>
  <w:font w:name="Georgia">
    <w:panose1 w:val="02040502050405020303"/>
    <w:charset w:val="00"/>
    <w:family w:val="roman"/>
    <w:pitch w:val="variable"/>
    <w:sig w:usb0="00000287" w:usb1="00000000" w:usb2="00000000" w:usb3="00000000" w:csb0="0000009F" w:csb1="00000000"/>
    <w:embedItalic r:id="rId12" w:fontKey="{774BDE53-F8FA-4843-B028-0BEDD0F83BF7}"/>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embedTrueTypeFont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F0CFF"/>
    <w:rsid w:val="0010122A"/>
    <w:rsid w:val="00294764"/>
    <w:rsid w:val="00437920"/>
    <w:rsid w:val="00536930"/>
    <w:rsid w:val="0057085C"/>
    <w:rsid w:val="007E53A0"/>
    <w:rsid w:val="0080099D"/>
    <w:rsid w:val="009069A1"/>
    <w:rsid w:val="00936011"/>
    <w:rsid w:val="00A74EA7"/>
    <w:rsid w:val="00B32D02"/>
    <w:rsid w:val="00BF0CFF"/>
    <w:rsid w:val="00CF3091"/>
    <w:rsid w:val="00EC259F"/>
  </w:rsids>
  <m:mathPr>
    <m:mathFont m:val="Cambria Math"/>
    <m:brkBin m:val="before"/>
    <m:brkBinSub m:val="--"/>
    <m:smallFrac m:val="0"/>
    <m:dispDef/>
    <m:lMargin m:val="0"/>
    <m:rMargin m:val="0"/>
    <m:defJc m:val="centerGroup"/>
    <m:wrapIndent m:val="1440"/>
    <m:intLim m:val="subSup"/>
    <m:naryLim m:val="undOvr"/>
  </m:mathPr>
  <w:themeFontLang w:val="en-DE"/>
  <w:clrSchemeMapping w:bg1="light1" w:t1="dark1" w:bg2="light2" w:t2="dark2" w:accent1="accent1" w:accent2="accent2" w:accent3="accent3" w:accent4="accent4" w:accent5="accent5" w:accent6="accent6" w:hyperlink="hyperlink" w:followedHyperlink="followedHyperlink"/>
  <w:decimalSymbol w:val=","/>
  <w:listSeparator w:val=","/>
  <w14:docId w14:val="543D86FF"/>
  <w15:docId w15:val="{261E0F2D-C9AA-8E47-9AC9-84F0EEE4FC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DE"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pBdr>
        <w:top w:val="nil"/>
        <w:left w:val="nil"/>
        <w:bottom w:val="nil"/>
        <w:right w:val="nil"/>
        <w:between w:val="nil"/>
      </w:pBdr>
      <w:spacing w:before="400" w:after="200"/>
      <w:outlineLvl w:val="0"/>
    </w:pPr>
    <w:rPr>
      <w:rFonts w:ascii="Arial" w:eastAsia="Arial" w:hAnsi="Arial" w:cs="Arial"/>
      <w:b/>
      <w:bCs/>
      <w:color w:val="2E4057"/>
      <w:sz w:val="28"/>
      <w:szCs w:val="28"/>
    </w:rPr>
  </w:style>
  <w:style w:type="paragraph" w:styleId="Heading2">
    <w:name w:val="heading 2"/>
    <w:basedOn w:val="Normal"/>
    <w:next w:val="Normal"/>
    <w:link w:val="Heading2Char"/>
    <w:uiPriority w:val="9"/>
    <w:unhideWhenUsed/>
    <w:qFormat/>
    <w:pPr>
      <w:pBdr>
        <w:top w:val="nil"/>
        <w:left w:val="nil"/>
        <w:bottom w:val="nil"/>
        <w:right w:val="nil"/>
        <w:between w:val="nil"/>
      </w:pBdr>
      <w:spacing w:before="300" w:after="160"/>
      <w:outlineLvl w:val="1"/>
    </w:pPr>
    <w:rPr>
      <w:rFonts w:ascii="Arial" w:eastAsia="Arial" w:hAnsi="Arial" w:cs="Arial"/>
      <w:b/>
      <w:bCs/>
      <w:color w:val="2E4057"/>
    </w:rPr>
  </w:style>
  <w:style w:type="paragraph" w:styleId="Heading3">
    <w:name w:val="heading 3"/>
    <w:basedOn w:val="Normal"/>
    <w:next w:val="Normal"/>
    <w:uiPriority w:val="9"/>
    <w:unhideWhenUsed/>
    <w:qFormat/>
    <w:pPr>
      <w:pBdr>
        <w:top w:val="nil"/>
        <w:left w:val="nil"/>
        <w:bottom w:val="nil"/>
        <w:right w:val="nil"/>
        <w:between w:val="nil"/>
      </w:pBdr>
      <w:spacing w:before="240" w:after="120"/>
      <w:outlineLvl w:val="2"/>
    </w:pPr>
    <w:rPr>
      <w:rFonts w:ascii="Arial" w:eastAsia="Arial" w:hAnsi="Arial" w:cs="Arial"/>
      <w:b/>
      <w:bCs/>
      <w:i/>
      <w:iCs/>
      <w:color w:val="000000"/>
      <w:sz w:val="22"/>
      <w:szCs w:val="22"/>
    </w:rPr>
  </w:style>
  <w:style w:type="paragraph" w:styleId="Heading4">
    <w:name w:val="heading 4"/>
    <w:basedOn w:val="Normal"/>
    <w:next w:val="Normal"/>
    <w:uiPriority w:val="9"/>
    <w:semiHidden/>
    <w:unhideWhenUsed/>
    <w:qFormat/>
    <w:pPr>
      <w:pBdr>
        <w:top w:val="nil"/>
        <w:left w:val="nil"/>
        <w:bottom w:val="nil"/>
        <w:right w:val="nil"/>
        <w:between w:val="nil"/>
      </w:pBdr>
      <w:outlineLvl w:val="3"/>
    </w:pPr>
    <w:rPr>
      <w:i/>
      <w:iCs/>
      <w:color w:val="2E74B5"/>
    </w:rPr>
  </w:style>
  <w:style w:type="paragraph" w:styleId="Heading5">
    <w:name w:val="heading 5"/>
    <w:basedOn w:val="Normal"/>
    <w:next w:val="Normal"/>
    <w:uiPriority w:val="9"/>
    <w:semiHidden/>
    <w:unhideWhenUsed/>
    <w:qFormat/>
    <w:pPr>
      <w:pBdr>
        <w:top w:val="nil"/>
        <w:left w:val="nil"/>
        <w:bottom w:val="nil"/>
        <w:right w:val="nil"/>
        <w:between w:val="nil"/>
      </w:pBdr>
      <w:outlineLvl w:val="4"/>
    </w:pPr>
    <w:rPr>
      <w:color w:val="2E74B5"/>
    </w:rPr>
  </w:style>
  <w:style w:type="paragraph" w:styleId="Heading6">
    <w:name w:val="heading 6"/>
    <w:basedOn w:val="Normal"/>
    <w:next w:val="Normal"/>
    <w:uiPriority w:val="9"/>
    <w:semiHidden/>
    <w:unhideWhenUsed/>
    <w:qFormat/>
    <w:pPr>
      <w:pBdr>
        <w:top w:val="nil"/>
        <w:left w:val="nil"/>
        <w:bottom w:val="nil"/>
        <w:right w:val="nil"/>
        <w:between w:val="nil"/>
      </w:pBdr>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pBdr>
        <w:top w:val="nil"/>
        <w:left w:val="nil"/>
        <w:bottom w:val="nil"/>
        <w:right w:val="nil"/>
        <w:between w:val="nil"/>
      </w:pBdr>
    </w:pPr>
    <w:rPr>
      <w:color w:val="000000"/>
      <w:sz w:val="56"/>
      <w:szCs w:val="56"/>
    </w:rPr>
  </w:style>
  <w:style w:type="table" w:customStyle="1" w:styleId="TableNormal1">
    <w:name w:val="TableNormal"/>
    <w:tblPr>
      <w:tblCellMar>
        <w:top w:w="100" w:type="dxa"/>
        <w:left w:w="100" w:type="dxa"/>
        <w:bottom w:w="100" w:type="dxa"/>
        <w:right w:w="100" w:type="dxa"/>
      </w:tblCellMar>
    </w:tblPr>
  </w:style>
  <w:style w:type="paragraph" w:customStyle="1" w:styleId="Strong1">
    <w:name w:val="Strong1"/>
    <w:qFormat/>
    <w:rPr>
      <w:b/>
      <w:bCs/>
    </w:rPr>
  </w:style>
  <w:style w:type="paragraph" w:styleId="ListParagraph">
    <w:name w:val="List Paragraph"/>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link w:val="FootnoteTextChar"/>
    <w:uiPriority w:val="99"/>
    <w:semiHidden/>
    <w:unhideWhenUsed/>
    <w:rPr>
      <w:sz w:val="20"/>
      <w:szCs w:val="20"/>
    </w:rPr>
  </w:style>
  <w:style w:type="character" w:customStyle="1" w:styleId="FootnoteTextChar">
    <w:name w:val="Footnote Text Char"/>
    <w:link w:val="FootnoteText"/>
    <w:uiPriority w:val="99"/>
    <w:semiHidden/>
    <w:unhideWhenUsed/>
    <w:rPr>
      <w:sz w:val="20"/>
      <w:szCs w:val="20"/>
    </w:rPr>
  </w:style>
  <w:style w:type="character" w:customStyle="1" w:styleId="Heading2Char">
    <w:name w:val="Heading 2 Char"/>
    <w:basedOn w:val="DefaultParagraphFont"/>
    <w:link w:val="Heading2"/>
    <w:uiPriority w:val="9"/>
    <w:rsid w:val="008A3692"/>
    <w:rPr>
      <w:rFonts w:ascii="Arial" w:eastAsia="Arial" w:hAnsi="Arial" w:cs="Arial"/>
      <w:b/>
      <w:bCs/>
      <w:color w:val="2E4057"/>
    </w:rPr>
  </w:style>
  <w:style w:type="character" w:styleId="CommentReference">
    <w:name w:val="annotation reference"/>
    <w:basedOn w:val="DefaultParagraphFont"/>
    <w:uiPriority w:val="99"/>
    <w:semiHidden/>
    <w:unhideWhenUsed/>
    <w:rsid w:val="00501DA3"/>
    <w:rPr>
      <w:sz w:val="16"/>
      <w:szCs w:val="16"/>
    </w:rPr>
  </w:style>
  <w:style w:type="paragraph" w:styleId="CommentText">
    <w:name w:val="annotation text"/>
    <w:basedOn w:val="Normal"/>
    <w:link w:val="CommentTextChar"/>
    <w:uiPriority w:val="99"/>
    <w:semiHidden/>
    <w:unhideWhenUsed/>
    <w:rsid w:val="00501DA3"/>
    <w:rPr>
      <w:sz w:val="20"/>
      <w:szCs w:val="20"/>
    </w:rPr>
  </w:style>
  <w:style w:type="character" w:customStyle="1" w:styleId="CommentTextChar">
    <w:name w:val="Comment Text Char"/>
    <w:basedOn w:val="DefaultParagraphFont"/>
    <w:link w:val="CommentText"/>
    <w:uiPriority w:val="99"/>
    <w:semiHidden/>
    <w:rsid w:val="00501DA3"/>
    <w:rPr>
      <w:sz w:val="20"/>
      <w:szCs w:val="20"/>
    </w:rPr>
  </w:style>
  <w:style w:type="paragraph" w:styleId="CommentSubject">
    <w:name w:val="annotation subject"/>
    <w:basedOn w:val="CommentText"/>
    <w:next w:val="CommentText"/>
    <w:link w:val="CommentSubjectChar"/>
    <w:uiPriority w:val="99"/>
    <w:semiHidden/>
    <w:unhideWhenUsed/>
    <w:rsid w:val="00501DA3"/>
    <w:rPr>
      <w:b/>
      <w:bCs/>
    </w:rPr>
  </w:style>
  <w:style w:type="character" w:customStyle="1" w:styleId="CommentSubjectChar">
    <w:name w:val="Comment Subject Char"/>
    <w:basedOn w:val="CommentTextChar"/>
    <w:link w:val="CommentSubject"/>
    <w:uiPriority w:val="99"/>
    <w:semiHidden/>
    <w:rsid w:val="00501DA3"/>
    <w:rPr>
      <w:b/>
      <w:bCs/>
      <w:sz w:val="20"/>
      <w:szCs w:val="20"/>
    </w:rPr>
  </w:style>
  <w:style w:type="paragraph" w:styleId="Caption">
    <w:name w:val="caption"/>
    <w:basedOn w:val="Normal"/>
    <w:next w:val="Normal"/>
    <w:autoRedefine/>
    <w:uiPriority w:val="35"/>
    <w:unhideWhenUsed/>
    <w:qFormat/>
    <w:rsid w:val="004F6C71"/>
    <w:pPr>
      <w:spacing w:after="200"/>
    </w:pPr>
    <w:rPr>
      <w:rFonts w:asciiTheme="minorHAnsi" w:hAnsiTheme="minorHAnsi"/>
      <w:b/>
      <w:iCs/>
      <w:color w:val="000000" w:themeColor="text1"/>
      <w:sz w:val="20"/>
      <w:szCs w:val="18"/>
    </w:rPr>
  </w:style>
  <w:style w:type="paragraph" w:customStyle="1" w:styleId="font-claude-response-body">
    <w:name w:val="font-claude-response-body"/>
    <w:basedOn w:val="Normal"/>
    <w:rsid w:val="00185829"/>
    <w:pPr>
      <w:spacing w:before="100" w:beforeAutospacing="1" w:after="100" w:afterAutospacing="1"/>
    </w:pPr>
  </w:style>
  <w:style w:type="character" w:styleId="Strong">
    <w:name w:val="Strong"/>
    <w:basedOn w:val="DefaultParagraphFont"/>
    <w:uiPriority w:val="22"/>
    <w:qFormat/>
    <w:rsid w:val="00185829"/>
    <w:rPr>
      <w:b/>
      <w:bCs/>
    </w:rPr>
  </w:style>
  <w:style w:type="table" w:customStyle="1" w:styleId="a">
    <w:basedOn w:val="TableNormal"/>
    <w:tblPr>
      <w:tblStyleRowBandSize w:val="1"/>
      <w:tblStyleColBandSize w:val="1"/>
      <w:tblCellMar>
        <w:left w:w="10" w:type="dxa"/>
        <w:right w:w="10" w:type="dxa"/>
      </w:tblCellMar>
    </w:tblPr>
  </w:style>
  <w:style w:type="table" w:styleId="PlainTable5">
    <w:name w:val="Plain Table 5"/>
    <w:basedOn w:val="TableNormal"/>
    <w:uiPriority w:val="45"/>
    <w:rsid w:val="00996D77"/>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2">
    <w:name w:val="Plain Table 2"/>
    <w:basedOn w:val="TableNormal"/>
    <w:uiPriority w:val="42"/>
    <w:rsid w:val="00996D77"/>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996D77"/>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2">
    <w:name w:val="Grid Table 2"/>
    <w:basedOn w:val="TableNormal"/>
    <w:uiPriority w:val="47"/>
    <w:rsid w:val="00996D77"/>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3">
    <w:name w:val="Grid Table 2 Accent 3"/>
    <w:basedOn w:val="TableNormal"/>
    <w:uiPriority w:val="47"/>
    <w:rsid w:val="00996D77"/>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GridLight">
    <w:name w:val="Grid Table Light"/>
    <w:basedOn w:val="TableNormal"/>
    <w:uiPriority w:val="40"/>
    <w:rsid w:val="00996D77"/>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0">
    <w:basedOn w:val="TableNormal"/>
    <w:tblPr>
      <w:tblStyleRowBandSize w:val="1"/>
      <w:tblStyleColBandSize w:val="1"/>
    </w:tblPr>
  </w:style>
  <w:style w:type="paragraph" w:styleId="Bibliography">
    <w:name w:val="Bibliography"/>
    <w:basedOn w:val="Normal"/>
    <w:next w:val="Normal"/>
    <w:uiPriority w:val="37"/>
    <w:unhideWhenUsed/>
    <w:rsid w:val="00EC259F"/>
    <w:pPr>
      <w:spacing w:line="480" w:lineRule="auto"/>
      <w:ind w:left="720" w:hanging="720"/>
    </w:pPr>
  </w:style>
  <w:style w:type="character" w:styleId="LineNumber">
    <w:name w:val="line number"/>
    <w:basedOn w:val="DefaultParagraphFont"/>
    <w:uiPriority w:val="99"/>
    <w:semiHidden/>
    <w:unhideWhenUsed/>
    <w:rsid w:val="007E53A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X/tIFzvY/UMBLuNkoOPAiPUShtA==">CgMxLjAaJwoBMBIiCiAIBCocCgtBQUFCNVo4TlZhYxAIGgtBQUFCNVo4TlZhYxonCgExEiIKIAgEKhwKC0FBQUI1WjhOVmE0EAgaC0FBQUI1WjhOVmE0ItIFCgtBQUFCNVo4TlZhNBKiBQoLQUFBQjVaOE5WYTQSC0FBQUI1WjhOVmE0GlgKCXRleHQvaHRtbBJLV2hpY2ggdmFsdWUgZm9yIHRoZSBwaGkgcGFyYW1ldGVyIGRpZCB5b3UgZW5kIHVwIHVzaW5nIGZvciBjYWxjdWxhdGluZyBQUlM/IlkKCnRleHQvcGxhaW4SS1doaWNoIHZhbHVlIGZvciB0aGUgcGhpIHBhcmFtZXRlciBkaWQgeW91IGVuZCB1cCB1c2luZyBmb3IgY2FsY3VsYXRpbmcgUFJTPyobIhUxMTQ4NzgzMzQ1NDI4MTA2MzI4OTQoADgAMKbIuYPZMzimyLmD2TNKuAIKCnRleHQvcGxhaW4SqQJQb3N0ZXJpb3IgU05QIGVmZmVjdCBzaXplcyB3ZXJlIGVzdGltYXRlZCB1c2luZyBQUlMtQ1MgKEdlMjAxOSkgd2l0aCB0aGUgMTAwMCBHZW5vbWVzIEV1cm9wZWFuIExEIHJlZmVyZW5jZSBwYW5lbCwgcnVuIHVzaW5nIGEgZ3JpZCBvZiBwcmUtc3BlY2lmaWVkIGdsb2JhbCBzaHJpbmthZ2UgdmFsdWVzICjPhiA9IDHDlzEw4oG74oG2LCAxw5cxMOKBu+KBtSwgMcOXMTDigbvigbQsIDHDlzEw4oG7wrMsIDHDlzEw4oG7wrIsIDHDlzEw4oG7wrkpIHRvIGNhcHR1cmUgdmFyeWluZyBkZWdyZWVzIG9mIHBvbHlnZW5pY2l0eS5aDG1saTFyNnhjOTJvc3ICIAB4AJoBBggAEAAYAKoBTRJLV2hpY2ggdmFsdWUgZm9yIHRoZSBwaGkgcGFyYW1ldGVyIGRpZCB5b3UgZW5kIHVwIHVzaW5nIGZvciBjYWxjdWxhdGluZyBQUlM/GKbIuYPZMyCmyLmD2TNCEGtpeC50NWhmbnk2NW5tdTMilgkKC0FBQUI1WjhOVmFjEuYICgtBQUFCNVo4TlZhYxILQUFBQjVaOE5WYWMaoAMKCXRleHQvaHRtbBKSA0lmIHlvdSB1c2VkIGdlbm9taWMgZGF0YSB0aGF0IGhhcyBiZWVuIFFDZWQgYnkgU2VyZ2ksIGl0IHdvdWxkIGJlIG1vcmUgYXBwcm9wb3JpYWx0ZSB0byBjaXRlIHRoaXMgcHVibGljYXRpb246wqAgPGEgaHJlZj0iaHR0cHM6Ly93d3cuZ29vZ2xlLmNvbS91cmw/cT1odHRwczovL2RvaS5vcmcvMTAuMTAzOC9zNDEzODAtMDI1LTAzMDE4LTkmYW1wO3NhPUQmYW1wO3NvdXJjZT1kb2NzJmFtcDt1c3Q9MTc3NjI0ODEyMDUwMDY0MSZhbXA7dXNnPUFPdlZhdzFDODhxRTgwd0V1Nk1ETVluN0pZR24iIGRhdGEtcmF3aHJlZj0iaHR0cHM6Ly9kb2kub3JnLzEwLjEwMzgvczQxMzgwLTAyNS0wMzAxOC05IiB0YXJnZXQ9Il9ibGFuayI+aHR0cHM6Ly9kb2kub3JnLzEwLjEwMzgvczQxMzgwLTAyNS0wMzAxOC05PC9hPiKqAQoKdGV4dC9wbGFpbhKbAUlmIHlvdSB1c2VkIGdlbm9taWMgZGF0YSB0aGF0IGhhcyBiZWVuIFFDZWQgYnkgU2VyZ2ksIGl0IHdvdWxkIGJlIG1vcmUgYXBwcm9wb3JpYWx0ZSB0byBjaXRlIHRoaXMgcHVibGljYXRpb246wqAgaHR0cHM6Ly9kb2kub3JnLzEwLjEwMzgvczQxMzgwLTAyNS0wMzAxOC05KhsiFTExNDg3ODMzNDU0MjgxMDYzMjg5NCgAOAAws+yxg9kzOLPssYPZM0oZCgp0ZXh0L3BsYWluEgsoQm91ZHJpb3QpLloMcXVlYjNib2xkNWVucgIgAHgAmgEGCAAQABgAqgGVAxKSA0lmIHlvdSB1c2VkIGdlbm9taWMgZGF0YSB0aGF0IGhhcyBiZWVuIFFDZWQgYnkgU2VyZ2ksIGl0IHdvdWxkIGJlIG1vcmUgYXBwcm9wb3JpYWx0ZSB0byBjaXRlIHRoaXMgcHVibGljYXRpb246wqAgPGEgaHJlZj0iaHR0cHM6Ly93d3cuZ29vZ2xlLmNvbS91cmw/cT1odHRwczovL2RvaS5vcmcvMTAuMTAzOC9zNDEzODAtMDI1LTAzMDE4LTkmYW1wO3NhPUQmYW1wO3NvdXJjZT1kb2NzJmFtcDt1c3Q9MTc3NjI0ODEyMDUwMDY0MSZhbXA7dXNnPUFPdlZhdzFDODhxRTgwd0V1Nk1ETVluN0pZR24iIGRhdGEtcmF3aHJlZj0iaHR0cHM6Ly9kb2kub3JnLzEwLjEwMzgvczQxMzgwLTAyNS0wMzAxOC05IiB0YXJnZXQ9Il9ibGFuayI+aHR0cHM6Ly9kb2kub3JnLzEwLjEwMzgvczQxMzgwLTAyNS0wMzAxOC05PC9hPhiz7LGD2TMgs+yxg9kzQhBraXguNXJ4bTJqdmowYnN5Mg5oLmQ0bnA3dzZlYWM3eDIOaC5tNTUxODVraW40bGI4AHIhMUFCVkYybXV2WjJ2d2ZxeTJOdzFnZmxLbWI0MUU2YVd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39</Pages>
  <Words>22379</Words>
  <Characters>127565</Characters>
  <Application>Microsoft Office Word</Application>
  <DocSecurity>0</DocSecurity>
  <Lines>1063</Lines>
  <Paragraphs>299</Paragraphs>
  <ScaleCrop>false</ScaleCrop>
  <Company/>
  <LinksUpToDate>false</LinksUpToDate>
  <CharactersWithSpaces>149645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Anoja Thanabalasingam</cp:lastModifiedBy>
  <cp:revision>14</cp:revision>
  <dcterms:created xsi:type="dcterms:W3CDTF">2026-03-08T03:32:00Z</dcterms:created>
  <dcterms:modified xsi:type="dcterms:W3CDTF">2026-05-03T22:54:00Z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id="0lD89Xlk"/&gt;&lt;style id="http://www.zotero.org/styles/biological-psychiatry" hasBibliography="1" bibliographyStyleHasBeenSet="1"/&gt;&lt;prefs&gt;&lt;pref name="fieldType" value="Field"/&gt;&lt;pref name="automaticJo</vt:lpwstr>
  </property>
  <property fmtid="{D5CDD505-2E9C-101B-9397-08002B2CF9AE}" pid="3" name="ZOTERO_PREF_2">
    <vt:lpwstr>urnalAbbreviations" value="true"/&gt;&lt;/prefs&gt;&lt;/data&gt;</vt:lpwstr>
  </property>
</Properties>
</file>