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0129" w14:textId="67C73CC5" w:rsidR="003327E1" w:rsidRDefault="003327E1" w:rsidP="003A6186">
      <w:pPr>
        <w:pStyle w:val="berschrift1"/>
      </w:pPr>
      <w:bookmarkStart w:id="0" w:name="_Toc225923892"/>
      <w:r>
        <w:t xml:space="preserve">Supplementary </w:t>
      </w:r>
      <w:bookmarkEnd w:id="0"/>
      <w:r w:rsidR="00DB17B4">
        <w:t>Information</w:t>
      </w:r>
    </w:p>
    <w:p w14:paraId="291F6C25" w14:textId="77777777" w:rsidR="003327E1" w:rsidRDefault="003327E1" w:rsidP="003327E1">
      <w:r w:rsidRPr="00F64A00"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  <w14:ligatures w14:val="standardContextual"/>
        </w:rPr>
        <w:t>Safety of Cardiopulmonary Exercise Testing in Patients with Severe Post-COVID-19 Condition: A Matched Case-Control Study</w:t>
      </w:r>
    </w:p>
    <w:p w14:paraId="358490A6" w14:textId="64555775" w:rsidR="003327E1" w:rsidRDefault="003327E1" w:rsidP="003327E1">
      <w:r w:rsidRPr="00436EB6">
        <w:t>Journal:</w:t>
      </w:r>
      <w:r w:rsidR="00465362">
        <w:t xml:space="preserve"> Scientific Reports</w:t>
      </w:r>
      <w:r w:rsidRPr="00436EB6">
        <w:t xml:space="preserve"> (Original Research Article)</w:t>
      </w:r>
    </w:p>
    <w:p w14:paraId="39ADF58A" w14:textId="77777777" w:rsidR="003327E1" w:rsidRPr="00F011C5" w:rsidRDefault="003327E1" w:rsidP="003327E1"/>
    <w:p w14:paraId="61B182AD" w14:textId="0693D5F9" w:rsidR="003327E1" w:rsidRPr="00B41F31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</w:pP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Vincent Weber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, Aleksandar Tomaskovic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, David T. Ochmann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, Barlo Hillen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1,</w:t>
      </w:r>
      <w:r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2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, Severin Zentgraf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 xml:space="preserve">, </w:t>
      </w:r>
      <w:r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 xml:space="preserve">Mirjam </w:t>
      </w:r>
      <w:r w:rsidR="007434E6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S</w:t>
      </w:r>
      <w:r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. Enger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, Ella Lachtermann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,</w:t>
      </w:r>
      <w:r w:rsidRPr="00C40246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 xml:space="preserve"> 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>Elmo W. I. Neuberger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</w:t>
      </w:r>
      <w:r w:rsidRPr="00B41F31">
        <w:rPr>
          <w:rFonts w:ascii="Times New Roman" w:hAnsi="Times New Roman"/>
          <w:color w:val="000000" w:themeColor="text1"/>
          <w:kern w:val="2"/>
          <w:sz w:val="20"/>
          <w14:ligatures w14:val="standardContextual"/>
        </w:rPr>
        <w:t xml:space="preserve"> and Perikles Simon</w:t>
      </w:r>
      <w:r w:rsidRPr="00B41F31">
        <w:rPr>
          <w:rFonts w:ascii="Times New Roman" w:hAnsi="Times New Roman"/>
          <w:color w:val="000000" w:themeColor="text1"/>
          <w:kern w:val="2"/>
          <w:sz w:val="20"/>
          <w:vertAlign w:val="superscript"/>
          <w14:ligatures w14:val="standardContextual"/>
        </w:rPr>
        <w:t>1</w:t>
      </w:r>
    </w:p>
    <w:p w14:paraId="71EF14FD" w14:textId="77777777" w:rsidR="003327E1" w:rsidRPr="00B41F31" w:rsidRDefault="003327E1" w:rsidP="003327E1">
      <w:pPr>
        <w:autoSpaceDE w:val="0"/>
        <w:autoSpaceDN w:val="0"/>
        <w:adjustRightInd w:val="0"/>
        <w:spacing w:after="0" w:line="360" w:lineRule="auto"/>
        <w:rPr>
          <w:color w:val="000000"/>
          <w:szCs w:val="20"/>
          <w:vertAlign w:val="superscript"/>
        </w:rPr>
      </w:pPr>
    </w:p>
    <w:p w14:paraId="7C052E8F" w14:textId="77777777" w:rsidR="003327E1" w:rsidRPr="00822491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:vertAlign w:val="superscript"/>
          <w14:ligatures w14:val="standardContextual"/>
        </w:rPr>
      </w:pPr>
      <w:r w:rsidRPr="00822491">
        <w:rPr>
          <w:rFonts w:ascii="Times New Roman" w:hAnsi="Times New Roman"/>
          <w:color w:val="000000"/>
          <w:kern w:val="2"/>
          <w:sz w:val="20"/>
          <w:szCs w:val="20"/>
          <w:vertAlign w:val="superscript"/>
          <w14:ligatures w14:val="standardContextual"/>
        </w:rPr>
        <w:t>1</w:t>
      </w: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 xml:space="preserve">Department of </w:t>
      </w:r>
      <w:r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S</w:t>
      </w: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 xml:space="preserve">ports </w:t>
      </w:r>
      <w:r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M</w:t>
      </w: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 xml:space="preserve">edicine, </w:t>
      </w:r>
      <w:r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P</w:t>
      </w: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 xml:space="preserve">revention and </w:t>
      </w:r>
      <w:r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R</w:t>
      </w: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ehabilitation, Institute for Sport Science, Johannes Gutenberg-University Mainz, Mainz, Germany</w:t>
      </w:r>
    </w:p>
    <w:p w14:paraId="6DD81F81" w14:textId="77777777" w:rsidR="003327E1" w:rsidRPr="00822491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</w:pPr>
      <w:r w:rsidRPr="00822491">
        <w:rPr>
          <w:rFonts w:ascii="Times New Roman" w:hAnsi="Times New Roman"/>
          <w:color w:val="000000"/>
          <w:kern w:val="2"/>
          <w:sz w:val="20"/>
          <w:szCs w:val="20"/>
          <w:vertAlign w:val="superscript"/>
          <w14:ligatures w14:val="standardContextual"/>
        </w:rPr>
        <w:t>2</w:t>
      </w: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Institute for Occupational, Social and Environmental Medicine, University Medical Center</w:t>
      </w:r>
      <w:r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 xml:space="preserve"> of the</w:t>
      </w: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 xml:space="preserve"> Johannes Gutenberg-University Mainz, Mainz, Germany</w:t>
      </w:r>
    </w:p>
    <w:p w14:paraId="173D85F0" w14:textId="77777777" w:rsidR="003327E1" w:rsidRDefault="003327E1" w:rsidP="003327E1">
      <w:pPr>
        <w:autoSpaceDE w:val="0"/>
        <w:autoSpaceDN w:val="0"/>
        <w:adjustRightInd w:val="0"/>
        <w:spacing w:after="0" w:line="360" w:lineRule="auto"/>
        <w:rPr>
          <w:color w:val="000000"/>
          <w:szCs w:val="20"/>
        </w:rPr>
      </w:pPr>
    </w:p>
    <w:p w14:paraId="2E47F539" w14:textId="77777777" w:rsidR="003327E1" w:rsidRPr="00822491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</w:pP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Corresponding Author:</w:t>
      </w:r>
    </w:p>
    <w:p w14:paraId="1997458E" w14:textId="77777777" w:rsidR="003327E1" w:rsidRPr="00822491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</w:pP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Prof. Perikles Simon, MD, PhD</w:t>
      </w:r>
    </w:p>
    <w:p w14:paraId="5B5414C1" w14:textId="77777777" w:rsidR="003327E1" w:rsidRPr="00822491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</w:pP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Department of Sports Medicine, Prevention and Rehabilitation</w:t>
      </w:r>
    </w:p>
    <w:p w14:paraId="43AD047C" w14:textId="77777777" w:rsidR="003327E1" w:rsidRPr="00822491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</w:pP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Institute of Sport Science</w:t>
      </w:r>
    </w:p>
    <w:p w14:paraId="5F91D0C0" w14:textId="77777777" w:rsidR="003327E1" w:rsidRPr="00822491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</w:pPr>
      <w:r w:rsidRPr="00822491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>Johannes Gutenberg University Mainz</w:t>
      </w:r>
    </w:p>
    <w:p w14:paraId="78024F6E" w14:textId="77777777" w:rsidR="003327E1" w:rsidRPr="001C3FEC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:lang w:val="de-DE"/>
          <w14:ligatures w14:val="standardContextual"/>
        </w:rPr>
      </w:pPr>
      <w:r w:rsidRPr="001C3FEC">
        <w:rPr>
          <w:rFonts w:ascii="Times New Roman" w:hAnsi="Times New Roman"/>
          <w:color w:val="000000"/>
          <w:kern w:val="2"/>
          <w:sz w:val="20"/>
          <w:szCs w:val="20"/>
          <w:lang w:val="de-DE"/>
          <w14:ligatures w14:val="standardContextual"/>
        </w:rPr>
        <w:t>Albert Schweitzer Street 22</w:t>
      </w:r>
    </w:p>
    <w:p w14:paraId="0BAE2E91" w14:textId="77777777" w:rsidR="003327E1" w:rsidRPr="001C3FEC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:lang w:val="de-DE"/>
          <w14:ligatures w14:val="standardContextual"/>
        </w:rPr>
      </w:pPr>
      <w:r w:rsidRPr="001C3FEC">
        <w:rPr>
          <w:rFonts w:ascii="Times New Roman" w:hAnsi="Times New Roman"/>
          <w:color w:val="000000"/>
          <w:kern w:val="2"/>
          <w:sz w:val="20"/>
          <w:szCs w:val="20"/>
          <w:lang w:val="de-DE"/>
          <w14:ligatures w14:val="standardContextual"/>
        </w:rPr>
        <w:t>Mainz, 55128</w:t>
      </w:r>
    </w:p>
    <w:p w14:paraId="343D310A" w14:textId="77777777" w:rsidR="003327E1" w:rsidRPr="001C3FEC" w:rsidRDefault="003327E1" w:rsidP="003327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"/>
          <w:sz w:val="20"/>
          <w:szCs w:val="20"/>
          <w:lang w:val="de-DE"/>
          <w14:ligatures w14:val="standardContextual"/>
        </w:rPr>
      </w:pPr>
      <w:r w:rsidRPr="001C3FEC">
        <w:rPr>
          <w:rFonts w:ascii="Times New Roman" w:hAnsi="Times New Roman"/>
          <w:color w:val="000000"/>
          <w:kern w:val="2"/>
          <w:sz w:val="20"/>
          <w:szCs w:val="20"/>
          <w:lang w:val="de-DE"/>
          <w14:ligatures w14:val="standardContextual"/>
        </w:rPr>
        <w:t>Germany</w:t>
      </w:r>
    </w:p>
    <w:p w14:paraId="2A8F2799" w14:textId="77777777" w:rsidR="003327E1" w:rsidRPr="00465362" w:rsidRDefault="003327E1" w:rsidP="003327E1">
      <w:pPr>
        <w:rPr>
          <w:b/>
          <w:bCs/>
          <w:color w:val="0E2841" w:themeColor="text2"/>
          <w:sz w:val="18"/>
          <w:szCs w:val="18"/>
        </w:rPr>
      </w:pPr>
      <w:r w:rsidRPr="00465362">
        <w:rPr>
          <w:rFonts w:ascii="Times New Roman" w:hAnsi="Times New Roman"/>
          <w:color w:val="000000"/>
          <w:kern w:val="2"/>
          <w:sz w:val="20"/>
          <w:szCs w:val="20"/>
          <w14:ligatures w14:val="standardContextual"/>
        </w:rPr>
        <w:t xml:space="preserve">Email: </w:t>
      </w:r>
      <w:hyperlink r:id="rId9" w:history="1">
        <w:r w:rsidRPr="00465362">
          <w:rPr>
            <w:rFonts w:ascii="Times New Roman" w:hAnsi="Times New Roman"/>
            <w:color w:val="000000"/>
            <w:kern w:val="2"/>
            <w:sz w:val="20"/>
            <w14:ligatures w14:val="standardContextual"/>
          </w:rPr>
          <w:t>simonpe@uni-mainz.de</w:t>
        </w:r>
      </w:hyperlink>
      <w:r w:rsidRPr="00465362">
        <w:rPr>
          <w:b/>
          <w:bCs/>
          <w:color w:val="0E2841" w:themeColor="text2"/>
          <w:sz w:val="18"/>
          <w:szCs w:val="18"/>
        </w:rPr>
        <w:br w:type="page"/>
      </w:r>
    </w:p>
    <w:p w14:paraId="50EEDFB0" w14:textId="2A4586B9" w:rsidR="003327E1" w:rsidRPr="00591C2F" w:rsidRDefault="003A6186" w:rsidP="003327E1">
      <w:pPr>
        <w:rPr>
          <w:color w:val="0E2841" w:themeColor="text2"/>
        </w:rPr>
      </w:pPr>
      <w:r>
        <w:rPr>
          <w:b/>
          <w:bCs/>
          <w:color w:val="0E2841" w:themeColor="text2"/>
        </w:rPr>
        <w:lastRenderedPageBreak/>
        <w:t xml:space="preserve">Supplementary </w:t>
      </w:r>
      <w:r w:rsidR="003327E1" w:rsidRPr="00591C2F">
        <w:rPr>
          <w:b/>
          <w:bCs/>
          <w:color w:val="0E2841" w:themeColor="text2"/>
        </w:rPr>
        <w:t>File 1</w:t>
      </w:r>
      <w:r w:rsidR="003327E1" w:rsidRPr="00591C2F">
        <w:rPr>
          <w:sz w:val="28"/>
          <w:szCs w:val="28"/>
        </w:rPr>
        <w:t xml:space="preserve"> </w:t>
      </w:r>
      <w:r w:rsidR="003327E1" w:rsidRPr="00CC48AB">
        <w:rPr>
          <w:color w:val="0E2841" w:themeColor="text2"/>
        </w:rPr>
        <w:t>The German version of the</w:t>
      </w:r>
      <w:r w:rsidR="003327E1">
        <w:rPr>
          <w:sz w:val="28"/>
          <w:szCs w:val="28"/>
        </w:rPr>
        <w:t xml:space="preserve"> </w:t>
      </w:r>
      <w:r w:rsidR="003327E1" w:rsidRPr="00591C2F">
        <w:rPr>
          <w:color w:val="0E2841" w:themeColor="text2"/>
        </w:rPr>
        <w:t>Symptom Severity Score Questionnaire</w:t>
      </w:r>
      <w:r w:rsidR="003327E1">
        <w:rPr>
          <w:color w:val="0E2841" w:themeColor="text2"/>
        </w:rPr>
        <w:t>, as used in the study,</w:t>
      </w:r>
      <w:r w:rsidR="003327E1" w:rsidRPr="00591C2F">
        <w:rPr>
          <w:color w:val="0E2841" w:themeColor="text2"/>
        </w:rPr>
        <w:t xml:space="preserve"> based on Baraniuk et al.</w:t>
      </w:r>
      <w:r w:rsidR="004F2D0D">
        <w:rPr>
          <w:color w:val="0E2841" w:themeColor="text2"/>
        </w:rPr>
        <w:t xml:space="preserve"> </w:t>
      </w:r>
      <w:r w:rsidR="008B532F">
        <w:rPr>
          <w:color w:val="0E2841" w:themeColor="text2"/>
        </w:rPr>
        <w:t>(2013)</w:t>
      </w:r>
    </w:p>
    <w:p w14:paraId="77084B3C" w14:textId="77777777" w:rsidR="003327E1" w:rsidRPr="004D105A" w:rsidRDefault="003327E1" w:rsidP="003327E1">
      <w:r w:rsidRPr="00A45DD2">
        <w:rPr>
          <w:noProof/>
          <w:lang w:val="de-DE"/>
        </w:rPr>
        <w:drawing>
          <wp:inline distT="0" distB="0" distL="0" distR="0" wp14:anchorId="786D9409" wp14:editId="1ED519A7">
            <wp:extent cx="5940425" cy="5303520"/>
            <wp:effectExtent l="0" t="0" r="3175" b="0"/>
            <wp:docPr id="316800574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00574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B3702" w14:textId="7C7ADEE0" w:rsidR="003327E1" w:rsidRPr="00DB17B4" w:rsidRDefault="008B532F" w:rsidP="008B532F">
      <w:pPr>
        <w:ind w:left="709" w:hanging="709"/>
      </w:pPr>
      <w:r w:rsidRPr="008B532F">
        <w:t xml:space="preserve">Baraniuk, J. N., Adewuyi, O., Merck, S. J., Ali, M., Ravindran, M. K., Timbol, C. R., Rayhan, R., Zheng, Y., Le, U., Esteitie, R., &amp; Petrie, K. N. (2013). A Chronic Fatigue Syndrome (CFS) severity score based on case designation criteria. </w:t>
      </w:r>
      <w:r w:rsidRPr="00DB17B4">
        <w:rPr>
          <w:i/>
          <w:iCs/>
        </w:rPr>
        <w:t>American Journal of Translational Research</w:t>
      </w:r>
      <w:r w:rsidRPr="00DB17B4">
        <w:t xml:space="preserve">, </w:t>
      </w:r>
      <w:r w:rsidRPr="00DB17B4">
        <w:rPr>
          <w:i/>
          <w:iCs/>
        </w:rPr>
        <w:t>5</w:t>
      </w:r>
      <w:r w:rsidRPr="00DB17B4">
        <w:t>(1), 53–68.</w:t>
      </w:r>
    </w:p>
    <w:p w14:paraId="3EBA0518" w14:textId="3A8F4D9D" w:rsidR="008B532F" w:rsidRDefault="008B532F">
      <w:pPr>
        <w:spacing w:after="160" w:line="259" w:lineRule="auto"/>
      </w:pPr>
      <w:r>
        <w:br w:type="page"/>
      </w:r>
    </w:p>
    <w:p w14:paraId="01623A7F" w14:textId="0C68D864" w:rsidR="003327E1" w:rsidRDefault="00DF1AA5" w:rsidP="003327E1">
      <w:pPr>
        <w:pStyle w:val="Beschriftung"/>
        <w:keepNext/>
        <w:jc w:val="both"/>
        <w:rPr>
          <w:i w:val="0"/>
          <w:iCs w:val="0"/>
          <w:sz w:val="22"/>
          <w:szCs w:val="22"/>
        </w:rPr>
      </w:pPr>
      <w:r w:rsidRPr="00DF1AA5">
        <w:rPr>
          <w:b/>
          <w:bCs/>
          <w:i w:val="0"/>
          <w:iCs w:val="0"/>
          <w:sz w:val="22"/>
          <w:szCs w:val="22"/>
        </w:rPr>
        <w:lastRenderedPageBreak/>
        <w:t>Supplementary File 2</w:t>
      </w:r>
      <w:r w:rsidR="003327E1" w:rsidRPr="00DF1AA5">
        <w:rPr>
          <w:b/>
          <w:bCs/>
          <w:i w:val="0"/>
          <w:iCs w:val="0"/>
          <w:sz w:val="22"/>
          <w:szCs w:val="22"/>
        </w:rPr>
        <w:t xml:space="preserve"> </w:t>
      </w:r>
      <w:r w:rsidR="003327E1" w:rsidRPr="00591C2F">
        <w:rPr>
          <w:i w:val="0"/>
          <w:iCs w:val="0"/>
          <w:sz w:val="22"/>
          <w:szCs w:val="22"/>
        </w:rPr>
        <w:t>Results of the CPET at exercise termination without two PCC patients with RER &lt; 1.0 at exercise termination</w:t>
      </w:r>
      <w:r w:rsidR="003327E1">
        <w:rPr>
          <w:i w:val="0"/>
          <w:iCs w:val="0"/>
          <w:sz w:val="22"/>
          <w:szCs w:val="22"/>
        </w:rPr>
        <w:t xml:space="preserve"> and their matched healthy controls.</w:t>
      </w:r>
    </w:p>
    <w:tbl>
      <w:tblPr>
        <w:tblW w:w="11517" w:type="dxa"/>
        <w:tblInd w:w="-1417" w:type="dxa"/>
        <w:tblLayout w:type="fixed"/>
        <w:tblLook w:val="0420" w:firstRow="1" w:lastRow="0" w:firstColumn="0" w:lastColumn="0" w:noHBand="0" w:noVBand="1"/>
      </w:tblPr>
      <w:tblGrid>
        <w:gridCol w:w="2420"/>
        <w:gridCol w:w="1577"/>
        <w:gridCol w:w="1654"/>
        <w:gridCol w:w="964"/>
        <w:gridCol w:w="1103"/>
        <w:gridCol w:w="1654"/>
        <w:gridCol w:w="1102"/>
        <w:gridCol w:w="1043"/>
      </w:tblGrid>
      <w:tr w:rsidR="003327E1" w14:paraId="2AA351CE" w14:textId="77777777" w:rsidTr="00200281">
        <w:trPr>
          <w:trHeight w:val="639"/>
          <w:tblHeader/>
        </w:trPr>
        <w:tc>
          <w:tcPr>
            <w:tcW w:w="2420" w:type="dxa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C645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1E63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PCC </w:t>
            </w:r>
          </w:p>
          <w:p w14:paraId="75AB685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 exhaustion</w:t>
            </w:r>
          </w:p>
        </w:tc>
        <w:tc>
          <w:tcPr>
            <w:tcW w:w="3721" w:type="dxa"/>
            <w:gridSpan w:val="3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6FF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Control </w:t>
            </w:r>
          </w:p>
          <w:p w14:paraId="700662F7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 PCC exhaustion</w:t>
            </w:r>
          </w:p>
        </w:tc>
        <w:tc>
          <w:tcPr>
            <w:tcW w:w="3799" w:type="dxa"/>
            <w:gridSpan w:val="3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8595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Control </w:t>
            </w:r>
          </w:p>
          <w:p w14:paraId="2E8475A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 exhaustion</w:t>
            </w:r>
          </w:p>
        </w:tc>
      </w:tr>
      <w:tr w:rsidR="003327E1" w14:paraId="32E08D1B" w14:textId="77777777" w:rsidTr="00200281">
        <w:trPr>
          <w:trHeight w:val="639"/>
          <w:tblHeader/>
        </w:trPr>
        <w:tc>
          <w:tcPr>
            <w:tcW w:w="2420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0B2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7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9D4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 = 16 (50%)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1</w:t>
            </w:r>
          </w:p>
        </w:tc>
        <w:tc>
          <w:tcPr>
            <w:tcW w:w="1654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6D69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 = 16 (50%)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1</w:t>
            </w:r>
          </w:p>
        </w:tc>
        <w:tc>
          <w:tcPr>
            <w:tcW w:w="964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384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% diff</w:t>
            </w:r>
          </w:p>
        </w:tc>
        <w:tc>
          <w:tcPr>
            <w:tcW w:w="1102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BB2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p-value</w:t>
            </w:r>
            <w:r w:rsidRPr="00611A8A">
              <w:rPr>
                <w:rFonts w:ascii="Arial" w:eastAsia="Arial" w:hAnsi="Arial" w:cs="Arial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1654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C753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 = 16 (50%)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1</w:t>
            </w:r>
          </w:p>
        </w:tc>
        <w:tc>
          <w:tcPr>
            <w:tcW w:w="1102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9F68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% diff</w:t>
            </w:r>
          </w:p>
        </w:tc>
        <w:tc>
          <w:tcPr>
            <w:tcW w:w="1042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33F7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p-value</w:t>
            </w:r>
            <w:r w:rsidRPr="004F2796">
              <w:rPr>
                <w:rFonts w:ascii="Arial" w:eastAsia="Arial" w:hAnsi="Arial" w:cs="Arial"/>
                <w:b/>
                <w:color w:val="000000"/>
                <w:vertAlign w:val="superscript"/>
              </w:rPr>
              <w:t>1</w:t>
            </w:r>
          </w:p>
        </w:tc>
      </w:tr>
      <w:tr w:rsidR="003327E1" w14:paraId="44210DAC" w14:textId="77777777" w:rsidTr="00200281">
        <w:trPr>
          <w:trHeight w:val="473"/>
        </w:trPr>
        <w:tc>
          <w:tcPr>
            <w:tcW w:w="24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20B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VO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 xml:space="preserve"> [mL/min/kg]</w:t>
            </w:r>
          </w:p>
        </w:tc>
        <w:tc>
          <w:tcPr>
            <w:tcW w:w="157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145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16.3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5.2</w:t>
            </w:r>
          </w:p>
        </w:tc>
        <w:tc>
          <w:tcPr>
            <w:tcW w:w="165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C04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22.0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6.8</w:t>
            </w:r>
          </w:p>
        </w:tc>
        <w:tc>
          <w:tcPr>
            <w:tcW w:w="96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0A4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-24.4%</w:t>
            </w:r>
          </w:p>
        </w:tc>
        <w:tc>
          <w:tcPr>
            <w:tcW w:w="110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8057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0.014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2E8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24.9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7.4</w:t>
            </w:r>
          </w:p>
        </w:tc>
        <w:tc>
          <w:tcPr>
            <w:tcW w:w="110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67964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-36.8%</w:t>
            </w:r>
          </w:p>
        </w:tc>
        <w:tc>
          <w:tcPr>
            <w:tcW w:w="104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C49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1754D7F0" w14:textId="77777777" w:rsidTr="00200281">
        <w:trPr>
          <w:trHeight w:val="460"/>
        </w:trPr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6A4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VO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 xml:space="preserve"> [%pred]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3999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68.7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17.4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7155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94.7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27.4</w:t>
            </w:r>
          </w:p>
        </w:tc>
        <w:tc>
          <w:tcPr>
            <w:tcW w:w="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A00D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-25.5%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C1D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0.004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ABB4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113.1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26.3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D443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-39.3%</w:t>
            </w:r>
          </w:p>
        </w:tc>
        <w:tc>
          <w:tcPr>
            <w:tcW w:w="10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C6D5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2D5D5DC5" w14:textId="77777777" w:rsidTr="00200281">
        <w:trPr>
          <w:trHeight w:val="460"/>
        </w:trPr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CBDB9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Power output [W]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72A24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76.9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41.2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68F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129.7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35.0</w:t>
            </w:r>
          </w:p>
        </w:tc>
        <w:tc>
          <w:tcPr>
            <w:tcW w:w="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B26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-38.0%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E75F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174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157.5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26.0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E57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-51.2%</w:t>
            </w:r>
          </w:p>
        </w:tc>
        <w:tc>
          <w:tcPr>
            <w:tcW w:w="10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4081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7D12E81B" w14:textId="77777777" w:rsidTr="00200281">
        <w:trPr>
          <w:trHeight w:val="460"/>
        </w:trPr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1E4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Power output [W/kg]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E0E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1.1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0.5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375D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1.8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0.6</w:t>
            </w:r>
          </w:p>
        </w:tc>
        <w:tc>
          <w:tcPr>
            <w:tcW w:w="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ADA2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-37.9%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FAD4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84EF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2.3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0.6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B0A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-51.0%</w:t>
            </w:r>
          </w:p>
        </w:tc>
        <w:tc>
          <w:tcPr>
            <w:tcW w:w="10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9264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238AFC24" w14:textId="77777777" w:rsidTr="00200281">
        <w:trPr>
          <w:trHeight w:val="473"/>
        </w:trPr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5595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Power output [%pred]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260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59.5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21.7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69EF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100.1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27.6</w:t>
            </w:r>
          </w:p>
        </w:tc>
        <w:tc>
          <w:tcPr>
            <w:tcW w:w="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7CBE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-38.2%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C4E5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6CD1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121.6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22.6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76FC7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-51.1%</w:t>
            </w:r>
          </w:p>
        </w:tc>
        <w:tc>
          <w:tcPr>
            <w:tcW w:w="10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2E0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2CA3A81A" w14:textId="77777777" w:rsidTr="00200281">
        <w:trPr>
          <w:trHeight w:val="460"/>
        </w:trPr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C7FF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HR [1/min]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5017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142.3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22.5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3CA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146.5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21.6</w:t>
            </w:r>
          </w:p>
        </w:tc>
        <w:tc>
          <w:tcPr>
            <w:tcW w:w="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9248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-1.6%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B62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0.6</w:t>
            </w:r>
            <w:r w:rsidRPr="005D2144">
              <w:rPr>
                <w:rFonts w:ascii="Arial" w:eastAsia="Arial" w:hAnsi="Arial" w:cs="Arial"/>
                <w:color w:val="000000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3337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163.4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16.1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832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-13.0%</w:t>
            </w:r>
          </w:p>
        </w:tc>
        <w:tc>
          <w:tcPr>
            <w:tcW w:w="10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FFAF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0.005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30BFD793" w14:textId="77777777" w:rsidTr="00200281">
        <w:trPr>
          <w:trHeight w:val="460"/>
        </w:trPr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4CAE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RER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06F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1.10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0.07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C4F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1.09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0.07</w:t>
            </w:r>
          </w:p>
        </w:tc>
        <w:tc>
          <w:tcPr>
            <w:tcW w:w="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31C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0.0%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C20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&gt;0.9</w:t>
            </w:r>
            <w:r w:rsidRPr="005D2144">
              <w:rPr>
                <w:rFonts w:ascii="Arial" w:eastAsia="Arial" w:hAnsi="Arial" w:cs="Arial"/>
                <w:color w:val="000000"/>
                <w:vertAlign w:val="superscript"/>
              </w:rPr>
              <w:t>‡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9B2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1.2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0.1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B5A9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-9.3%</w:t>
            </w:r>
          </w:p>
        </w:tc>
        <w:tc>
          <w:tcPr>
            <w:tcW w:w="10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E3BF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‡</w:t>
            </w:r>
          </w:p>
        </w:tc>
      </w:tr>
      <w:tr w:rsidR="003327E1" w14:paraId="0D638B7F" w14:textId="77777777" w:rsidTr="00200281">
        <w:trPr>
          <w:trHeight w:val="460"/>
        </w:trPr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DFD4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Lactate [mmol/L]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E662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3.7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2.5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2A0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4.1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2.6</w:t>
            </w:r>
          </w:p>
        </w:tc>
        <w:tc>
          <w:tcPr>
            <w:tcW w:w="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FBB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-7.1%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AD659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0.6</w:t>
            </w:r>
            <w:r w:rsidRPr="005D2144">
              <w:rPr>
                <w:rFonts w:ascii="Arial" w:eastAsia="Arial" w:hAnsi="Arial" w:cs="Arial"/>
                <w:color w:val="000000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14F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7.0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2.6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DCA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-47.4%</w:t>
            </w:r>
          </w:p>
        </w:tc>
        <w:tc>
          <w:tcPr>
            <w:tcW w:w="10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94CC9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5D2144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5C44AC8A" w14:textId="77777777" w:rsidTr="00200281">
        <w:trPr>
          <w:trHeight w:val="460"/>
        </w:trPr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3DC3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RPE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254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17.7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1.9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DA8D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16.4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2.3</w:t>
            </w:r>
          </w:p>
        </w:tc>
        <w:tc>
          <w:tcPr>
            <w:tcW w:w="96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313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12.2%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A96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0.11</w:t>
            </w:r>
            <w:r w:rsidRPr="005D2144">
              <w:rPr>
                <w:rFonts w:ascii="Arial" w:eastAsia="Arial" w:hAnsi="Arial" w:cs="Arial"/>
                <w:color w:val="000000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7E6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18.7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1.6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D811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-5.4%</w:t>
            </w:r>
          </w:p>
        </w:tc>
        <w:tc>
          <w:tcPr>
            <w:tcW w:w="104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CE21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0.12</w:t>
            </w:r>
            <w:r w:rsidRPr="005D2144">
              <w:rPr>
                <w:rFonts w:ascii="Arial" w:eastAsia="Arial" w:hAnsi="Arial" w:cs="Arial"/>
                <w:color w:val="000000"/>
                <w:vertAlign w:val="superscript"/>
              </w:rPr>
              <w:t>†</w:t>
            </w:r>
          </w:p>
        </w:tc>
      </w:tr>
    </w:tbl>
    <w:p w14:paraId="519C2131" w14:textId="77777777" w:rsidR="003327E1" w:rsidRPr="00733D61" w:rsidRDefault="003327E1" w:rsidP="003327E1">
      <w:pPr>
        <w:pStyle w:val="Beschriftung"/>
        <w:jc w:val="both"/>
        <w:rPr>
          <w:i w:val="0"/>
          <w:iCs w:val="0"/>
        </w:rPr>
      </w:pPr>
      <w:r>
        <w:rPr>
          <w:i w:val="0"/>
          <w:iCs w:val="0"/>
        </w:rPr>
        <w:t>C</w:t>
      </w:r>
      <w:r w:rsidRPr="007F60E2">
        <w:rPr>
          <w:i w:val="0"/>
          <w:iCs w:val="0"/>
        </w:rPr>
        <w:t>ardiopulmonary and perceptual responses obtained during symptom-limited CPET are shown for patients with post-COVID-19 condition (PCC, n = 1</w:t>
      </w:r>
      <w:r>
        <w:rPr>
          <w:i w:val="0"/>
          <w:iCs w:val="0"/>
        </w:rPr>
        <w:t>6</w:t>
      </w:r>
      <w:r w:rsidRPr="007F60E2">
        <w:rPr>
          <w:i w:val="0"/>
          <w:iCs w:val="0"/>
        </w:rPr>
        <w:t>) and matched healthy controls (n = 1</w:t>
      </w:r>
      <w:r>
        <w:rPr>
          <w:i w:val="0"/>
          <w:iCs w:val="0"/>
        </w:rPr>
        <w:t>6</w:t>
      </w:r>
      <w:r w:rsidRPr="007F60E2">
        <w:rPr>
          <w:i w:val="0"/>
          <w:iCs w:val="0"/>
        </w:rPr>
        <w:t xml:space="preserve">). Data are presented as mean </w:t>
      </w:r>
      <w:r w:rsidRPr="00315B78">
        <w:rPr>
          <w:i w:val="0"/>
          <w:iCs w:val="0"/>
        </w:rPr>
        <w:t xml:space="preserve">± </w:t>
      </w:r>
      <w:r>
        <w:rPr>
          <w:i w:val="0"/>
          <w:iCs w:val="0"/>
        </w:rPr>
        <w:t>standard deviation</w:t>
      </w:r>
      <w:r w:rsidRPr="007F60E2">
        <w:rPr>
          <w:i w:val="0"/>
          <w:iCs w:val="0"/>
        </w:rPr>
        <w:t>.</w:t>
      </w:r>
      <w:r w:rsidRPr="007A797F">
        <w:rPr>
          <w:rFonts w:ascii="MyriadPro-Regular" w:hAnsi="MyriadPro-Regular" w:cs="MyriadPro-Regular"/>
          <w:i w:val="0"/>
          <w:iCs w:val="0"/>
          <w:color w:val="auto"/>
          <w:sz w:val="14"/>
          <w:szCs w:val="14"/>
        </w:rPr>
        <w:t xml:space="preserve"> </w:t>
      </w:r>
      <w:r w:rsidRPr="007A797F">
        <w:rPr>
          <w:i w:val="0"/>
          <w:iCs w:val="0"/>
        </w:rPr>
        <w:t>Significant P-values are marked in bold.</w:t>
      </w:r>
      <w:r w:rsidRPr="00600C8E">
        <w:t xml:space="preserve"> </w:t>
      </w:r>
      <w:r w:rsidRPr="00600C8E">
        <w:rPr>
          <w:i w:val="0"/>
          <w:iCs w:val="0"/>
        </w:rPr>
        <w:t xml:space="preserve">Group comparisons between PCC and controls were performed using </w:t>
      </w:r>
      <w:r w:rsidRPr="00E71150">
        <w:rPr>
          <w:rFonts w:ascii="Arial" w:eastAsia="Arial" w:hAnsi="Arial" w:cs="Arial"/>
          <w:i w:val="0"/>
          <w:color w:val="000000"/>
          <w:vertAlign w:val="superscript"/>
        </w:rPr>
        <w:t>†</w:t>
      </w:r>
      <w:r>
        <w:rPr>
          <w:rFonts w:ascii="Arial" w:eastAsia="Arial" w:hAnsi="Arial" w:cs="Arial"/>
          <w:color w:val="000000"/>
        </w:rPr>
        <w:t xml:space="preserve"> </w:t>
      </w:r>
      <w:r w:rsidRPr="00600C8E">
        <w:rPr>
          <w:i w:val="0"/>
          <w:iCs w:val="0"/>
        </w:rPr>
        <w:t xml:space="preserve">Welch two-sample t-tests for normally distributed variables and </w:t>
      </w:r>
      <w:r w:rsidRPr="00E71150">
        <w:rPr>
          <w:rFonts w:ascii="Arial" w:eastAsia="Arial" w:hAnsi="Arial" w:cs="Arial"/>
          <w:i w:val="0"/>
          <w:color w:val="000000"/>
          <w:vertAlign w:val="superscript"/>
        </w:rPr>
        <w:t>‡</w:t>
      </w:r>
      <w:r>
        <w:rPr>
          <w:rFonts w:ascii="Arial" w:eastAsia="Arial" w:hAnsi="Arial" w:cs="Arial"/>
          <w:color w:val="000000"/>
        </w:rPr>
        <w:t xml:space="preserve"> </w:t>
      </w:r>
      <w:r w:rsidRPr="00600C8E">
        <w:rPr>
          <w:i w:val="0"/>
          <w:iCs w:val="0"/>
        </w:rPr>
        <w:t>Wilcoxon rank-sum tests for non-normally distributed variables, as indicated.</w:t>
      </w:r>
      <w:r w:rsidRPr="007A00BF">
        <w:t xml:space="preserve"> </w:t>
      </w:r>
      <w:r w:rsidRPr="007A00BF">
        <w:rPr>
          <w:i w:val="0"/>
          <w:iCs w:val="0"/>
        </w:rPr>
        <w:t>The statistical significance level was set at p &lt;</w:t>
      </w:r>
      <w:r>
        <w:rPr>
          <w:i w:val="0"/>
          <w:iCs w:val="0"/>
        </w:rPr>
        <w:t xml:space="preserve"> </w:t>
      </w:r>
      <w:r w:rsidRPr="007A00BF">
        <w:rPr>
          <w:i w:val="0"/>
          <w:iCs w:val="0"/>
        </w:rPr>
        <w:t>0.05</w:t>
      </w:r>
      <w:r>
        <w:rPr>
          <w:i w:val="0"/>
          <w:iCs w:val="0"/>
        </w:rPr>
        <w:t>. CPET: cardiopulmonary exercise testing; PCC: post-COVID-19 condition; VO</w:t>
      </w:r>
      <w:r w:rsidRPr="00894B0D">
        <w:rPr>
          <w:i w:val="0"/>
          <w:iCs w:val="0"/>
          <w:vertAlign w:val="subscript"/>
        </w:rPr>
        <w:t>2</w:t>
      </w:r>
      <w:r>
        <w:rPr>
          <w:i w:val="0"/>
          <w:iCs w:val="0"/>
        </w:rPr>
        <w:t>: oxygen uptake; HR: heart rate; RER: respiratory exchange ratio; RPE: rate of perceived exertion; %pred: percent of predicted value according to sex, age, bodyweight; %diff: (mean</w:t>
      </w:r>
      <w:r w:rsidRPr="00A554CC">
        <w:rPr>
          <w:i w:val="0"/>
          <w:iCs w:val="0"/>
          <w:vertAlign w:val="subscript"/>
        </w:rPr>
        <w:t>PCC</w:t>
      </w:r>
      <w:r>
        <w:rPr>
          <w:i w:val="0"/>
          <w:iCs w:val="0"/>
        </w:rPr>
        <w:t xml:space="preserve"> – mean</w:t>
      </w:r>
      <w:r w:rsidRPr="00A554CC">
        <w:rPr>
          <w:i w:val="0"/>
          <w:iCs w:val="0"/>
          <w:vertAlign w:val="subscript"/>
        </w:rPr>
        <w:t>control</w:t>
      </w:r>
      <w:r>
        <w:rPr>
          <w:i w:val="0"/>
          <w:iCs w:val="0"/>
        </w:rPr>
        <w:t>) / mean</w:t>
      </w:r>
      <w:r w:rsidRPr="00A554CC">
        <w:rPr>
          <w:i w:val="0"/>
          <w:iCs w:val="0"/>
          <w:vertAlign w:val="subscript"/>
        </w:rPr>
        <w:t>control</w:t>
      </w:r>
      <w:r>
        <w:rPr>
          <w:i w:val="0"/>
          <w:iCs w:val="0"/>
        </w:rPr>
        <w:t xml:space="preserve"> </w:t>
      </w:r>
      <w:r>
        <w:rPr>
          <w:rFonts w:cstheme="minorHAnsi"/>
          <w:i w:val="0"/>
          <w:iCs w:val="0"/>
        </w:rPr>
        <w:t xml:space="preserve">× </w:t>
      </w:r>
      <w:r>
        <w:rPr>
          <w:i w:val="0"/>
          <w:iCs w:val="0"/>
        </w:rPr>
        <w:t xml:space="preserve">100. </w:t>
      </w:r>
      <w:r w:rsidRPr="00C57573">
        <w:rPr>
          <w:i w:val="0"/>
          <w:iCs w:val="0"/>
          <w:vertAlign w:val="superscript"/>
        </w:rPr>
        <w:t>1</w:t>
      </w:r>
      <w:r w:rsidRPr="00C57573">
        <w:rPr>
          <w:i w:val="0"/>
          <w:iCs w:val="0"/>
        </w:rPr>
        <w:t>Compared to PCC patients at exhaustion.</w:t>
      </w:r>
    </w:p>
    <w:p w14:paraId="6DB246B0" w14:textId="77777777" w:rsidR="003327E1" w:rsidRPr="00284C35" w:rsidRDefault="003327E1" w:rsidP="003327E1"/>
    <w:p w14:paraId="6B4ED1BC" w14:textId="77777777" w:rsidR="003327E1" w:rsidRDefault="003327E1" w:rsidP="003327E1">
      <w:r>
        <w:br w:type="page"/>
      </w:r>
    </w:p>
    <w:p w14:paraId="49D1069E" w14:textId="2FF1C280" w:rsidR="003327E1" w:rsidRPr="00421FE2" w:rsidRDefault="00DF1AA5" w:rsidP="003327E1">
      <w:pPr>
        <w:rPr>
          <w:color w:val="0E2841" w:themeColor="text2"/>
        </w:rPr>
      </w:pPr>
      <w:r w:rsidRPr="00DF1AA5">
        <w:rPr>
          <w:b/>
          <w:bCs/>
          <w:color w:val="0E2841" w:themeColor="text2"/>
        </w:rPr>
        <w:lastRenderedPageBreak/>
        <w:t xml:space="preserve">Supplementary File </w:t>
      </w:r>
      <w:r>
        <w:rPr>
          <w:b/>
          <w:bCs/>
          <w:color w:val="0E2841" w:themeColor="text2"/>
        </w:rPr>
        <w:t>3</w:t>
      </w:r>
      <w:r>
        <w:rPr>
          <w:b/>
          <w:bCs/>
          <w:i/>
          <w:iCs/>
        </w:rPr>
        <w:t xml:space="preserve"> </w:t>
      </w:r>
      <w:r w:rsidR="003327E1" w:rsidRPr="00421FE2">
        <w:rPr>
          <w:color w:val="0E2841" w:themeColor="text2"/>
        </w:rPr>
        <w:t>Results of the CPET at the second ventilatory threshold for PCC patients and their matched healthy controls.</w:t>
      </w:r>
    </w:p>
    <w:tbl>
      <w:tblPr>
        <w:tblW w:w="10308" w:type="dxa"/>
        <w:jc w:val="center"/>
        <w:tblLayout w:type="fixed"/>
        <w:tblLook w:val="0420" w:firstRow="1" w:lastRow="0" w:firstColumn="0" w:lastColumn="0" w:noHBand="0" w:noVBand="1"/>
      </w:tblPr>
      <w:tblGrid>
        <w:gridCol w:w="3052"/>
        <w:gridCol w:w="2361"/>
        <w:gridCol w:w="2606"/>
        <w:gridCol w:w="1108"/>
        <w:gridCol w:w="1181"/>
      </w:tblGrid>
      <w:tr w:rsidR="003327E1" w14:paraId="7440357F" w14:textId="77777777" w:rsidTr="00200281">
        <w:trPr>
          <w:tblHeader/>
          <w:jc w:val="center"/>
        </w:trPr>
        <w:tc>
          <w:tcPr>
            <w:tcW w:w="305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B5D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B5CD" w14:textId="77777777" w:rsidR="003327E1" w:rsidRPr="00BC5562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C5562">
              <w:rPr>
                <w:rFonts w:ascii="Arial" w:eastAsia="Arial" w:hAnsi="Arial" w:cs="Arial"/>
                <w:b/>
                <w:bCs/>
                <w:color w:val="000000"/>
              </w:rPr>
              <w:t xml:space="preserve">PCC </w:t>
            </w:r>
          </w:p>
          <w:p w14:paraId="56D6320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 = 18 (50%)</w:t>
            </w:r>
          </w:p>
        </w:tc>
        <w:tc>
          <w:tcPr>
            <w:tcW w:w="26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AF27" w14:textId="77777777" w:rsidR="003327E1" w:rsidRPr="00BC5562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C5562">
              <w:rPr>
                <w:rFonts w:ascii="Arial" w:eastAsia="Arial" w:hAnsi="Arial" w:cs="Arial"/>
                <w:b/>
                <w:bCs/>
                <w:color w:val="000000"/>
              </w:rPr>
              <w:t xml:space="preserve">Control </w:t>
            </w:r>
          </w:p>
          <w:p w14:paraId="362E5F3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 = 18 (50%)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423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% diff</w:t>
            </w:r>
          </w:p>
        </w:tc>
        <w:tc>
          <w:tcPr>
            <w:tcW w:w="118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DB0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p-value</w:t>
            </w:r>
          </w:p>
        </w:tc>
      </w:tr>
      <w:tr w:rsidR="003327E1" w14:paraId="4EF22D5D" w14:textId="77777777" w:rsidTr="00200281">
        <w:trPr>
          <w:jc w:val="center"/>
        </w:trPr>
        <w:tc>
          <w:tcPr>
            <w:tcW w:w="30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36A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VO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2VT2</w:t>
            </w:r>
            <w:r>
              <w:rPr>
                <w:rFonts w:ascii="Arial" w:eastAsia="Arial" w:hAnsi="Arial" w:cs="Arial"/>
                <w:color w:val="000000"/>
              </w:rPr>
              <w:t xml:space="preserve"> [mL/min/kg]</w:t>
            </w:r>
          </w:p>
        </w:tc>
        <w:tc>
          <w:tcPr>
            <w:tcW w:w="23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A0A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14.8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3.3</w:t>
            </w:r>
          </w:p>
        </w:tc>
        <w:tc>
          <w:tcPr>
            <w:tcW w:w="260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1E27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21.1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5.7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73B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-30.0%</w:t>
            </w:r>
          </w:p>
        </w:tc>
        <w:tc>
          <w:tcPr>
            <w:tcW w:w="118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14FD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A3600D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69329788" w14:textId="77777777" w:rsidTr="00200281">
        <w:trPr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218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Power Output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VT2</w:t>
            </w:r>
            <w:r>
              <w:rPr>
                <w:rFonts w:ascii="Arial" w:eastAsia="Arial" w:hAnsi="Arial" w:cs="Arial"/>
                <w:color w:val="000000"/>
              </w:rPr>
              <w:t xml:space="preserve"> [W]</w:t>
            </w:r>
          </w:p>
        </w:tc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907BD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67.0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28.3</w:t>
            </w:r>
          </w:p>
        </w:tc>
        <w:tc>
          <w:tcPr>
            <w:tcW w:w="2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A823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118.3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21.1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35AF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-43.4%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54CA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A3600D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51CDA903" w14:textId="77777777" w:rsidTr="00200281">
        <w:trPr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278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Power Output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VT2</w:t>
            </w:r>
            <w:r>
              <w:rPr>
                <w:rFonts w:ascii="Arial" w:eastAsia="Arial" w:hAnsi="Arial" w:cs="Arial"/>
                <w:color w:val="000000"/>
              </w:rPr>
              <w:t xml:space="preserve"> [W/kg]</w:t>
            </w:r>
          </w:p>
        </w:tc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42B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1.0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0.3</w:t>
            </w:r>
          </w:p>
        </w:tc>
        <w:tc>
          <w:tcPr>
            <w:tcW w:w="2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1415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1.7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0.5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41A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-43.0%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3E5F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A3600D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6B654723" w14:textId="77777777" w:rsidTr="00200281">
        <w:trPr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C483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HR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VT2</w:t>
            </w:r>
            <w:r>
              <w:rPr>
                <w:rFonts w:ascii="Arial" w:eastAsia="Arial" w:hAnsi="Arial" w:cs="Arial"/>
                <w:color w:val="000000"/>
              </w:rPr>
              <w:t xml:space="preserve"> [1/min]</w:t>
            </w:r>
          </w:p>
        </w:tc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A91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129.5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19.5</w:t>
            </w:r>
          </w:p>
        </w:tc>
        <w:tc>
          <w:tcPr>
            <w:tcW w:w="2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8BA0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140.1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19.5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5789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-7.5%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F784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0.13</w:t>
            </w:r>
            <w:r w:rsidRPr="00A3600D">
              <w:rPr>
                <w:rFonts w:ascii="Arial" w:eastAsia="Arial" w:hAnsi="Arial" w:cs="Arial"/>
                <w:color w:val="000000"/>
                <w:vertAlign w:val="superscript"/>
              </w:rPr>
              <w:t>†</w:t>
            </w:r>
          </w:p>
        </w:tc>
      </w:tr>
      <w:tr w:rsidR="003327E1" w14:paraId="7E0A61B6" w14:textId="77777777" w:rsidTr="00200281">
        <w:trPr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EEC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RER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VT2</w:t>
            </w:r>
          </w:p>
        </w:tc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D3DD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0.99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0.05</w:t>
            </w:r>
          </w:p>
        </w:tc>
        <w:tc>
          <w:tcPr>
            <w:tcW w:w="2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9143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1.06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0.05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9838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-6.3%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973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&lt;0.001</w:t>
            </w:r>
            <w:r w:rsidRPr="00A3600D">
              <w:rPr>
                <w:rFonts w:ascii="Arial" w:eastAsia="Arial" w:hAnsi="Arial" w:cs="Arial"/>
                <w:b/>
                <w:color w:val="000000"/>
                <w:vertAlign w:val="superscript"/>
              </w:rPr>
              <w:t>†</w:t>
            </w:r>
          </w:p>
        </w:tc>
      </w:tr>
      <w:tr w:rsidR="003327E1" w14:paraId="1DFBAC2F" w14:textId="77777777" w:rsidTr="00200281">
        <w:trPr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748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Lactate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VT2</w:t>
            </w:r>
            <w:r>
              <w:rPr>
                <w:rFonts w:ascii="Arial" w:eastAsia="Arial" w:hAnsi="Arial" w:cs="Arial"/>
                <w:color w:val="000000"/>
              </w:rPr>
              <w:t xml:space="preserve"> [mmol/L]</w:t>
            </w:r>
          </w:p>
        </w:tc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6C16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1.9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0.4</w:t>
            </w:r>
          </w:p>
        </w:tc>
        <w:tc>
          <w:tcPr>
            <w:tcW w:w="2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E759D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2.0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0.5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D7FC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-8.4%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B11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0.2</w:t>
            </w:r>
            <w:r w:rsidRPr="00A3600D">
              <w:rPr>
                <w:rFonts w:ascii="Arial" w:eastAsia="Arial" w:hAnsi="Arial" w:cs="Arial"/>
                <w:color w:val="000000"/>
                <w:vertAlign w:val="superscript"/>
              </w:rPr>
              <w:t>†</w:t>
            </w:r>
          </w:p>
        </w:tc>
      </w:tr>
      <w:tr w:rsidR="003327E1" w14:paraId="203954FD" w14:textId="77777777" w:rsidTr="00200281">
        <w:trPr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4A35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RPE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>VT2</w:t>
            </w:r>
          </w:p>
        </w:tc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C9D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15.4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4.9</w:t>
            </w:r>
          </w:p>
        </w:tc>
        <w:tc>
          <w:tcPr>
            <w:tcW w:w="260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11B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14.6 </w:t>
            </w:r>
            <w:r>
              <w:rPr>
                <w:rFonts w:cstheme="minorHAnsi"/>
              </w:rPr>
              <w:t xml:space="preserve">± </w:t>
            </w:r>
            <w:r>
              <w:rPr>
                <w:rFonts w:ascii="Arial" w:eastAsia="Arial" w:hAnsi="Arial" w:cs="Arial"/>
                <w:color w:val="000000"/>
              </w:rPr>
              <w:t>1.8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02BB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6.1%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AAEE" w14:textId="77777777" w:rsidR="003327E1" w:rsidRDefault="003327E1" w:rsidP="002002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0.9</w:t>
            </w:r>
            <w:r w:rsidRPr="00A3600D">
              <w:rPr>
                <w:rFonts w:ascii="Arial" w:eastAsia="Arial" w:hAnsi="Arial" w:cs="Arial"/>
                <w:color w:val="000000"/>
                <w:vertAlign w:val="superscript"/>
              </w:rPr>
              <w:t>‡</w:t>
            </w:r>
          </w:p>
        </w:tc>
      </w:tr>
    </w:tbl>
    <w:p w14:paraId="527E304C" w14:textId="77777777" w:rsidR="003327E1" w:rsidRPr="00733D61" w:rsidRDefault="003327E1" w:rsidP="003327E1">
      <w:pPr>
        <w:pStyle w:val="Beschriftung"/>
        <w:jc w:val="both"/>
        <w:rPr>
          <w:i w:val="0"/>
          <w:iCs w:val="0"/>
        </w:rPr>
      </w:pPr>
      <w:r>
        <w:rPr>
          <w:i w:val="0"/>
          <w:iCs w:val="0"/>
        </w:rPr>
        <w:t>C</w:t>
      </w:r>
      <w:r w:rsidRPr="007F60E2">
        <w:rPr>
          <w:i w:val="0"/>
          <w:iCs w:val="0"/>
        </w:rPr>
        <w:t>ardiopulmonary and perceptual responses obtained during symptom-limited CPET are shown for patients with post-COVID-19 condition (PCC, n = 1</w:t>
      </w:r>
      <w:r>
        <w:rPr>
          <w:i w:val="0"/>
          <w:iCs w:val="0"/>
        </w:rPr>
        <w:t>8</w:t>
      </w:r>
      <w:r w:rsidRPr="007F60E2">
        <w:rPr>
          <w:i w:val="0"/>
          <w:iCs w:val="0"/>
        </w:rPr>
        <w:t>) and matched healthy controls (n = 1</w:t>
      </w:r>
      <w:r>
        <w:rPr>
          <w:i w:val="0"/>
          <w:iCs w:val="0"/>
        </w:rPr>
        <w:t>8</w:t>
      </w:r>
      <w:r w:rsidRPr="007F60E2">
        <w:rPr>
          <w:i w:val="0"/>
          <w:iCs w:val="0"/>
        </w:rPr>
        <w:t xml:space="preserve">). Data are presented as mean </w:t>
      </w:r>
      <w:r w:rsidRPr="00315B78">
        <w:rPr>
          <w:i w:val="0"/>
          <w:iCs w:val="0"/>
        </w:rPr>
        <w:t xml:space="preserve">± </w:t>
      </w:r>
      <w:r>
        <w:rPr>
          <w:i w:val="0"/>
          <w:iCs w:val="0"/>
        </w:rPr>
        <w:t>standard deviation</w:t>
      </w:r>
      <w:r w:rsidRPr="007F60E2">
        <w:rPr>
          <w:i w:val="0"/>
          <w:iCs w:val="0"/>
        </w:rPr>
        <w:t>.</w:t>
      </w:r>
      <w:r w:rsidRPr="007A797F">
        <w:rPr>
          <w:rFonts w:ascii="MyriadPro-Regular" w:hAnsi="MyriadPro-Regular" w:cs="MyriadPro-Regular"/>
          <w:i w:val="0"/>
          <w:iCs w:val="0"/>
          <w:color w:val="auto"/>
          <w:sz w:val="14"/>
          <w:szCs w:val="14"/>
        </w:rPr>
        <w:t xml:space="preserve"> </w:t>
      </w:r>
      <w:r w:rsidRPr="007A797F">
        <w:rPr>
          <w:i w:val="0"/>
          <w:iCs w:val="0"/>
        </w:rPr>
        <w:t>Significant P-values are marked in bold.</w:t>
      </w:r>
      <w:r w:rsidRPr="00600C8E">
        <w:t xml:space="preserve"> </w:t>
      </w:r>
      <w:r w:rsidRPr="00600C8E">
        <w:rPr>
          <w:i w:val="0"/>
          <w:iCs w:val="0"/>
        </w:rPr>
        <w:t xml:space="preserve">Group comparisons between PCC and controls were performed using </w:t>
      </w:r>
      <w:r w:rsidRPr="00E71150">
        <w:rPr>
          <w:rFonts w:ascii="Arial" w:eastAsia="Arial" w:hAnsi="Arial" w:cs="Arial"/>
          <w:i w:val="0"/>
          <w:color w:val="000000"/>
          <w:vertAlign w:val="superscript"/>
        </w:rPr>
        <w:t>†</w:t>
      </w:r>
      <w:r>
        <w:rPr>
          <w:rFonts w:ascii="Arial" w:eastAsia="Arial" w:hAnsi="Arial" w:cs="Arial"/>
          <w:color w:val="000000"/>
        </w:rPr>
        <w:t xml:space="preserve"> </w:t>
      </w:r>
      <w:r w:rsidRPr="00600C8E">
        <w:rPr>
          <w:i w:val="0"/>
          <w:iCs w:val="0"/>
        </w:rPr>
        <w:t xml:space="preserve">Welch two-sample t-tests for normally distributed variables and </w:t>
      </w:r>
      <w:r w:rsidRPr="00E71150">
        <w:rPr>
          <w:rFonts w:ascii="Arial" w:eastAsia="Arial" w:hAnsi="Arial" w:cs="Arial"/>
          <w:i w:val="0"/>
          <w:color w:val="000000"/>
          <w:vertAlign w:val="superscript"/>
        </w:rPr>
        <w:t>‡</w:t>
      </w:r>
      <w:r>
        <w:rPr>
          <w:rFonts w:ascii="Arial" w:eastAsia="Arial" w:hAnsi="Arial" w:cs="Arial"/>
          <w:color w:val="000000"/>
        </w:rPr>
        <w:t xml:space="preserve"> </w:t>
      </w:r>
      <w:r w:rsidRPr="00600C8E">
        <w:rPr>
          <w:i w:val="0"/>
          <w:iCs w:val="0"/>
        </w:rPr>
        <w:t>Wilcoxon rank-sum tests for non-normally distributed variables, as indicated.</w:t>
      </w:r>
      <w:r w:rsidRPr="007A00BF">
        <w:t xml:space="preserve"> </w:t>
      </w:r>
      <w:r w:rsidRPr="007A00BF">
        <w:rPr>
          <w:i w:val="0"/>
          <w:iCs w:val="0"/>
        </w:rPr>
        <w:t>The statistical significance level was set at p &lt;</w:t>
      </w:r>
      <w:r>
        <w:rPr>
          <w:i w:val="0"/>
          <w:iCs w:val="0"/>
        </w:rPr>
        <w:t xml:space="preserve"> </w:t>
      </w:r>
      <w:r w:rsidRPr="007A00BF">
        <w:rPr>
          <w:i w:val="0"/>
          <w:iCs w:val="0"/>
        </w:rPr>
        <w:t>0.05</w:t>
      </w:r>
      <w:r>
        <w:rPr>
          <w:i w:val="0"/>
          <w:iCs w:val="0"/>
        </w:rPr>
        <w:t>. CPET: cardiopulmonary exercise testing; PCC: post-COVID-19 condition; VO</w:t>
      </w:r>
      <w:r w:rsidRPr="00894B0D">
        <w:rPr>
          <w:i w:val="0"/>
          <w:iCs w:val="0"/>
          <w:vertAlign w:val="subscript"/>
        </w:rPr>
        <w:t>2</w:t>
      </w:r>
      <w:r>
        <w:rPr>
          <w:i w:val="0"/>
          <w:iCs w:val="0"/>
        </w:rPr>
        <w:t>: oxygen uptake; HR: heart rate; RER: respiratory exchange ratio; RPE: rate of perceived exertion; %diff: (mean</w:t>
      </w:r>
      <w:r w:rsidRPr="00A554CC">
        <w:rPr>
          <w:i w:val="0"/>
          <w:iCs w:val="0"/>
          <w:vertAlign w:val="subscript"/>
        </w:rPr>
        <w:t>PCC</w:t>
      </w:r>
      <w:r>
        <w:rPr>
          <w:i w:val="0"/>
          <w:iCs w:val="0"/>
        </w:rPr>
        <w:t xml:space="preserve"> – mean</w:t>
      </w:r>
      <w:r w:rsidRPr="00A554CC">
        <w:rPr>
          <w:i w:val="0"/>
          <w:iCs w:val="0"/>
          <w:vertAlign w:val="subscript"/>
        </w:rPr>
        <w:t>control</w:t>
      </w:r>
      <w:r>
        <w:rPr>
          <w:i w:val="0"/>
          <w:iCs w:val="0"/>
        </w:rPr>
        <w:t>) / mean</w:t>
      </w:r>
      <w:r w:rsidRPr="00A554CC">
        <w:rPr>
          <w:i w:val="0"/>
          <w:iCs w:val="0"/>
          <w:vertAlign w:val="subscript"/>
        </w:rPr>
        <w:t>control</w:t>
      </w:r>
      <w:r>
        <w:rPr>
          <w:i w:val="0"/>
          <w:iCs w:val="0"/>
        </w:rPr>
        <w:t xml:space="preserve"> </w:t>
      </w:r>
      <w:r>
        <w:rPr>
          <w:rFonts w:cstheme="minorHAnsi"/>
          <w:i w:val="0"/>
          <w:iCs w:val="0"/>
        </w:rPr>
        <w:t xml:space="preserve">× </w:t>
      </w:r>
      <w:r>
        <w:rPr>
          <w:i w:val="0"/>
          <w:iCs w:val="0"/>
        </w:rPr>
        <w:t xml:space="preserve">100. </w:t>
      </w:r>
    </w:p>
    <w:p w14:paraId="4E0FAAE6" w14:textId="77777777" w:rsidR="003327E1" w:rsidRDefault="003327E1" w:rsidP="003327E1">
      <w:r>
        <w:br w:type="page"/>
      </w:r>
    </w:p>
    <w:p w14:paraId="4A1C2AD9" w14:textId="28691452" w:rsidR="003327E1" w:rsidRDefault="00080E57" w:rsidP="003327E1">
      <w:r>
        <w:rPr>
          <w:b/>
          <w:bCs/>
          <w:color w:val="0E2841" w:themeColor="text2"/>
        </w:rPr>
        <w:lastRenderedPageBreak/>
        <w:t xml:space="preserve">Supplementary </w:t>
      </w:r>
      <w:r w:rsidRPr="00591C2F">
        <w:rPr>
          <w:b/>
          <w:bCs/>
          <w:color w:val="0E2841" w:themeColor="text2"/>
        </w:rPr>
        <w:t xml:space="preserve">File </w:t>
      </w:r>
      <w:r w:rsidR="007E0017">
        <w:rPr>
          <w:b/>
          <w:bCs/>
        </w:rPr>
        <w:t>4</w:t>
      </w:r>
      <w:r w:rsidR="003327E1">
        <w:t xml:space="preserve"> </w:t>
      </w:r>
      <w:r w:rsidR="003327E1" w:rsidRPr="00206971">
        <w:t xml:space="preserve">Individual symptom severity for </w:t>
      </w:r>
      <w:r w:rsidR="00A42A78" w:rsidRPr="00206971">
        <w:t xml:space="preserve">patients </w:t>
      </w:r>
      <w:r w:rsidR="00A42A78">
        <w:t xml:space="preserve">with </w:t>
      </w:r>
      <w:r w:rsidR="003327E1" w:rsidRPr="00206971">
        <w:t>post-COVID-19</w:t>
      </w:r>
      <w:r w:rsidR="00A42A78">
        <w:t xml:space="preserve"> condition</w:t>
      </w:r>
      <w:r w:rsidR="003327E1" w:rsidRPr="00206971">
        <w:t xml:space="preserve"> over different</w:t>
      </w:r>
      <w:r w:rsidR="003327E1">
        <w:t xml:space="preserve"> time</w:t>
      </w:r>
      <w:r w:rsidR="003327E1" w:rsidRPr="00206971">
        <w:t xml:space="preserve"> </w:t>
      </w:r>
      <w:r w:rsidR="003327E1">
        <w:t>periods</w:t>
      </w:r>
      <w:r w:rsidR="003327E1" w:rsidRPr="00206971">
        <w:t xml:space="preserve"> before and after the CP</w:t>
      </w:r>
      <w:r w:rsidR="003327E1">
        <w:t>ET.</w:t>
      </w:r>
    </w:p>
    <w:p w14:paraId="35A492E3" w14:textId="292D9972" w:rsidR="003327E1" w:rsidRDefault="00030FE8" w:rsidP="003327E1">
      <w:pPr>
        <w:jc w:val="center"/>
      </w:pPr>
      <w:r>
        <w:rPr>
          <w:noProof/>
        </w:rPr>
        <w:drawing>
          <wp:inline distT="0" distB="0" distL="0" distR="0" wp14:anchorId="6303A323" wp14:editId="71BA30AA">
            <wp:extent cx="5472000" cy="7545655"/>
            <wp:effectExtent l="0" t="0" r="0" b="0"/>
            <wp:docPr id="5322193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754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3CFF5" w14:textId="0DA3F75D" w:rsidR="003327E1" w:rsidRPr="00EC5516" w:rsidRDefault="003327E1" w:rsidP="003327E1">
      <w:pPr>
        <w:jc w:val="both"/>
        <w:rPr>
          <w:color w:val="0E2841" w:themeColor="text2"/>
          <w:sz w:val="18"/>
          <w:szCs w:val="18"/>
        </w:rPr>
      </w:pPr>
      <w:r w:rsidRPr="00EC5516">
        <w:rPr>
          <w:color w:val="0E2841" w:themeColor="text2"/>
          <w:sz w:val="18"/>
          <w:szCs w:val="18"/>
        </w:rPr>
        <w:t>Mean symptom severity for post-COVID-19 condition patients over different time periods before and after the CPET. Data are presented as estimated means and standard errors, with exact p-values added where post-hoc differences were significant. The statistical significance level was set at p &lt; 0.05. CPET: cardiopulmonary exercise test</w:t>
      </w:r>
      <w:r w:rsidR="000847FC">
        <w:rPr>
          <w:color w:val="0E2841" w:themeColor="text2"/>
          <w:sz w:val="18"/>
          <w:szCs w:val="18"/>
        </w:rPr>
        <w:t>.</w:t>
      </w:r>
    </w:p>
    <w:p w14:paraId="153A417B" w14:textId="77777777" w:rsidR="00EF18AB" w:rsidRDefault="00EF18AB"/>
    <w:sectPr w:rsidR="00EF18AB" w:rsidSect="003327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5A43" w14:textId="77777777" w:rsidR="00E011FC" w:rsidRDefault="00E011FC">
      <w:pPr>
        <w:spacing w:after="0" w:line="240" w:lineRule="auto"/>
      </w:pPr>
      <w:r>
        <w:separator/>
      </w:r>
    </w:p>
  </w:endnote>
  <w:endnote w:type="continuationSeparator" w:id="0">
    <w:p w14:paraId="6179EAC1" w14:textId="77777777" w:rsidR="00E011FC" w:rsidRDefault="00E0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ADC" w14:textId="77777777" w:rsidR="003327E1" w:rsidRDefault="003327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75759"/>
      <w:docPartObj>
        <w:docPartGallery w:val="Page Numbers (Bottom of Page)"/>
        <w:docPartUnique/>
      </w:docPartObj>
    </w:sdtPr>
    <w:sdtEndPr/>
    <w:sdtContent>
      <w:p w14:paraId="6A4CA505" w14:textId="77777777" w:rsidR="003327E1" w:rsidRDefault="003327E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963B25F" w14:textId="77777777" w:rsidR="003327E1" w:rsidRDefault="003327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FB6D" w14:textId="77777777" w:rsidR="003327E1" w:rsidRDefault="003327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DA78" w14:textId="77777777" w:rsidR="00E011FC" w:rsidRDefault="00E011FC">
      <w:pPr>
        <w:spacing w:after="0" w:line="240" w:lineRule="auto"/>
      </w:pPr>
      <w:r>
        <w:separator/>
      </w:r>
    </w:p>
  </w:footnote>
  <w:footnote w:type="continuationSeparator" w:id="0">
    <w:p w14:paraId="58AF657A" w14:textId="77777777" w:rsidR="00E011FC" w:rsidRDefault="00E0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5CC6" w14:textId="77777777" w:rsidR="003327E1" w:rsidRDefault="003327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9994" w14:textId="77777777" w:rsidR="003327E1" w:rsidRDefault="003327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ACD5" w14:textId="77777777" w:rsidR="003327E1" w:rsidRDefault="003327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E1"/>
    <w:rsid w:val="00030FE8"/>
    <w:rsid w:val="0004481D"/>
    <w:rsid w:val="00080E57"/>
    <w:rsid w:val="000847FC"/>
    <w:rsid w:val="003327E1"/>
    <w:rsid w:val="003A6186"/>
    <w:rsid w:val="00411E87"/>
    <w:rsid w:val="00452BDA"/>
    <w:rsid w:val="00465362"/>
    <w:rsid w:val="004F2D0D"/>
    <w:rsid w:val="00665F86"/>
    <w:rsid w:val="007434E6"/>
    <w:rsid w:val="0075248A"/>
    <w:rsid w:val="007E0017"/>
    <w:rsid w:val="008B532F"/>
    <w:rsid w:val="00907293"/>
    <w:rsid w:val="009B1F31"/>
    <w:rsid w:val="009C153D"/>
    <w:rsid w:val="00A37381"/>
    <w:rsid w:val="00A42A78"/>
    <w:rsid w:val="00B563D2"/>
    <w:rsid w:val="00B775FD"/>
    <w:rsid w:val="00BD6DD0"/>
    <w:rsid w:val="00DB17B4"/>
    <w:rsid w:val="00DF1AA5"/>
    <w:rsid w:val="00E011FC"/>
    <w:rsid w:val="00E04CC9"/>
    <w:rsid w:val="00EF18AB"/>
    <w:rsid w:val="00F4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7498"/>
  <w15:chartTrackingRefBased/>
  <w15:docId w15:val="{C7F4F6F9-B060-4240-B619-B4A25B5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27E1"/>
    <w:pPr>
      <w:spacing w:after="200" w:line="276" w:lineRule="auto"/>
    </w:pPr>
    <w:rPr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3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7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7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7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7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27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27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27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27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27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27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27E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3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27E1"/>
    <w:rPr>
      <w:kern w:val="0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qFormat/>
    <w:rsid w:val="0033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27E1"/>
    <w:rPr>
      <w:kern w:val="0"/>
      <w:lang w:val="en-US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3327E1"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33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imonpe@uni-mainz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698C5BE23E49800AB2B2543DFD42" ma:contentTypeVersion="16" ma:contentTypeDescription="Ein neues Dokument erstellen." ma:contentTypeScope="" ma:versionID="5579bf9cd05d3a346f8f99a3bfad0bb8">
  <xsd:schema xmlns:xsd="http://www.w3.org/2001/XMLSchema" xmlns:xs="http://www.w3.org/2001/XMLSchema" xmlns:p="http://schemas.microsoft.com/office/2006/metadata/properties" xmlns:ns2="2a2c9dac-b756-47e4-bdfb-c8e36a0874ab" xmlns:ns3="70aaaec8-61c6-4b6b-bbbc-3a617c3d857c" targetNamespace="http://schemas.microsoft.com/office/2006/metadata/properties" ma:root="true" ma:fieldsID="7b7733b7cfbad6358ef0c52b7dfd3c4f" ns2:_="" ns3:_="">
    <xsd:import namespace="2a2c9dac-b756-47e4-bdfb-c8e36a0874ab"/>
    <xsd:import namespace="70aaaec8-61c6-4b6b-bbbc-3a617c3d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c9dac-b756-47e4-bdfb-c8e36a087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8d7df9c-05f6-4a62-8efa-aa9c6d05c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aaec8-61c6-4b6b-bbbc-3a617c3d8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e5097e-19b0-4919-9e42-808898e9a839}" ma:internalName="TaxCatchAll" ma:showField="CatchAllData" ma:web="70aaaec8-61c6-4b6b-bbbc-3a617c3d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aaaec8-61c6-4b6b-bbbc-3a617c3d857c">
      <UserInfo>
        <DisplayName/>
        <AccountId xsi:nil="true"/>
        <AccountType/>
      </UserInfo>
    </SharedWithUsers>
    <lcf76f155ced4ddcb4097134ff3c332f xmlns="2a2c9dac-b756-47e4-bdfb-c8e36a0874ab">
      <Terms xmlns="http://schemas.microsoft.com/office/infopath/2007/PartnerControls"/>
    </lcf76f155ced4ddcb4097134ff3c332f>
    <TaxCatchAll xmlns="70aaaec8-61c6-4b6b-bbbc-3a617c3d85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4C6E6-4F51-4F6E-A9F2-D61D294A8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c9dac-b756-47e4-bdfb-c8e36a0874ab"/>
    <ds:schemaRef ds:uri="70aaaec8-61c6-4b6b-bbbc-3a617c3d8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068B6-E72F-488E-9B87-54DD12F644CB}">
  <ds:schemaRefs>
    <ds:schemaRef ds:uri="http://schemas.microsoft.com/office/2006/metadata/properties"/>
    <ds:schemaRef ds:uri="http://schemas.microsoft.com/office/infopath/2007/PartnerControls"/>
    <ds:schemaRef ds:uri="70aaaec8-61c6-4b6b-bbbc-3a617c3d857c"/>
    <ds:schemaRef ds:uri="2a2c9dac-b756-47e4-bdfb-c8e36a0874ab"/>
  </ds:schemaRefs>
</ds:datastoreItem>
</file>

<file path=customXml/itemProps3.xml><?xml version="1.0" encoding="utf-8"?>
<ds:datastoreItem xmlns:ds="http://schemas.openxmlformats.org/officeDocument/2006/customXml" ds:itemID="{D3C32155-967D-4F25-97A7-01DA18DF2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697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Vincent</dc:creator>
  <cp:keywords/>
  <dc:description/>
  <cp:lastModifiedBy>Weber, Vincent</cp:lastModifiedBy>
  <cp:revision>19</cp:revision>
  <dcterms:created xsi:type="dcterms:W3CDTF">2026-04-01T11:59:00Z</dcterms:created>
  <dcterms:modified xsi:type="dcterms:W3CDTF">2026-05-04T06:05:00Z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0x01010099F4698C5BE23E49800AB2B2543DFD42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