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4DE9E" w14:textId="0F9579CE" w:rsidR="00933A11" w:rsidRDefault="00933A11" w:rsidP="002D266E">
      <w:pPr>
        <w:spacing w:after="200"/>
        <w:jc w:val="both"/>
        <w:rPr>
          <w:b/>
          <w:bCs/>
        </w:rPr>
      </w:pPr>
      <w:r w:rsidRPr="002D266E">
        <w:rPr>
          <w:b/>
          <w:bCs/>
        </w:rPr>
        <w:t>Supplementary Fig</w:t>
      </w:r>
      <w:r>
        <w:rPr>
          <w:b/>
          <w:bCs/>
        </w:rPr>
        <w:t>ure</w:t>
      </w:r>
      <w:r w:rsidRPr="002D266E">
        <w:rPr>
          <w:b/>
          <w:bCs/>
        </w:rPr>
        <w:t xml:space="preserve"> </w:t>
      </w:r>
      <w:r>
        <w:rPr>
          <w:rFonts w:hint="eastAsia"/>
          <w:b/>
          <w:bCs/>
        </w:rPr>
        <w:t>Legend</w:t>
      </w:r>
    </w:p>
    <w:p w14:paraId="26CDEF30" w14:textId="265B6C42" w:rsidR="00E84E90" w:rsidRPr="00933A11" w:rsidRDefault="00000000" w:rsidP="002D266E">
      <w:pPr>
        <w:spacing w:after="200"/>
        <w:jc w:val="both"/>
        <w:rPr>
          <w:rFonts w:hint="eastAsia"/>
        </w:rPr>
      </w:pPr>
      <w:r w:rsidRPr="002D266E">
        <w:rPr>
          <w:b/>
          <w:bCs/>
        </w:rPr>
        <w:t>Supplementary Fig</w:t>
      </w:r>
      <w:r w:rsidR="00045BB6">
        <w:rPr>
          <w:b/>
          <w:bCs/>
        </w:rPr>
        <w:t>ure</w:t>
      </w:r>
      <w:r w:rsidRPr="002D266E">
        <w:rPr>
          <w:b/>
          <w:bCs/>
        </w:rPr>
        <w:t xml:space="preserve"> </w:t>
      </w:r>
      <w:r w:rsidR="00045BB6">
        <w:rPr>
          <w:b/>
          <w:bCs/>
        </w:rPr>
        <w:t>S</w:t>
      </w:r>
      <w:r w:rsidRPr="002D266E">
        <w:rPr>
          <w:b/>
          <w:bCs/>
        </w:rPr>
        <w:t>1</w:t>
      </w:r>
      <w:r w:rsidR="00045BB6">
        <w:rPr>
          <w:b/>
          <w:bCs/>
        </w:rPr>
        <w:t>.</w:t>
      </w:r>
      <w:r w:rsidRPr="002D266E">
        <w:t xml:space="preserve"> ROC curve for 60-day mortality after third-line </w:t>
      </w:r>
      <w:r w:rsidR="002D266E">
        <w:t xml:space="preserve">therapy </w:t>
      </w:r>
      <w:r w:rsidRPr="002D266E">
        <w:t xml:space="preserve">initiation </w:t>
      </w:r>
    </w:p>
    <w:p w14:paraId="3F4F38E9" w14:textId="324D320A" w:rsidR="00F93DD2" w:rsidRPr="002D266E" w:rsidRDefault="00000000" w:rsidP="002D266E">
      <w:pPr>
        <w:spacing w:after="200"/>
        <w:jc w:val="both"/>
      </w:pPr>
      <w:r w:rsidRPr="002D266E">
        <w:t xml:space="preserve">The AUC (0.83) represents an apparent (optimistic) estimate </w:t>
      </w:r>
      <w:r w:rsidR="00F4466A" w:rsidRPr="002D266E">
        <w:t xml:space="preserve">derived </w:t>
      </w:r>
      <w:r w:rsidRPr="002D266E">
        <w:t>from the fitted model without internal validation or calibration</w:t>
      </w:r>
      <w:r w:rsidR="00F4466A" w:rsidRPr="002D266E">
        <w:t>.</w:t>
      </w:r>
      <w:r w:rsidRPr="002D266E">
        <w:t xml:space="preserve"> </w:t>
      </w:r>
      <w:r w:rsidR="00F4466A" w:rsidRPr="002D266E">
        <w:t>C</w:t>
      </w:r>
      <w:r w:rsidRPr="002D266E">
        <w:t xml:space="preserve">onfidence intervals were not calculated. This analysis is exploratory and descriptive </w:t>
      </w:r>
      <w:r w:rsidR="00F4466A" w:rsidRPr="002D266E">
        <w:t xml:space="preserve">and </w:t>
      </w:r>
      <w:r w:rsidRPr="002D266E">
        <w:t xml:space="preserve">should not be </w:t>
      </w:r>
      <w:r w:rsidR="00F4466A" w:rsidRPr="002D266E">
        <w:t>interpreted as a clinically deployable prediction model</w:t>
      </w:r>
      <w:r w:rsidRPr="002D266E">
        <w:t>. The purpose of this figure is to illustrate that baseline characteristics</w:t>
      </w:r>
      <w:r w:rsidR="00F4466A" w:rsidRPr="002D266E">
        <w:t>,</w:t>
      </w:r>
      <w:r w:rsidRPr="002D266E">
        <w:t xml:space="preserve"> particularly ECOG PS ≥</w:t>
      </w:r>
      <w:r w:rsidR="00F4466A" w:rsidRPr="002D266E">
        <w:t xml:space="preserve"> </w:t>
      </w:r>
      <w:r w:rsidRPr="002D266E">
        <w:t>2</w:t>
      </w:r>
      <w:r w:rsidR="00F4466A" w:rsidRPr="002D266E">
        <w:t>,</w:t>
      </w:r>
      <w:r w:rsidRPr="002D266E">
        <w:t xml:space="preserve"> may identify patients at high risk of early mortality after third-line initiation, highlighting the importance of careful patient selection rather than providing a </w:t>
      </w:r>
      <w:r w:rsidR="00F4466A" w:rsidRPr="002D266E">
        <w:t>validated</w:t>
      </w:r>
      <w:r w:rsidRPr="002D266E">
        <w:t xml:space="preserve"> prediction model.</w:t>
      </w:r>
    </w:p>
    <w:p w14:paraId="7212EA8A" w14:textId="58758EE4" w:rsidR="00F4466A" w:rsidRPr="002D266E" w:rsidRDefault="00F4466A" w:rsidP="002D266E">
      <w:pPr>
        <w:spacing w:after="200"/>
        <w:jc w:val="both"/>
      </w:pPr>
      <w:r w:rsidRPr="002D266E">
        <w:t>Abbreviations: ROC, receiver operating characteristic; AUC, area under the curve.</w:t>
      </w:r>
    </w:p>
    <w:p w14:paraId="0767AD13" w14:textId="790B945F" w:rsidR="00F93DD2" w:rsidRDefault="00F93DD2" w:rsidP="002D266E">
      <w:pPr>
        <w:spacing w:after="200"/>
        <w:jc w:val="both"/>
      </w:pPr>
    </w:p>
    <w:p w14:paraId="6A8B6AF6" w14:textId="03CDD0F7" w:rsidR="00933A11" w:rsidRPr="00933A11" w:rsidRDefault="00933A11" w:rsidP="002D266E">
      <w:pPr>
        <w:spacing w:after="200"/>
        <w:jc w:val="both"/>
        <w:rPr>
          <w:b/>
          <w:bCs/>
        </w:rPr>
      </w:pPr>
      <w:r w:rsidRPr="002D266E">
        <w:rPr>
          <w:b/>
          <w:bCs/>
        </w:rPr>
        <w:t>Supplementary Fig</w:t>
      </w:r>
      <w:r>
        <w:rPr>
          <w:b/>
          <w:bCs/>
        </w:rPr>
        <w:t>ure</w:t>
      </w:r>
      <w:r w:rsidRPr="002D266E">
        <w:rPr>
          <w:b/>
          <w:bCs/>
        </w:rPr>
        <w:t xml:space="preserve"> </w:t>
      </w:r>
      <w:r>
        <w:rPr>
          <w:b/>
          <w:bCs/>
        </w:rPr>
        <w:t>Table</w:t>
      </w:r>
    </w:p>
    <w:p w14:paraId="7E803E69" w14:textId="4F899248" w:rsidR="00F93DD2" w:rsidRPr="002D266E" w:rsidRDefault="00000000" w:rsidP="002D266E">
      <w:pPr>
        <w:jc w:val="both"/>
      </w:pPr>
      <w:r w:rsidRPr="002D266E">
        <w:rPr>
          <w:b/>
          <w:bCs/>
        </w:rPr>
        <w:t xml:space="preserve">Supplementary Table </w:t>
      </w:r>
      <w:r w:rsidR="00045BB6">
        <w:rPr>
          <w:b/>
          <w:bCs/>
        </w:rPr>
        <w:t>S</w:t>
      </w:r>
      <w:r w:rsidRPr="002D266E">
        <w:rPr>
          <w:b/>
          <w:bCs/>
        </w:rPr>
        <w:t>1.</w:t>
      </w:r>
      <w:r w:rsidRPr="002D266E">
        <w:t xml:space="preserve"> Missing data for covariates </w:t>
      </w:r>
      <w:r w:rsidR="002D266E">
        <w:t>included</w:t>
      </w:r>
      <w:r w:rsidR="002D266E" w:rsidRPr="002D266E">
        <w:t xml:space="preserve"> </w:t>
      </w:r>
      <w:r w:rsidRPr="002D266E">
        <w:t>in adjusted models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038"/>
        <w:gridCol w:w="2798"/>
      </w:tblGrid>
      <w:tr w:rsidR="001A2748" w:rsidRPr="002D266E" w14:paraId="03567980" w14:textId="77777777" w:rsidTr="001D372E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8E74C04" w14:textId="77777777" w:rsidR="00F93DD2" w:rsidRPr="002D266E" w:rsidRDefault="00000000" w:rsidP="002D266E">
            <w:pPr>
              <w:jc w:val="both"/>
            </w:pPr>
            <w:r w:rsidRPr="002D266E">
              <w:rPr>
                <w:b/>
              </w:rPr>
              <w:t>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C5BF151" w14:textId="5A4DCCDA" w:rsidR="00F93DD2" w:rsidRPr="002D266E" w:rsidRDefault="00000000" w:rsidP="002D266E">
            <w:pPr>
              <w:jc w:val="both"/>
            </w:pPr>
            <w:r w:rsidRPr="002D266E">
              <w:rPr>
                <w:b/>
              </w:rPr>
              <w:t>30-day landmark cohort (</w:t>
            </w:r>
            <w:r w:rsidR="00F4466A" w:rsidRPr="002D266E">
              <w:rPr>
                <w:b/>
              </w:rPr>
              <w:t xml:space="preserve">n </w:t>
            </w:r>
            <w:r w:rsidRPr="002D266E">
              <w:rPr>
                <w:b/>
              </w:rPr>
              <w:t>=</w:t>
            </w:r>
            <w:r w:rsidR="00F4466A" w:rsidRPr="002D266E">
              <w:rPr>
                <w:b/>
              </w:rPr>
              <w:t xml:space="preserve"> </w:t>
            </w:r>
            <w:r w:rsidRPr="002D266E">
              <w:rPr>
                <w:b/>
              </w:rPr>
              <w:t>48)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E45B5A5" w14:textId="48C713C4" w:rsidR="00F93DD2" w:rsidRPr="002D266E" w:rsidRDefault="00000000" w:rsidP="002D266E">
            <w:pPr>
              <w:jc w:val="both"/>
              <w:rPr>
                <w:b/>
                <w:bCs/>
              </w:rPr>
            </w:pPr>
            <w:r w:rsidRPr="002D266E">
              <w:rPr>
                <w:b/>
                <w:bCs/>
              </w:rPr>
              <w:t>45-day overlap cohort (</w:t>
            </w:r>
            <w:r w:rsidR="00F4466A" w:rsidRPr="002D266E">
              <w:rPr>
                <w:b/>
                <w:bCs/>
              </w:rPr>
              <w:t xml:space="preserve">n </w:t>
            </w:r>
            <w:r w:rsidRPr="002D266E">
              <w:rPr>
                <w:b/>
                <w:bCs/>
              </w:rPr>
              <w:t>=</w:t>
            </w:r>
            <w:r w:rsidR="00F4466A" w:rsidRPr="002D266E">
              <w:rPr>
                <w:b/>
                <w:bCs/>
              </w:rPr>
              <w:t xml:space="preserve"> </w:t>
            </w:r>
            <w:r w:rsidRPr="002D266E">
              <w:rPr>
                <w:b/>
                <w:bCs/>
              </w:rPr>
              <w:t>7</w:t>
            </w:r>
            <w:r w:rsidR="00E44A7C">
              <w:rPr>
                <w:b/>
                <w:bCs/>
              </w:rPr>
              <w:t>8</w:t>
            </w:r>
            <w:r w:rsidRPr="002D266E">
              <w:rPr>
                <w:b/>
                <w:bCs/>
              </w:rPr>
              <w:t>)</w:t>
            </w:r>
          </w:p>
        </w:tc>
      </w:tr>
      <w:tr w:rsidR="001A2748" w:rsidRPr="002D266E" w14:paraId="06148912" w14:textId="77777777" w:rsidTr="001D372E">
        <w:tc>
          <w:tcPr>
            <w:tcW w:w="0" w:type="auto"/>
            <w:tcBorders>
              <w:top w:val="single" w:sz="4" w:space="0" w:color="auto"/>
            </w:tcBorders>
          </w:tcPr>
          <w:p w14:paraId="277FCF09" w14:textId="77777777" w:rsidR="00F93DD2" w:rsidRPr="002D266E" w:rsidRDefault="00000000" w:rsidP="002D266E">
            <w:pPr>
              <w:jc w:val="both"/>
            </w:pPr>
            <w:r w:rsidRPr="002D266E">
              <w:t>Age, years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D365433" w14:textId="77777777" w:rsidR="00F93DD2" w:rsidRPr="002D266E" w:rsidRDefault="00000000" w:rsidP="002D266E">
            <w:pPr>
              <w:jc w:val="both"/>
            </w:pPr>
            <w:r w:rsidRPr="002D266E">
              <w:t>0 (0.0%)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84910C0" w14:textId="77777777" w:rsidR="00F93DD2" w:rsidRPr="002D266E" w:rsidRDefault="00000000" w:rsidP="002D266E">
            <w:pPr>
              <w:jc w:val="both"/>
            </w:pPr>
            <w:r w:rsidRPr="002D266E">
              <w:t>0 (0.0%)</w:t>
            </w:r>
          </w:p>
        </w:tc>
      </w:tr>
      <w:tr w:rsidR="001A2748" w:rsidRPr="002D266E" w14:paraId="03E73370" w14:textId="77777777" w:rsidTr="001D372E">
        <w:tc>
          <w:tcPr>
            <w:tcW w:w="0" w:type="auto"/>
          </w:tcPr>
          <w:p w14:paraId="5CDB198E" w14:textId="77777777" w:rsidR="00F93DD2" w:rsidRPr="002D266E" w:rsidRDefault="00000000" w:rsidP="002D266E">
            <w:pPr>
              <w:jc w:val="both"/>
            </w:pPr>
            <w:r w:rsidRPr="002D266E">
              <w:t>Sex</w:t>
            </w:r>
          </w:p>
        </w:tc>
        <w:tc>
          <w:tcPr>
            <w:tcW w:w="0" w:type="auto"/>
          </w:tcPr>
          <w:p w14:paraId="5C704842" w14:textId="77777777" w:rsidR="00F93DD2" w:rsidRPr="002D266E" w:rsidRDefault="00000000" w:rsidP="002D266E">
            <w:pPr>
              <w:jc w:val="both"/>
            </w:pPr>
            <w:r w:rsidRPr="002D266E">
              <w:t>0 (0.0%)</w:t>
            </w:r>
          </w:p>
        </w:tc>
        <w:tc>
          <w:tcPr>
            <w:tcW w:w="0" w:type="auto"/>
          </w:tcPr>
          <w:p w14:paraId="5A90E67D" w14:textId="77777777" w:rsidR="00F93DD2" w:rsidRPr="002D266E" w:rsidRDefault="00000000" w:rsidP="002D266E">
            <w:pPr>
              <w:jc w:val="both"/>
            </w:pPr>
            <w:r w:rsidRPr="002D266E">
              <w:t>0 (0.0%)</w:t>
            </w:r>
          </w:p>
        </w:tc>
      </w:tr>
      <w:tr w:rsidR="001A2748" w:rsidRPr="002D266E" w14:paraId="6EEC8DA6" w14:textId="77777777" w:rsidTr="001D372E">
        <w:tc>
          <w:tcPr>
            <w:tcW w:w="0" w:type="auto"/>
          </w:tcPr>
          <w:p w14:paraId="57AD03FD" w14:textId="77777777" w:rsidR="00F93DD2" w:rsidRPr="002D266E" w:rsidRDefault="00000000" w:rsidP="002D266E">
            <w:pPr>
              <w:jc w:val="both"/>
            </w:pPr>
            <w:r w:rsidRPr="002D266E">
              <w:t>ECOG PS at index</w:t>
            </w:r>
          </w:p>
        </w:tc>
        <w:tc>
          <w:tcPr>
            <w:tcW w:w="0" w:type="auto"/>
          </w:tcPr>
          <w:p w14:paraId="237ED282" w14:textId="77777777" w:rsidR="00F93DD2" w:rsidRPr="002D266E" w:rsidRDefault="00000000" w:rsidP="002D266E">
            <w:pPr>
              <w:jc w:val="both"/>
            </w:pPr>
            <w:r w:rsidRPr="002D266E">
              <w:t>0 (0.0%)</w:t>
            </w:r>
          </w:p>
        </w:tc>
        <w:tc>
          <w:tcPr>
            <w:tcW w:w="0" w:type="auto"/>
          </w:tcPr>
          <w:p w14:paraId="535E97A6" w14:textId="77777777" w:rsidR="00F93DD2" w:rsidRPr="002D266E" w:rsidRDefault="00000000" w:rsidP="002D266E">
            <w:pPr>
              <w:jc w:val="both"/>
            </w:pPr>
            <w:r w:rsidRPr="002D266E">
              <w:t>0 (0.0%)</w:t>
            </w:r>
          </w:p>
        </w:tc>
      </w:tr>
      <w:tr w:rsidR="001A2748" w:rsidRPr="002D266E" w14:paraId="77C7D401" w14:textId="77777777" w:rsidTr="001D372E">
        <w:tc>
          <w:tcPr>
            <w:tcW w:w="0" w:type="auto"/>
          </w:tcPr>
          <w:p w14:paraId="04030B0D" w14:textId="77777777" w:rsidR="00F93DD2" w:rsidRPr="002D266E" w:rsidRDefault="00000000" w:rsidP="002D266E">
            <w:pPr>
              <w:jc w:val="both"/>
            </w:pPr>
            <w:r w:rsidRPr="002D266E">
              <w:t>Albumin at index, g/dL</w:t>
            </w:r>
          </w:p>
        </w:tc>
        <w:tc>
          <w:tcPr>
            <w:tcW w:w="0" w:type="auto"/>
          </w:tcPr>
          <w:p w14:paraId="03CB9ADD" w14:textId="77777777" w:rsidR="00F93DD2" w:rsidRPr="002D266E" w:rsidRDefault="00000000" w:rsidP="002D266E">
            <w:pPr>
              <w:jc w:val="both"/>
            </w:pPr>
            <w:r w:rsidRPr="002D266E">
              <w:t>1 (2.1%)</w:t>
            </w:r>
          </w:p>
        </w:tc>
        <w:tc>
          <w:tcPr>
            <w:tcW w:w="0" w:type="auto"/>
          </w:tcPr>
          <w:p w14:paraId="3500B90C" w14:textId="77777777" w:rsidR="00F93DD2" w:rsidRPr="002D266E" w:rsidRDefault="00000000" w:rsidP="002D266E">
            <w:pPr>
              <w:jc w:val="both"/>
            </w:pPr>
            <w:r w:rsidRPr="002D266E">
              <w:t>1 (1.3%)</w:t>
            </w:r>
          </w:p>
        </w:tc>
      </w:tr>
      <w:tr w:rsidR="001A2748" w:rsidRPr="002D266E" w14:paraId="1F3F04EA" w14:textId="77777777" w:rsidTr="001D372E">
        <w:tc>
          <w:tcPr>
            <w:tcW w:w="0" w:type="auto"/>
          </w:tcPr>
          <w:p w14:paraId="481D119D" w14:textId="77777777" w:rsidR="00F93DD2" w:rsidRPr="002D266E" w:rsidRDefault="00000000" w:rsidP="002D266E">
            <w:pPr>
              <w:jc w:val="both"/>
            </w:pPr>
            <w:r w:rsidRPr="002D266E">
              <w:t>CRP at index, mg/dL</w:t>
            </w:r>
          </w:p>
        </w:tc>
        <w:tc>
          <w:tcPr>
            <w:tcW w:w="0" w:type="auto"/>
          </w:tcPr>
          <w:p w14:paraId="1E39996A" w14:textId="77777777" w:rsidR="00F93DD2" w:rsidRPr="002D266E" w:rsidRDefault="00000000" w:rsidP="002D266E">
            <w:pPr>
              <w:jc w:val="both"/>
            </w:pPr>
            <w:r w:rsidRPr="002D266E">
              <w:t>1 (2.1%)</w:t>
            </w:r>
          </w:p>
        </w:tc>
        <w:tc>
          <w:tcPr>
            <w:tcW w:w="0" w:type="auto"/>
          </w:tcPr>
          <w:p w14:paraId="22BF4822" w14:textId="77777777" w:rsidR="00F93DD2" w:rsidRPr="002D266E" w:rsidRDefault="00000000" w:rsidP="002D266E">
            <w:pPr>
              <w:jc w:val="both"/>
            </w:pPr>
            <w:r w:rsidRPr="002D266E">
              <w:t>1 (1.3%)</w:t>
            </w:r>
          </w:p>
        </w:tc>
      </w:tr>
      <w:tr w:rsidR="001A2748" w:rsidRPr="002D266E" w14:paraId="22937AE9" w14:textId="77777777" w:rsidTr="001D372E">
        <w:tc>
          <w:tcPr>
            <w:tcW w:w="0" w:type="auto"/>
          </w:tcPr>
          <w:p w14:paraId="4FAC4033" w14:textId="77777777" w:rsidR="00F93DD2" w:rsidRPr="002D266E" w:rsidRDefault="00000000" w:rsidP="002D266E">
            <w:pPr>
              <w:jc w:val="both"/>
            </w:pPr>
            <w:r w:rsidRPr="002D266E">
              <w:t>Total bilirubin at index, mg/dL</w:t>
            </w:r>
          </w:p>
        </w:tc>
        <w:tc>
          <w:tcPr>
            <w:tcW w:w="0" w:type="auto"/>
          </w:tcPr>
          <w:p w14:paraId="1E27D167" w14:textId="77777777" w:rsidR="00F93DD2" w:rsidRPr="002D266E" w:rsidRDefault="00000000" w:rsidP="002D266E">
            <w:pPr>
              <w:jc w:val="both"/>
            </w:pPr>
            <w:r w:rsidRPr="002D266E">
              <w:t>1 (2.1%)</w:t>
            </w:r>
          </w:p>
        </w:tc>
        <w:tc>
          <w:tcPr>
            <w:tcW w:w="0" w:type="auto"/>
          </w:tcPr>
          <w:p w14:paraId="78990CF8" w14:textId="77777777" w:rsidR="00F93DD2" w:rsidRPr="002D266E" w:rsidRDefault="00000000" w:rsidP="002D266E">
            <w:pPr>
              <w:jc w:val="both"/>
            </w:pPr>
            <w:r w:rsidRPr="002D266E">
              <w:t>1 (1.3%)</w:t>
            </w:r>
          </w:p>
        </w:tc>
      </w:tr>
      <w:tr w:rsidR="001A2748" w:rsidRPr="002D266E" w14:paraId="5919F6DC" w14:textId="77777777" w:rsidTr="001D372E">
        <w:tc>
          <w:tcPr>
            <w:tcW w:w="0" w:type="auto"/>
          </w:tcPr>
          <w:p w14:paraId="0EDEF704" w14:textId="77777777" w:rsidR="00F93DD2" w:rsidRPr="002D266E" w:rsidRDefault="00000000" w:rsidP="002D266E">
            <w:pPr>
              <w:jc w:val="both"/>
            </w:pPr>
            <w:r w:rsidRPr="002D266E">
              <w:t>Second-line PFS, days</w:t>
            </w:r>
          </w:p>
        </w:tc>
        <w:tc>
          <w:tcPr>
            <w:tcW w:w="0" w:type="auto"/>
          </w:tcPr>
          <w:p w14:paraId="1AB71B0A" w14:textId="77777777" w:rsidR="00F93DD2" w:rsidRPr="002D266E" w:rsidRDefault="00000000" w:rsidP="002D266E">
            <w:pPr>
              <w:jc w:val="both"/>
            </w:pPr>
            <w:r w:rsidRPr="002D266E">
              <w:t>0 (0.0%)</w:t>
            </w:r>
          </w:p>
        </w:tc>
        <w:tc>
          <w:tcPr>
            <w:tcW w:w="0" w:type="auto"/>
          </w:tcPr>
          <w:p w14:paraId="7D950627" w14:textId="77777777" w:rsidR="00F93DD2" w:rsidRPr="002D266E" w:rsidRDefault="00000000" w:rsidP="002D266E">
            <w:pPr>
              <w:jc w:val="both"/>
            </w:pPr>
            <w:r w:rsidRPr="002D266E">
              <w:t>0 (0.0%)</w:t>
            </w:r>
          </w:p>
        </w:tc>
      </w:tr>
      <w:tr w:rsidR="001A2748" w:rsidRPr="002D266E" w14:paraId="5E7595F3" w14:textId="77777777" w:rsidTr="001D372E">
        <w:tc>
          <w:tcPr>
            <w:tcW w:w="0" w:type="auto"/>
          </w:tcPr>
          <w:p w14:paraId="542036F4" w14:textId="77777777" w:rsidR="00F93DD2" w:rsidRPr="002D266E" w:rsidRDefault="00000000" w:rsidP="002D266E">
            <w:pPr>
              <w:jc w:val="both"/>
            </w:pPr>
            <w:r w:rsidRPr="002D266E">
              <w:t xml:space="preserve">Peritoneal dissemination at </w:t>
            </w:r>
            <w:r w:rsidRPr="002D266E">
              <w:lastRenderedPageBreak/>
              <w:t>baseline</w:t>
            </w:r>
          </w:p>
        </w:tc>
        <w:tc>
          <w:tcPr>
            <w:tcW w:w="0" w:type="auto"/>
          </w:tcPr>
          <w:p w14:paraId="72E91118" w14:textId="77777777" w:rsidR="00F93DD2" w:rsidRPr="002D266E" w:rsidRDefault="00000000" w:rsidP="002D266E">
            <w:pPr>
              <w:jc w:val="both"/>
            </w:pPr>
            <w:r w:rsidRPr="002D266E">
              <w:lastRenderedPageBreak/>
              <w:t>0 (0.0%)</w:t>
            </w:r>
          </w:p>
        </w:tc>
        <w:tc>
          <w:tcPr>
            <w:tcW w:w="0" w:type="auto"/>
          </w:tcPr>
          <w:p w14:paraId="7241B97B" w14:textId="77777777" w:rsidR="00F93DD2" w:rsidRPr="002D266E" w:rsidRDefault="00000000" w:rsidP="002D266E">
            <w:pPr>
              <w:jc w:val="both"/>
            </w:pPr>
            <w:r w:rsidRPr="002D266E">
              <w:t>0 (0.0%)</w:t>
            </w:r>
          </w:p>
        </w:tc>
      </w:tr>
      <w:tr w:rsidR="001A2748" w:rsidRPr="002D266E" w14:paraId="7B9F45AA" w14:textId="77777777" w:rsidTr="001D372E">
        <w:tc>
          <w:tcPr>
            <w:tcW w:w="0" w:type="auto"/>
          </w:tcPr>
          <w:p w14:paraId="60066544" w14:textId="77777777" w:rsidR="00F93DD2" w:rsidRPr="002D266E" w:rsidRDefault="00000000" w:rsidP="002D266E">
            <w:pPr>
              <w:jc w:val="both"/>
            </w:pPr>
            <w:r w:rsidRPr="002D266E">
              <w:t>Liver metastasis at baseline</w:t>
            </w:r>
          </w:p>
        </w:tc>
        <w:tc>
          <w:tcPr>
            <w:tcW w:w="0" w:type="auto"/>
          </w:tcPr>
          <w:p w14:paraId="7067C14F" w14:textId="77777777" w:rsidR="00F93DD2" w:rsidRPr="002D266E" w:rsidRDefault="00000000" w:rsidP="002D266E">
            <w:pPr>
              <w:jc w:val="both"/>
            </w:pPr>
            <w:r w:rsidRPr="002D266E">
              <w:t>0 (0.0%)</w:t>
            </w:r>
          </w:p>
        </w:tc>
        <w:tc>
          <w:tcPr>
            <w:tcW w:w="0" w:type="auto"/>
          </w:tcPr>
          <w:p w14:paraId="576FEB35" w14:textId="77777777" w:rsidR="00F93DD2" w:rsidRPr="002D266E" w:rsidRDefault="00000000" w:rsidP="002D266E">
            <w:pPr>
              <w:jc w:val="both"/>
            </w:pPr>
            <w:r w:rsidRPr="002D266E">
              <w:t>0 (0.0%)</w:t>
            </w:r>
          </w:p>
        </w:tc>
      </w:tr>
    </w:tbl>
    <w:p w14:paraId="28407CCD" w14:textId="59BCD0BC" w:rsidR="00F93DD2" w:rsidRPr="002D266E" w:rsidRDefault="00000000" w:rsidP="002D266E">
      <w:pPr>
        <w:jc w:val="both"/>
      </w:pPr>
      <w:r w:rsidRPr="002D266E">
        <w:t xml:space="preserve">Missingness was assessed in the analytic cohorts prior to complete-case </w:t>
      </w:r>
      <w:r w:rsidR="002D266E">
        <w:t>analysis</w:t>
      </w:r>
      <w:r w:rsidRPr="002D266E">
        <w:t xml:space="preserve"> </w:t>
      </w:r>
      <w:r w:rsidR="00E44A7C" w:rsidRPr="00E44A7C">
        <w:t>(eligible n = 48 and n = 78), resulting in final sample sizes of n = 47 and n = 77, respectively.</w:t>
      </w:r>
    </w:p>
    <w:p w14:paraId="74ABDB36" w14:textId="3759FFA4" w:rsidR="00F4466A" w:rsidRPr="002D266E" w:rsidRDefault="00F4466A" w:rsidP="002D266E">
      <w:pPr>
        <w:jc w:val="both"/>
      </w:pPr>
      <w:r w:rsidRPr="002D266E">
        <w:t>Abbreviations: AUC, area under the curve; CRP, C-reactive protein; ECOG, Eastern Cooperative Oncology Group; PFS, progression-free survival; PS, performance status; ROC, receiver operating characteristic.</w:t>
      </w:r>
    </w:p>
    <w:p w14:paraId="18B55D4A" w14:textId="0BA180B1" w:rsidR="00FD4ED5" w:rsidRPr="002D266E" w:rsidRDefault="00FD4ED5" w:rsidP="002D266E">
      <w:pPr>
        <w:jc w:val="both"/>
      </w:pPr>
    </w:p>
    <w:sectPr w:rsidR="00FD4ED5" w:rsidRPr="002D266E" w:rsidSect="00F93DD2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DD2"/>
    <w:rsid w:val="00045BB6"/>
    <w:rsid w:val="000A7E3E"/>
    <w:rsid w:val="001805B6"/>
    <w:rsid w:val="001A2748"/>
    <w:rsid w:val="001A3F0A"/>
    <w:rsid w:val="001D2F7E"/>
    <w:rsid w:val="001D372E"/>
    <w:rsid w:val="00206EEE"/>
    <w:rsid w:val="00245920"/>
    <w:rsid w:val="002466A4"/>
    <w:rsid w:val="00294A3A"/>
    <w:rsid w:val="002C68CB"/>
    <w:rsid w:val="002D266E"/>
    <w:rsid w:val="002E0317"/>
    <w:rsid w:val="00310019"/>
    <w:rsid w:val="00333931"/>
    <w:rsid w:val="00377549"/>
    <w:rsid w:val="003A7F96"/>
    <w:rsid w:val="00401D78"/>
    <w:rsid w:val="00441DC8"/>
    <w:rsid w:val="004711C3"/>
    <w:rsid w:val="00501234"/>
    <w:rsid w:val="00551689"/>
    <w:rsid w:val="00556875"/>
    <w:rsid w:val="0060774C"/>
    <w:rsid w:val="006821FB"/>
    <w:rsid w:val="00695106"/>
    <w:rsid w:val="006E1B4C"/>
    <w:rsid w:val="007618DF"/>
    <w:rsid w:val="00785DBD"/>
    <w:rsid w:val="008406BB"/>
    <w:rsid w:val="008524E0"/>
    <w:rsid w:val="00854288"/>
    <w:rsid w:val="00861B82"/>
    <w:rsid w:val="008C47CA"/>
    <w:rsid w:val="00933A11"/>
    <w:rsid w:val="00A16927"/>
    <w:rsid w:val="00A34399"/>
    <w:rsid w:val="00A6137E"/>
    <w:rsid w:val="00AD2497"/>
    <w:rsid w:val="00B13D3A"/>
    <w:rsid w:val="00B537A5"/>
    <w:rsid w:val="00B94602"/>
    <w:rsid w:val="00BE0383"/>
    <w:rsid w:val="00BF4791"/>
    <w:rsid w:val="00C34A05"/>
    <w:rsid w:val="00CE266D"/>
    <w:rsid w:val="00D04B4D"/>
    <w:rsid w:val="00D65720"/>
    <w:rsid w:val="00D66F7F"/>
    <w:rsid w:val="00DA70DD"/>
    <w:rsid w:val="00E44A7C"/>
    <w:rsid w:val="00E8237A"/>
    <w:rsid w:val="00E84E90"/>
    <w:rsid w:val="00EB12DF"/>
    <w:rsid w:val="00EE6B3A"/>
    <w:rsid w:val="00F4466A"/>
    <w:rsid w:val="00F67511"/>
    <w:rsid w:val="00F853FD"/>
    <w:rsid w:val="00F93DD2"/>
    <w:rsid w:val="00F96DBD"/>
    <w:rsid w:val="00FB2F58"/>
    <w:rsid w:val="00FC5A7F"/>
    <w:rsid w:val="00FC6F65"/>
    <w:rsid w:val="00FD4ED5"/>
    <w:rsid w:val="00FE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0426C2"/>
  <w15:chartTrackingRefBased/>
  <w15:docId w15:val="{591A10A6-822C-EB43-A8FB-081BFD54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DD2"/>
    <w:pPr>
      <w:widowControl w:val="0"/>
      <w:spacing w:after="0" w:line="480" w:lineRule="auto"/>
    </w:pPr>
    <w:rPr>
      <w:rFonts w:ascii="Times New Roman" w:hAnsi="Times New Roman" w:cs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3DD2"/>
    <w:pPr>
      <w:keepNext/>
      <w:keepLines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DD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DD2"/>
    <w:pPr>
      <w:keepNext/>
      <w:keepLines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DD2"/>
    <w:pPr>
      <w:keepNext/>
      <w:keepLines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DD2"/>
    <w:pPr>
      <w:keepNext/>
      <w:keepLines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DD2"/>
    <w:pPr>
      <w:keepNext/>
      <w:keepLines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DD2"/>
    <w:pPr>
      <w:keepNext/>
      <w:keepLines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DD2"/>
    <w:pPr>
      <w:keepNext/>
      <w:keepLines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DD2"/>
    <w:pPr>
      <w:keepNext/>
      <w:keepLines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3D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3D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3DD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93D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3D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3D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3D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3D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3D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3D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93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DD2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93D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3DD2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93D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3DD2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F93D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3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93D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3DD2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F4466A"/>
    <w:pPr>
      <w:spacing w:after="0" w:line="240" w:lineRule="auto"/>
    </w:pPr>
    <w:rPr>
      <w:rFonts w:ascii="Times New Roman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262</Words>
  <Characters>1462</Characters>
  <Application>Microsoft Office Word</Application>
  <DocSecurity>0</DocSecurity>
  <Lines>52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新也 梶浦</cp:lastModifiedBy>
  <cp:revision>19</cp:revision>
  <dcterms:created xsi:type="dcterms:W3CDTF">2026-03-16T01:40:00Z</dcterms:created>
  <dcterms:modified xsi:type="dcterms:W3CDTF">2026-05-04T02:52:00Z</dcterms:modified>
  <cp:category/>
</cp:coreProperties>
</file>