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0" distR="0">
            <wp:extent cx="4344670" cy="4489450"/>
            <wp:effectExtent l="0" t="0" r="11430" b="6350"/>
            <wp:docPr id="6" name="Picture 5" descr="D:\Paper\花青素含量图三色\4.22转录组和代谢组\4.24 paper图片表格\Supplement Figures\Sup Fig.3 10.4\Sup Fig.3 10.4_00.tifSup Fig.3 10.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D:\Paper\花青素含量图三色\4.22转录组和代谢组\4.24 paper图片表格\Supplement Figures\Sup Fig.3 10.4\Sup Fig.3 10.4_00.tifSup Fig.3 10.4_00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4670" cy="448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auto"/>
        <w:jc w:val="both"/>
        <w:textAlignment w:val="auto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Additional files 7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 xml:space="preserve">:Fig. S3. GO classification of DEGs. 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A</w:t>
      </w:r>
      <w:r>
        <w:rPr>
          <w:rFonts w:ascii="Times New Roman" w:hAnsi="Times New Roman" w:cs="Times New Roman"/>
          <w:sz w:val="16"/>
          <w:szCs w:val="16"/>
          <w:lang w:eastAsia="zh-CN"/>
        </w:rPr>
        <w:t xml:space="preserve"> GO functional classification of DEGs between GL and ML. 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B</w:t>
      </w:r>
      <w:r>
        <w:rPr>
          <w:rFonts w:ascii="Times New Roman" w:hAnsi="Times New Roman" w:cs="Times New Roman"/>
          <w:sz w:val="16"/>
          <w:szCs w:val="16"/>
          <w:lang w:eastAsia="zh-CN"/>
        </w:rPr>
        <w:t xml:space="preserve"> GO functional classification of DEGs between GL and PL. </w:t>
      </w:r>
    </w:p>
    <w:p>
      <w:pPr>
        <w:pStyle w:val="7"/>
        <w:widowControl w:val="0"/>
        <w:spacing w:after="0"/>
        <w:jc w:val="center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  <w:lang w:eastAsia="zh-CN"/>
        </w:rPr>
        <w:drawing>
          <wp:inline distT="0" distB="0" distL="114300" distR="114300">
            <wp:extent cx="3848735" cy="555561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735" cy="555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 w:val="0"/>
        <w:spacing w:after="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</w:rPr>
        <w:t>Fig. S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4</w:t>
      </w:r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KEGG pathway distribution of the DEGs. </w:t>
      </w: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a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KEGG pathway of DEGs between GL and ML. </w:t>
      </w:r>
      <w:r>
        <w:rPr>
          <w:rFonts w:ascii="Times New Roman" w:hAnsi="Times New Roman" w:cs="Times New Roman"/>
          <w:b/>
          <w:bCs/>
          <w:sz w:val="20"/>
          <w:szCs w:val="20"/>
          <w:lang w:eastAsia="zh-CN"/>
        </w:rPr>
        <w:t>b</w:t>
      </w:r>
      <w:r>
        <w:rPr>
          <w:rFonts w:ascii="Times New Roman" w:hAnsi="Times New Roman" w:cs="Times New Roman"/>
          <w:sz w:val="20"/>
          <w:szCs w:val="20"/>
          <w:lang w:eastAsia="zh-CN"/>
        </w:rPr>
        <w:t xml:space="preserve"> KEGG pathway of DEGs between GL and PL.</w:t>
      </w: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1. </w:t>
      </w:r>
      <w:r>
        <w:rPr>
          <w:rFonts w:ascii="Times New Roman" w:hAnsi="Times New Roman" w:cs="Times New Roman"/>
          <w:sz w:val="20"/>
          <w:szCs w:val="20"/>
        </w:rPr>
        <w:t>List of primers used in this study</w:t>
      </w: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 w:eastAsia="zh-CN"/>
        </w:rPr>
      </w:pPr>
    </w:p>
    <w:tbl>
      <w:tblPr>
        <w:tblStyle w:val="8"/>
        <w:tblW w:w="675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3964"/>
        <w:gridCol w:w="11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0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Gene names</w:t>
            </w:r>
          </w:p>
        </w:tc>
        <w:tc>
          <w:tcPr>
            <w:tcW w:w="396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sz w:val="20"/>
                <w:szCs w:val="20"/>
              </w:rPr>
              <w:t xml:space="preserve"> primer sequences (5'-3')</w:t>
            </w:r>
          </w:p>
        </w:tc>
        <w:tc>
          <w:tcPr>
            <w:tcW w:w="11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CA"/>
              </w:rPr>
              <w:t xml:space="preserve">Purposes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1" w:type="dxa"/>
            <w:gridSpan w:val="3"/>
            <w:tcBorders>
              <w:top w:val="single" w:color="auto" w:sz="4" w:space="0"/>
              <w:bottom w:val="nil"/>
            </w:tcBorders>
          </w:tcPr>
          <w:p>
            <w:pPr>
              <w:pStyle w:val="14"/>
              <w:spacing w:line="276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iCs/>
                <w:sz w:val="20"/>
                <w:szCs w:val="20"/>
              </w:rPr>
              <w:t xml:space="preserve">Coding 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tcBorders>
              <w:top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ANR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1467</w:t>
            </w:r>
          </w:p>
        </w:tc>
        <w:tc>
          <w:tcPr>
            <w:tcW w:w="3964" w:type="dxa"/>
            <w:tcBorders>
              <w:top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GAAGTCAAGAACTCAGTATCAG</w:t>
            </w:r>
          </w:p>
        </w:tc>
        <w:tc>
          <w:tcPr>
            <w:tcW w:w="1181" w:type="dxa"/>
            <w:tcBorders>
              <w:top w:val="nil"/>
            </w:tcBorders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eastAsia="en-CA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GCGTGTAGTTGTAACATCAT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eastAsia="en-CA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ANR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1398</w:t>
            </w: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AGTGTTGTTGACTTGTTGTAA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ab/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GTCTCTGGCAGTGGTATT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2909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CTGGAGGAGTCTGACATAC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1815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CTGGAGGAGTCTGACATAC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DFR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2899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TTAGTAACGGTGGATTCTACA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AAGGCAGCAGCAATAATG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1716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GATGGATAAGGTGATTGGAAG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2846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GATGGATAAGGTGATTGGAAG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UFGT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1836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AATCCGTTAGACCATACATTATAC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TCACCAAAAAATGGCCGGCAAATTA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UFGT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3273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CCCAACAATAACAAATGACTTC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tcBorders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CCATAAGCATCGGAACTTG</w:t>
            </w:r>
          </w:p>
        </w:tc>
        <w:tc>
          <w:tcPr>
            <w:tcW w:w="1181" w:type="dxa"/>
            <w:tcBorders>
              <w:bottom w:val="single" w:color="auto" w:sz="4" w:space="0"/>
            </w:tcBorders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70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auto" w:sz="4" w:space="0"/>
              <w:bottom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1" w:type="dxa"/>
            <w:gridSpan w:val="3"/>
            <w:tcBorders>
              <w:top w:val="nil"/>
              <w:bottom w:val="nil"/>
            </w:tcBorders>
          </w:tcPr>
          <w:p>
            <w:pPr>
              <w:pStyle w:val="14"/>
              <w:spacing w:line="276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iCs/>
                <w:sz w:val="20"/>
                <w:szCs w:val="20"/>
                <w:lang w:val="en-US" w:eastAsia="zh-CN"/>
              </w:rPr>
              <w:t>T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ranscription</w:t>
            </w:r>
            <w:r>
              <w:rPr>
                <w:rFonts w:hint="eastAsia" w:ascii="Times New Roman" w:hAnsi="Times New Roman"/>
                <w:b/>
                <w:iCs/>
                <w:sz w:val="20"/>
                <w:szCs w:val="20"/>
              </w:rPr>
              <w:t xml:space="preserve">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tcBorders>
              <w:top w:val="nil"/>
            </w:tcBorders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MYB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1811</w:t>
            </w:r>
          </w:p>
        </w:tc>
        <w:tc>
          <w:tcPr>
            <w:tcW w:w="3964" w:type="dxa"/>
            <w:tcBorders>
              <w:top w:val="nil"/>
            </w:tcBorders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GCTTAATTCATCCATCAATCAAG</w:t>
            </w:r>
          </w:p>
        </w:tc>
        <w:tc>
          <w:tcPr>
            <w:tcW w:w="1181" w:type="dxa"/>
            <w:tcBorders>
              <w:top w:val="nil"/>
            </w:tcBorders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ACTGCTACTGCTTCCATT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MYB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1131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AGGTCTTGGTCTCATTCTC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GAACTGCTTCTTCTATTCTTGA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MYB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3057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GAGGAGGAGCATAATAGGTT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GCGGAATGTCTATGTCAAG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bHLH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2379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TGAAGAGGCAGACATAGAC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CTGAGGCTTGTAATGAAGTAAT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bHLH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2808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TTGCTTGTTCCTTGTTGAG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TCACCATTGTCATCACCA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bHLH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2042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CCATCCGACTTACATCCA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TCTTCCTCATCATACTCTTCTT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WD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3291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TATCTCTATGGAAGGCTTAATCT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TTGCTCCTGGACTTACTG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WD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3208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GCAAGGTAATGGTCACTTC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AATAGTTCCAGACAGAGACAT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WD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2173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GTCATTCATTGGTCTTCATTAAC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GCAACAAGCAACCTATCCTT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Actin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CCACCAGGCTTATTGATAGAAT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CAATGGTTGAACCTGAATACT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</w:tbl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Note: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q</w:t>
      </w:r>
      <w:r>
        <w:rPr>
          <w:rFonts w:hint="eastAsia" w:ascii="Times New Roman" w:hAnsi="Times New Roman" w:cs="Times New Roman"/>
          <w:sz w:val="20"/>
          <w:szCs w:val="20"/>
        </w:rPr>
        <w:t>PCR primer numbers are numbered for sequence length</w:t>
      </w:r>
    </w:p>
    <w:p>
      <w:pPr>
        <w:pStyle w:val="7"/>
        <w:widowControl w:val="0"/>
        <w:spacing w:after="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</w:p>
    <w:p>
      <w:pPr>
        <w:pStyle w:val="7"/>
        <w:widowControl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pStyle w:val="7"/>
        <w:widowControl w:val="0"/>
        <w:spacing w:after="0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2</w:t>
      </w:r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hint="default" w:ascii="Calibri" w:hAnsi="Calibri" w:eastAsia="宋体" w:cs="Calibri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A list of 207 flavonoid metabolites identified in Loropetalum chinense var. rubrum.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</w:p>
    <w:tbl>
      <w:tblPr>
        <w:tblStyle w:val="8"/>
        <w:tblW w:w="5000" w:type="pct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00"/>
        <w:gridCol w:w="660"/>
        <w:gridCol w:w="715"/>
        <w:gridCol w:w="1325"/>
        <w:gridCol w:w="1134"/>
        <w:gridCol w:w="1016"/>
        <w:gridCol w:w="1450"/>
        <w:gridCol w:w="150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Index</w:t>
            </w:r>
          </w:p>
        </w:tc>
        <w:tc>
          <w:tcPr>
            <w:tcW w:w="36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 (Da)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 (Da)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Rt (min)</w:t>
            </w:r>
          </w:p>
        </w:tc>
        <w:tc>
          <w:tcPr>
            <w:tcW w:w="6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Molecular Weight (Da)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Ionization model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KEGG ID</w:t>
            </w:r>
          </w:p>
        </w:tc>
        <w:tc>
          <w:tcPr>
            <w:tcW w:w="75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Compounds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Class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pma0249</w:t>
            </w:r>
          </w:p>
        </w:tc>
        <w:tc>
          <w:tcPr>
            <w:tcW w:w="36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479.118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317.1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6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478.118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Selgin 5-O-hexoside</w:t>
            </w:r>
          </w:p>
        </w:tc>
        <w:tc>
          <w:tcPr>
            <w:tcW w:w="7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pma0253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476.14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O-methylChrysoeriol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pma0760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Selgin 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O-rhamnosyl-O-malonylhexoside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pma0787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Quercetin-3-(6''-malonyl)-Glucoside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pma1108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C-glucoside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pma1116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C10098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pma6218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O-methylnaringenin C-pentoside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pma6389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C04444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Ayanin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pma6496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6-C-glucoside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pma6515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C-hexosyl-chrysin O-feruloylhexoside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pma6558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298.05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314.08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Velutin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pma6576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Spinacetin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pma6638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O-methylChrysoeriol 7-O-hexoside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Anthocyanins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pma6639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pma6647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C-hexosyl-chrysoeriol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C08604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3-O-glucoside (Kuromanin)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C08726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Peonidin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pmb0565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Syringetin 3-O-hexoside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pmb0566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O-hexosyl-O-pentoside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O-sinapoylhexoside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pmb0580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Chrysin 5-O-glucoside (Toringin)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"Luteolin 3',7-di-O-glucoside"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O-hexosyl-O-rutinoside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pmb0595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pmb0600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608.4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7-O-rutinoside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pmb0602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Syringetin 7-O-hexoside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pmb0604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C12249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3-O-glucoside (Astragalin)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pmb0618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8-C-hexosyl-hesperetin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C-hexosyl-luteolin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6-C-hexosyl-luteolin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Eriodictiol C-hexosyl-O-hexoside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pmb0629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6-C-hexoside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Flavanone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pmb0645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6-C-hexosyl-hesperetin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8-C-hexosyl-luteolin O-pentoside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pmb0653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"di-C,C-hexosyl-apigenin"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pmb0660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C-hexosyl-luteolin O-p-coumaroylhexoside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8-C-hexosyl-luteolin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pmb0665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8-C-hexosyl-O-hexoside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pmb0689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pmb0696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8-C-hexosyl chrysoeriol 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8-C-hexoside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7-O-rutinoside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pmb0713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7-O-hexosyl-O-hexoside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pmb0725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7-O-feruloylhexoside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pmb0732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5-O-feruloylhexoside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pmb0739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O-hexosyl-O-syringin alcohol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pmb0746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4'-O-β-guaiacylglycerol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pmb0835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Gallocatechin-gallocatechin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pmb2831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Protocatechuic acid 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pmb2850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Catechin-catechin-catechin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O-syringic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pmb2975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O-Glucuronic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550.2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O-malonylhexoside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pmb2983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311.6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C-pentosyl-O-rhamnosyl-rhamnoside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pmb2987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Acacetin O-acetyl 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Acacetin O-glucuronic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pmb2999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pmb3006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C04608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7-O-glucoside (Cosmosiin)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pmb3013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O-acetyl-hexoside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O-eudesmic acid-O-hexoside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pmb3023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Eriodictyol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C-hexoside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pmb3026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O-acetylhexoside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pmb3037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O-malonyl shikimic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O-saccharic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O-glucuronic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7-O-hexoside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pmb3047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Tricin 4'-O-(syringyl alcohol) ether 5-O-hexoside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pmb3114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Epicatechin-epiafzelechin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pmb3894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Di-O-methylquercetin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pmc1990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"4'-Hydroxy-5,7-dimethoxyflavanone"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pme0001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C09806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7-O-neohesperidoside (Neohesperidin)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pme0088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C01514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pme0197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609.153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C05625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3-O-rutinoside (Rutin)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pme0200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C05903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pme0205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C06562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pme0208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537.09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538.09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Amentoflavone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254.0579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C10028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pme0333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579.164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578.1636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C12627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7-O-neohesperidoside (Rhoifolin)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pme0355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254.0579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C10208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Daidzein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pme0359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432.1056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5-O-glucoside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435.085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434.0849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3-alpha-L-arabinofuranoside (Avicularin)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299.063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300.0634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C04293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Chrysoeriol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577.164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578.1636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7-rutinoside (Isorhoifolin)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pme0369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593.159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3-O-rutinoside (Nicotiflorin)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pme0372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434.1213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C09099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 7-O-glucoside (Prunin)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C00509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pme0379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270.0528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C01477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pme0431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576.1268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Procyanidin A1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pme0434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578.1424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Procyanidin B2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pme0436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578.1424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Procyanidin B3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pme0442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C05908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Delphinidin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pme0450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L-Epicatechin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pme1201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273.084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C00774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Phloretin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pme1398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Delphinidin 3-O-glucoside (Mirtillin)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pme1478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318.038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C10107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Myricetin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pme1486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458.085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C09731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Epigallate catechin gallate (EGCG)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pme1500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Kumatakenin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pme1506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7-O-rhamnoside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pme1510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269.053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270.053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"Baicalein (5,6,7-Trihydroxyflavone)"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Epigallocatechin (EGC)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pme1518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403.132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402.132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C10112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Nobiletin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pme1521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C01617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Dihydroquercetin (Taxifolin)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pme1535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(+)-Gallocatechin (GC)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pme1539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623.169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624.169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3-O-neohesperidoside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pme1541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283.069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C01470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373.121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C10190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Tangeretin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pme1552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Myricetin 3-O-rhamnoside (Myricitrin)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pme1562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442.3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Epicatechin gallate (ECG)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pme1568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285.048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C10510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"Orobol (5,7,3',4'-tetrahydroxyisoflavone)"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pme1580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287.063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288.063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C05631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Eriodictyol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315.058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C10084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pme1598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463.132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464.132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5-O-glucoside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pme1599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7-O-Methyleriodictyol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417.111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416.111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Apigenin 4-O-rhamnoside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pme1605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593.159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3-O-robinobioside (Biorobin)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433.121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Isohemiphloin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C01714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Isovitexin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pme1662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287.084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C09833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sakuranetin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pme1667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C08064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Isovitexin 7-O-glucoside (Saponarin)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pme1773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C08620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3-O-rutinoside (Keracyanin)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pme1777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C08639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"Cyanidin 3,5-O-diglucoside (Cyanin)"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pme1793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C08725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Pelargonin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pme1824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154.027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C00230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Protocatechuic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pme2247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C10788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Ellagic acid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pme2319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C01709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pme2457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447.3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Luteolin 7-O-glucoside (Cynaroside)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pme2478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138.032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C16700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Protocatechuic aldehyde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pme2493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578.164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C16981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"Kaempferol 3,7-dirhamnoside (Kaempferitrin)"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pme2898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321.05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320.053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C02906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Dihydromyricetin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pme2949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609.19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610.19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C09755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Hesperetin 7-rutinoside (Hesperidin)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pme2954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303.043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C00389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C06561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Naringenin chalcone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pme2963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288.063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C00974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Aromadedrin (Dihydrokaempferol)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Flavonoid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pme2982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C09827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Pinocembrin (Dihydrochrysin)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pme2984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594.195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C09830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Isosakuranetin-7-neohesperidoside (Poncirin)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pme3130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4'-O-glucoside (Spiraeoside)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C16195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Glycitin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C05623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3-O-glucoside (Isotrifoliin)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C08650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Isoliquiritigenin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pme3268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C12626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3-O-galactoside (Trifolin)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pme3276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2'-Hydroxygenistein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pme3285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C09320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"Afzelechin (3,5,7,4'-Tetrahydroxyflavan)"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pme3288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330.074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C01265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"3,7-Di-O-methylquercetin"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C10521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Prunetin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pme3296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432.106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C16911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Kaempferol 3-O-rhamnoside (Kaempferin)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pme3303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C10192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pme3369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C10176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Rhamnetin (7-O-methxyl quercetin)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C12139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Petunidin 3-O-glucoside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Pelargonidin 3-O-beta-D-glucoside（Callistephin chloride)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288.063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C01378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Fustin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pme3399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445.12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446.121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C05376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Sissotrin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pme3401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C11620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Syringetin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pme3407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332.053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C12633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Laricitrin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pme3442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478.36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Quercetin 7-O-β-D-Glucuronide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pme3461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302.27876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C09756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Homoeriodictyol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pme3464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285.08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286.084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C05334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Isosakuranetin (4'-Methylnaringenin)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pme3473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C09614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pme3484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479.09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480.09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Myricetin 3-O-galactoside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pme3502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429.13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430.126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Formononetin 7-O-glucoside (Ononin)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pme3509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255.06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254.058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C12123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"7,4'-Dihydroxyflavone"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pme3514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302.04265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C10105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pme3609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287.24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C05905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pmf0011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"Apigenin 6,8-C-diglucoside"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pmf0012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594.1585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"6,8-di-C-glucoside Apigenine"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pmf0027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C08647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Cyanidin 3-O-galactoside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pmf0057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271.07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C06561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"4,2',4',6'-Tetrahydroxychalcone  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pmf0058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150.894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272.0685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C00509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"4',5,7-Trihydroxyflavanone"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pmf0109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312.9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314.0790382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3-O-Acetylpinobanksin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pmf0115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168.6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270.0528234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C10044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Galangin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pmf0179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623.169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624.169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Narcissoside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pmf0204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464.0955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pmf0208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465.0955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464.0955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Isoquercitroside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Flavonol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pmf0216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443.09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442.09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Catechin gallate，CG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pmf0233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595.1373409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594.1373409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C17140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Tiliroside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pmf0238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715.137756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716.137756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Theaflavin-3-gallate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pmf0240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715.1377348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563.3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716.1377348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Theaflavin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pmf0246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449.1005615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448.1005615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C10114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Orientin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pmf0260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373.120903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312.8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372.120903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C10186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Sinensetin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pmf0265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177.0266087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178.0266087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C09001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"5,7-Dihydroxychromone"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Isoflavone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pmf0274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301.042664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302.042664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Herbacetin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pmf0279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465.09549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464.09549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Gossypitrin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pmf0302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435.1213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434.1213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Engeletin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pmf0330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608.1741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C17834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Spinosin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pmf0344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274.0841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C12128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(-)-Epiafzelechin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pmf0361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450.11621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C17449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Astilbin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pmf0362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300.06339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Hydroxygenkwanin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pmf0369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478.14751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Persicoside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pmf0371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315.050489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316.058289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C10119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Pedalitin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pmf0374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477.103315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478.111115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Isorhamnetin 3-O-glucoside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pmf0379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457.0771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458.0849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Gallocatechin gallate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pmf0382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343.0818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344.0896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C19807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"5,7-Dihydroxy-3',4',5'-trimethoxyflavone"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pmf0392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315.0869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316.0947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Persicogenin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pmf0458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295.2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294.18311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C10462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6-Gingerol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pmf0472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565.1557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564.1479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C04858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pmf0550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609.1818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608.174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C10039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Diosmin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pmf0567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300.063385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C10534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Tectorigenin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pmf0582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7.91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324.136169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[M+H]+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C10421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Glabridin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pmf0583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436.136932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[M-H]-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C01604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Phloridzin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Polyphenol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pmf0615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641.4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641.4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"Petunidin 3, 5-diglucoside"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Proanthocyanidins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pmf0616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535.1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Malvidin 3-acetyl-5-diglucoside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Proanthocyanidins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pmf0617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787.23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463.4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</w:t>
            </w:r>
          </w:p>
        </w:tc>
        <w:tc>
          <w:tcPr>
            <w:tcW w:w="6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787.23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Protonated</w:t>
            </w:r>
          </w:p>
        </w:tc>
        <w:tc>
          <w:tcPr>
            <w:tcW w:w="53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5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Peonidin 3-sophoroside-5-glucoside.</w:t>
            </w:r>
          </w:p>
        </w:tc>
        <w:tc>
          <w:tcPr>
            <w:tcW w:w="7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Proanthocyanidins</w:t>
            </w:r>
          </w:p>
        </w:tc>
      </w:tr>
    </w:tbl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hint="eastAsia" w:ascii="Times New Roman" w:hAnsi="Times New Roman" w:cs="Times New Roman"/>
          <w:sz w:val="20"/>
          <w:szCs w:val="20"/>
        </w:rPr>
        <w:t>Statistical analysis of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i/>
          <w:iCs/>
          <w:sz w:val="20"/>
          <w:szCs w:val="20"/>
        </w:rPr>
        <w:t>L. chinense var. rubrum</w:t>
      </w:r>
      <w:r>
        <w:rPr>
          <w:rFonts w:hint="eastAsia" w:ascii="Times New Roman" w:hAnsi="Times New Roman" w:cs="Times New Roman"/>
          <w:sz w:val="20"/>
          <w:szCs w:val="20"/>
        </w:rPr>
        <w:t xml:space="preserve"> reads in 9 libraries (Each sample was repeated three times)</w:t>
      </w:r>
    </w:p>
    <w:tbl>
      <w:tblPr>
        <w:tblStyle w:val="9"/>
        <w:tblpPr w:leftFromText="180" w:rightFromText="180" w:vertAnchor="text" w:horzAnchor="page" w:tblpXSpec="center" w:tblpY="311"/>
        <w:tblOverlap w:val="never"/>
        <w:tblW w:w="91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025"/>
        <w:gridCol w:w="1075"/>
        <w:gridCol w:w="1075"/>
        <w:gridCol w:w="844"/>
        <w:gridCol w:w="932"/>
        <w:gridCol w:w="147"/>
        <w:gridCol w:w="864"/>
        <w:gridCol w:w="738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1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Library ID</w:t>
            </w:r>
          </w:p>
        </w:tc>
        <w:tc>
          <w:tcPr>
            <w:tcW w:w="102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Sample name</w:t>
            </w:r>
          </w:p>
        </w:tc>
        <w:tc>
          <w:tcPr>
            <w:tcW w:w="107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Raw reads</w:t>
            </w:r>
          </w:p>
        </w:tc>
        <w:tc>
          <w:tcPr>
            <w:tcW w:w="107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Clean reads</w:t>
            </w:r>
          </w:p>
        </w:tc>
        <w:tc>
          <w:tcPr>
            <w:tcW w:w="84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Clean bases</w:t>
            </w:r>
          </w:p>
        </w:tc>
        <w:tc>
          <w:tcPr>
            <w:tcW w:w="93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Error rate(%)</w:t>
            </w:r>
          </w:p>
        </w:tc>
        <w:tc>
          <w:tcPr>
            <w:tcW w:w="1011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Q20(%)</w:t>
            </w:r>
          </w:p>
        </w:tc>
        <w:tc>
          <w:tcPr>
            <w:tcW w:w="73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Q30(%)</w:t>
            </w:r>
          </w:p>
        </w:tc>
        <w:tc>
          <w:tcPr>
            <w:tcW w:w="99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GC content(%)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FRAS190049924-1a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GL1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82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265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722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385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416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12.21G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98.11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94.33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FRAS190049925-1a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GL2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504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090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072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6.61G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98.10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94.41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FRAS190049926-1a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GL3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902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157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8.72G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98.06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94.34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FRAS190049927-1a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PL1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49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725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49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208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7.38G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98.17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94.51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FRAS190049928-1a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PL2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46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297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074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45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802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6.87G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97.52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FRAS190049929-1a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PL3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924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52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538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7.88G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98.01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94.31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FRAS190049930-1a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ML1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183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014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613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790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6.09G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97.49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FRAS190049931-1a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ML2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319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012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856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576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6.13G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97.47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FRAS190049932-1a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ML3</w:t>
            </w:r>
          </w:p>
        </w:tc>
        <w:tc>
          <w:tcPr>
            <w:tcW w:w="107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641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036</w:t>
            </w:r>
          </w:p>
        </w:tc>
        <w:tc>
          <w:tcPr>
            <w:tcW w:w="107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168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464</w:t>
            </w:r>
          </w:p>
        </w:tc>
        <w:tc>
          <w:tcPr>
            <w:tcW w:w="84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6.03G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0.03</w:t>
            </w:r>
          </w:p>
        </w:tc>
        <w:tc>
          <w:tcPr>
            <w:tcW w:w="86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97.48</w:t>
            </w:r>
          </w:p>
        </w:tc>
        <w:tc>
          <w:tcPr>
            <w:tcW w:w="73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92.87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14"/>
              <w:widowControl w:val="0"/>
              <w:spacing w:line="276" w:lineRule="auto"/>
              <w:jc w:val="both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43.69</w:t>
            </w:r>
          </w:p>
        </w:tc>
      </w:tr>
    </w:tbl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hint="eastAsia" w:ascii="Times New Roman" w:hAnsi="Times New Roman" w:eastAsia="宋体"/>
          <w:sz w:val="20"/>
          <w:szCs w:val="20"/>
          <w:lang w:eastAsia="zh-CN"/>
        </w:rPr>
        <w:t>The length distribution of assembled unigenes</w:t>
      </w:r>
    </w:p>
    <w:tbl>
      <w:tblPr>
        <w:tblStyle w:val="9"/>
        <w:tblpPr w:leftFromText="180" w:rightFromText="180" w:vertAnchor="text" w:horzAnchor="page" w:tblpXSpec="center" w:tblpY="124"/>
        <w:tblOverlap w:val="never"/>
        <w:tblW w:w="3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8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  <w:t>L</w:t>
            </w:r>
            <w:r>
              <w:rPr>
                <w:rFonts w:hint="eastAsia"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  <w:t>ength range (bp)</w:t>
            </w:r>
          </w:p>
        </w:tc>
        <w:tc>
          <w:tcPr>
            <w:tcW w:w="1279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b/>
                <w:color w:val="262626"/>
                <w:sz w:val="20"/>
                <w:szCs w:val="20"/>
                <w:lang w:eastAsia="zh-CN" w:bidi="ar"/>
              </w:rPr>
              <w:t>Unigenes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&lt;500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110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500-1000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31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1000-2000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38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2000-3000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23,499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&gt;3000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27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Total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number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231,810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Total nucleotides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294,494,833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Max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length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21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,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Mean</w:t>
            </w: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length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7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N50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/>
              <w:jc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  <w:t>2608</w:t>
            </w:r>
          </w:p>
        </w:tc>
      </w:tr>
    </w:tbl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widowControl w:val="0"/>
        <w:jc w:val="both"/>
        <w:rPr>
          <w:rFonts w:ascii="Times New Roman" w:hAnsi="Times New Roman" w:eastAsia="宋体" w:cs="Times New Roman"/>
          <w:kern w:val="2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4.</w:t>
      </w:r>
      <w:r>
        <w:rPr>
          <w:rFonts w:ascii="Times New Roman" w:hAnsi="Times New Roman" w:eastAsia="宋体" w:cs="Times New Roman"/>
          <w:sz w:val="20"/>
          <w:szCs w:val="20"/>
          <w:lang w:eastAsia="zh-CN"/>
        </w:rPr>
        <w:t xml:space="preserve"> </w:t>
      </w:r>
      <w:r>
        <w:rPr>
          <w:rFonts w:ascii="Times New Roman" w:hAnsi="Times New Roman" w:eastAsia="宋体" w:cs="Times New Roman"/>
          <w:kern w:val="2"/>
          <w:sz w:val="20"/>
          <w:szCs w:val="20"/>
          <w:lang w:eastAsia="zh-CN"/>
        </w:rPr>
        <w:t>The unigenes were successfully annotated to the seven databases</w:t>
      </w:r>
    </w:p>
    <w:tbl>
      <w:tblPr>
        <w:tblStyle w:val="9"/>
        <w:tblpPr w:leftFromText="180" w:rightFromText="180" w:vertAnchor="text" w:horzAnchor="page" w:tblpXSpec="center" w:tblpY="305"/>
        <w:tblOverlap w:val="never"/>
        <w:tblW w:w="3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sz w:val="20"/>
                <w:szCs w:val="20"/>
                <w:lang w:eastAsia="zh-CN" w:bidi="ar"/>
              </w:rPr>
              <w:t>Database</w:t>
            </w:r>
          </w:p>
        </w:tc>
        <w:tc>
          <w:tcPr>
            <w:tcW w:w="219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sz w:val="20"/>
                <w:szCs w:val="20"/>
                <w:lang w:eastAsia="zh-CN" w:bidi="ar"/>
              </w:rPr>
              <w:t>Annotation num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NR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118,518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SwissProt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96,572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KEGG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115,058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KOG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75,254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GO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84,662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NT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88,001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Pfam</w:t>
            </w:r>
          </w:p>
        </w:tc>
        <w:tc>
          <w:tcPr>
            <w:tcW w:w="219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84,662</w:t>
            </w:r>
          </w:p>
        </w:tc>
      </w:tr>
    </w:tbl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52346AC"/>
    <w:rsid w:val="068074D1"/>
    <w:rsid w:val="06B924ED"/>
    <w:rsid w:val="109E2572"/>
    <w:rsid w:val="116F51BF"/>
    <w:rsid w:val="12005D42"/>
    <w:rsid w:val="22505880"/>
    <w:rsid w:val="29BD5F69"/>
    <w:rsid w:val="2EE4570F"/>
    <w:rsid w:val="393279C4"/>
    <w:rsid w:val="3AE86BEC"/>
    <w:rsid w:val="3E1F1580"/>
    <w:rsid w:val="495F66D4"/>
    <w:rsid w:val="4A8B0987"/>
    <w:rsid w:val="4B873DF2"/>
    <w:rsid w:val="4D9F2E26"/>
    <w:rsid w:val="4FDB2397"/>
    <w:rsid w:val="52BD63B6"/>
    <w:rsid w:val="646771ED"/>
    <w:rsid w:val="68B82CC6"/>
    <w:rsid w:val="6E0C2BED"/>
    <w:rsid w:val="6F301F11"/>
    <w:rsid w:val="76A24BCC"/>
    <w:rsid w:val="775B7373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qFormat/>
    <w:uiPriority w:val="0"/>
  </w:style>
  <w:style w:type="character" w:customStyle="1" w:styleId="17">
    <w:name w:val="comma"/>
    <w:basedOn w:val="10"/>
    <w:qFormat/>
    <w:uiPriority w:val="0"/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qFormat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tiff"/><Relationship Id="rId8" Type="http://schemas.openxmlformats.org/officeDocument/2006/relationships/image" Target="media/image1.tiff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1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2021-10-09T10:52:11Z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6425548D3B8F4BEBA4F1060A61D55B47</vt:lpwstr>
  </property>
</Properties>
</file>