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C675" w14:textId="77777777" w:rsidR="004B4A87" w:rsidRDefault="004B4A87" w:rsidP="004B4A87">
      <w:pPr>
        <w:spacing w:line="276" w:lineRule="auto"/>
        <w:jc w:val="both"/>
        <w:rPr>
          <w:rFonts w:asciiTheme="majorBidi" w:hAnsiTheme="majorBidi" w:cstheme="majorBidi"/>
          <w:b/>
          <w:bCs/>
          <w:sz w:val="22"/>
          <w:szCs w:val="22"/>
        </w:rPr>
      </w:pPr>
      <w:r w:rsidRPr="008477FA">
        <w:rPr>
          <w:rFonts w:asciiTheme="majorBidi" w:hAnsiTheme="majorBidi" w:cstheme="majorBidi"/>
          <w:b/>
          <w:bCs/>
          <w:sz w:val="22"/>
          <w:szCs w:val="22"/>
        </w:rPr>
        <w:t xml:space="preserve">Supplemental </w:t>
      </w:r>
      <w:r w:rsidRPr="00033FDA">
        <w:rPr>
          <w:rFonts w:asciiTheme="majorBidi" w:hAnsiTheme="majorBidi" w:cstheme="majorBidi"/>
          <w:b/>
          <w:bCs/>
          <w:sz w:val="22"/>
          <w:szCs w:val="22"/>
        </w:rPr>
        <w:t>Tables</w:t>
      </w:r>
      <w:r w:rsidRPr="008477FA">
        <w:rPr>
          <w:rFonts w:asciiTheme="majorBidi" w:hAnsiTheme="majorBidi" w:cstheme="majorBidi"/>
          <w:b/>
          <w:bCs/>
          <w:sz w:val="22"/>
          <w:szCs w:val="22"/>
        </w:rPr>
        <w:t xml:space="preserve"> and </w:t>
      </w:r>
      <w:r w:rsidRPr="00033FDA">
        <w:rPr>
          <w:rFonts w:asciiTheme="majorBidi" w:hAnsiTheme="majorBidi" w:cstheme="majorBidi"/>
          <w:b/>
          <w:bCs/>
          <w:sz w:val="22"/>
          <w:szCs w:val="22"/>
        </w:rPr>
        <w:t>Figures</w:t>
      </w:r>
      <w:r w:rsidRPr="008477FA">
        <w:rPr>
          <w:rFonts w:asciiTheme="majorBidi" w:hAnsiTheme="majorBidi" w:cstheme="majorBidi"/>
          <w:b/>
          <w:bCs/>
          <w:sz w:val="22"/>
          <w:szCs w:val="22"/>
        </w:rPr>
        <w:t>:</w:t>
      </w:r>
      <w:r w:rsidRPr="00033FDA">
        <w:rPr>
          <w:rFonts w:asciiTheme="majorBidi" w:hAnsiTheme="majorBidi" w:cstheme="majorBidi"/>
          <w:b/>
          <w:bCs/>
          <w:sz w:val="22"/>
          <w:szCs w:val="22"/>
        </w:rPr>
        <w:t> </w:t>
      </w:r>
    </w:p>
    <w:p w14:paraId="7D015A88" w14:textId="77777777" w:rsidR="004B4A87" w:rsidRPr="00033FDA" w:rsidRDefault="004B4A87" w:rsidP="004B4A87">
      <w:pPr>
        <w:spacing w:line="276" w:lineRule="auto"/>
        <w:jc w:val="both"/>
        <w:rPr>
          <w:rFonts w:asciiTheme="majorBidi" w:hAnsiTheme="majorBidi" w:cstheme="majorBidi"/>
          <w:b/>
          <w:bCs/>
          <w:sz w:val="22"/>
          <w:szCs w:val="22"/>
        </w:rPr>
      </w:pPr>
    </w:p>
    <w:p w14:paraId="37FB000E" w14:textId="77777777" w:rsidR="004B4A87" w:rsidRDefault="004B4A87" w:rsidP="004B4A87">
      <w:pPr>
        <w:rPr>
          <w:rFonts w:asciiTheme="majorBidi" w:hAnsiTheme="majorBidi" w:cstheme="majorBidi"/>
          <w:b/>
          <w:bCs/>
          <w:sz w:val="22"/>
          <w:szCs w:val="22"/>
        </w:rPr>
      </w:pPr>
    </w:p>
    <w:p w14:paraId="333DDB40" w14:textId="77777777" w:rsidR="004B4A87" w:rsidRPr="00F808B8" w:rsidRDefault="004B4A87" w:rsidP="004B4A87">
      <w:pPr>
        <w:rPr>
          <w:rFonts w:asciiTheme="majorBidi" w:hAnsiTheme="majorBidi" w:cstheme="majorBidi"/>
          <w:sz w:val="22"/>
          <w:szCs w:val="22"/>
        </w:rPr>
      </w:pPr>
      <w:r w:rsidRPr="00F808B8">
        <w:rPr>
          <w:rFonts w:asciiTheme="majorBidi" w:hAnsiTheme="majorBidi" w:cstheme="majorBidi"/>
          <w:b/>
          <w:bCs/>
          <w:sz w:val="22"/>
          <w:szCs w:val="22"/>
        </w:rPr>
        <w:t xml:space="preserve">Supplementary Table </w:t>
      </w:r>
      <w:r>
        <w:rPr>
          <w:rFonts w:asciiTheme="majorBidi" w:hAnsiTheme="majorBidi" w:cstheme="majorBidi"/>
          <w:b/>
          <w:bCs/>
          <w:sz w:val="22"/>
          <w:szCs w:val="22"/>
        </w:rPr>
        <w:t>1</w:t>
      </w:r>
      <w:r w:rsidRPr="00F808B8">
        <w:rPr>
          <w:rFonts w:asciiTheme="majorBidi" w:hAnsiTheme="majorBidi" w:cstheme="majorBidi"/>
          <w:b/>
          <w:bCs/>
          <w:sz w:val="22"/>
          <w:szCs w:val="22"/>
        </w:rPr>
        <w:t>.</w:t>
      </w:r>
      <w:r w:rsidRPr="00F808B8">
        <w:rPr>
          <w:rFonts w:asciiTheme="majorBidi" w:hAnsiTheme="majorBidi" w:cstheme="majorBidi"/>
          <w:sz w:val="22"/>
          <w:szCs w:val="22"/>
        </w:rPr>
        <w:t xml:space="preserve"> </w:t>
      </w:r>
      <w:r>
        <w:rPr>
          <w:rFonts w:asciiTheme="majorBidi" w:hAnsiTheme="majorBidi" w:cstheme="majorBidi"/>
          <w:sz w:val="22"/>
          <w:szCs w:val="22"/>
        </w:rPr>
        <w:t>S</w:t>
      </w:r>
      <w:r w:rsidRPr="00913488">
        <w:rPr>
          <w:rFonts w:asciiTheme="majorBidi" w:hAnsiTheme="majorBidi" w:cstheme="majorBidi"/>
          <w:sz w:val="22"/>
          <w:szCs w:val="22"/>
        </w:rPr>
        <w:t xml:space="preserve">ummary GWAS </w:t>
      </w:r>
      <w:r>
        <w:rPr>
          <w:rFonts w:asciiTheme="majorBidi" w:hAnsiTheme="majorBidi" w:cstheme="majorBidi"/>
          <w:sz w:val="22"/>
          <w:szCs w:val="22"/>
        </w:rPr>
        <w:t>s</w:t>
      </w:r>
      <w:r w:rsidRPr="00913488">
        <w:rPr>
          <w:rFonts w:asciiTheme="majorBidi" w:hAnsiTheme="majorBidi" w:cstheme="majorBidi"/>
          <w:sz w:val="22"/>
          <w:szCs w:val="22"/>
        </w:rPr>
        <w:t>tatistics for</w:t>
      </w:r>
      <w:r>
        <w:rPr>
          <w:rFonts w:asciiTheme="majorBidi" w:hAnsiTheme="majorBidi" w:cstheme="majorBidi"/>
          <w:sz w:val="22"/>
          <w:szCs w:val="22"/>
        </w:rPr>
        <w:t xml:space="preserve"> the</w:t>
      </w:r>
      <w:r w:rsidRPr="00913488">
        <w:rPr>
          <w:rFonts w:asciiTheme="majorBidi" w:hAnsiTheme="majorBidi" w:cstheme="majorBidi"/>
          <w:sz w:val="22"/>
          <w:szCs w:val="22"/>
        </w:rPr>
        <w:t xml:space="preserve"> mvAge </w:t>
      </w:r>
      <w:r>
        <w:rPr>
          <w:rFonts w:asciiTheme="majorBidi" w:hAnsiTheme="majorBidi" w:cstheme="majorBidi"/>
          <w:sz w:val="22"/>
          <w:szCs w:val="22"/>
        </w:rPr>
        <w:t>p</w:t>
      </w:r>
      <w:r w:rsidRPr="00913488">
        <w:rPr>
          <w:rFonts w:asciiTheme="majorBidi" w:hAnsiTheme="majorBidi" w:cstheme="majorBidi"/>
          <w:sz w:val="22"/>
          <w:szCs w:val="22"/>
        </w:rPr>
        <w:t xml:space="preserve">olygenic </w:t>
      </w:r>
      <w:r>
        <w:rPr>
          <w:rFonts w:asciiTheme="majorBidi" w:hAnsiTheme="majorBidi" w:cstheme="majorBidi"/>
          <w:sz w:val="22"/>
          <w:szCs w:val="22"/>
        </w:rPr>
        <w:t>r</w:t>
      </w:r>
      <w:r w:rsidRPr="00913488">
        <w:rPr>
          <w:rFonts w:asciiTheme="majorBidi" w:hAnsiTheme="majorBidi" w:cstheme="majorBidi"/>
          <w:sz w:val="22"/>
          <w:szCs w:val="22"/>
        </w:rPr>
        <w:t xml:space="preserve">isk </w:t>
      </w:r>
      <w:r>
        <w:rPr>
          <w:rFonts w:asciiTheme="majorBidi" w:hAnsiTheme="majorBidi" w:cstheme="majorBidi"/>
          <w:sz w:val="22"/>
          <w:szCs w:val="22"/>
        </w:rPr>
        <w:t>s</w:t>
      </w:r>
      <w:r w:rsidRPr="00913488">
        <w:rPr>
          <w:rFonts w:asciiTheme="majorBidi" w:hAnsiTheme="majorBidi" w:cstheme="majorBidi"/>
          <w:sz w:val="22"/>
          <w:szCs w:val="22"/>
        </w:rPr>
        <w:t>core</w:t>
      </w:r>
      <w:r>
        <w:rPr>
          <w:rFonts w:asciiTheme="majorBidi" w:hAnsiTheme="majorBidi" w:cstheme="majorBidi"/>
          <w:sz w:val="22"/>
          <w:szCs w:val="22"/>
        </w:rPr>
        <w:t xml:space="preserve">s </w:t>
      </w:r>
    </w:p>
    <w:p w14:paraId="6710E8A2" w14:textId="77777777" w:rsidR="004B4A87" w:rsidRDefault="004B4A87" w:rsidP="004B4A87">
      <w:pPr>
        <w:rPr>
          <w:rFonts w:asciiTheme="majorBidi" w:hAnsiTheme="majorBidi" w:cstheme="majorBidi"/>
          <w:b/>
          <w:bCs/>
          <w:sz w:val="22"/>
          <w:szCs w:val="22"/>
        </w:rPr>
      </w:pPr>
    </w:p>
    <w:tbl>
      <w:tblPr>
        <w:tblStyle w:val="TableGrid"/>
        <w:tblW w:w="0" w:type="auto"/>
        <w:tblLook w:val="04A0" w:firstRow="1" w:lastRow="0" w:firstColumn="1" w:lastColumn="0" w:noHBand="0" w:noVBand="1"/>
      </w:tblPr>
      <w:tblGrid>
        <w:gridCol w:w="2122"/>
        <w:gridCol w:w="1984"/>
        <w:gridCol w:w="1843"/>
        <w:gridCol w:w="1134"/>
      </w:tblGrid>
      <w:tr w:rsidR="004B4A87" w:rsidRPr="00913488" w14:paraId="25C70074" w14:textId="77777777" w:rsidTr="00FA77C9">
        <w:tc>
          <w:tcPr>
            <w:tcW w:w="2122" w:type="dxa"/>
          </w:tcPr>
          <w:p w14:paraId="0EB98C82" w14:textId="77777777" w:rsidR="004B4A87" w:rsidRPr="00913488" w:rsidRDefault="004B4A87" w:rsidP="00FA77C9">
            <w:pPr>
              <w:rPr>
                <w:rFonts w:ascii="Times New Roman" w:hAnsi="Times New Roman" w:cs="Times New Roman"/>
                <w:b/>
                <w:bCs/>
                <w:sz w:val="22"/>
                <w:szCs w:val="22"/>
              </w:rPr>
            </w:pPr>
            <w:r w:rsidRPr="00913488">
              <w:rPr>
                <w:rFonts w:ascii="Times New Roman" w:hAnsi="Times New Roman" w:cs="Times New Roman"/>
                <w:b/>
                <w:bCs/>
                <w:sz w:val="22"/>
                <w:szCs w:val="22"/>
              </w:rPr>
              <w:t>rsID</w:t>
            </w:r>
          </w:p>
        </w:tc>
        <w:tc>
          <w:tcPr>
            <w:tcW w:w="1984" w:type="dxa"/>
          </w:tcPr>
          <w:p w14:paraId="7F502227" w14:textId="77777777" w:rsidR="004B4A87" w:rsidRPr="00913488" w:rsidRDefault="004B4A87" w:rsidP="00FA77C9">
            <w:pPr>
              <w:rPr>
                <w:rFonts w:ascii="Times New Roman" w:hAnsi="Times New Roman" w:cs="Times New Roman"/>
                <w:b/>
                <w:bCs/>
                <w:sz w:val="22"/>
                <w:szCs w:val="22"/>
              </w:rPr>
            </w:pPr>
            <w:r w:rsidRPr="0098601A">
              <w:rPr>
                <w:rFonts w:ascii="Times New Roman" w:hAnsi="Times New Roman" w:cs="Times New Roman"/>
                <w:b/>
                <w:bCs/>
                <w:sz w:val="22"/>
                <w:szCs w:val="22"/>
              </w:rPr>
              <w:t>Location (chr, pos)</w:t>
            </w:r>
          </w:p>
        </w:tc>
        <w:tc>
          <w:tcPr>
            <w:tcW w:w="1843" w:type="dxa"/>
          </w:tcPr>
          <w:p w14:paraId="403B2495" w14:textId="77777777" w:rsidR="004B4A87" w:rsidRPr="00913488" w:rsidRDefault="004B4A87" w:rsidP="00FA77C9">
            <w:pPr>
              <w:rPr>
                <w:rFonts w:ascii="Times New Roman" w:hAnsi="Times New Roman" w:cs="Times New Roman"/>
                <w:b/>
                <w:bCs/>
                <w:sz w:val="22"/>
                <w:szCs w:val="22"/>
              </w:rPr>
            </w:pPr>
            <w:r w:rsidRPr="00913488">
              <w:rPr>
                <w:rFonts w:ascii="Times New Roman" w:hAnsi="Times New Roman" w:cs="Times New Roman"/>
                <w:b/>
                <w:bCs/>
                <w:sz w:val="22"/>
                <w:szCs w:val="22"/>
              </w:rPr>
              <w:t>Odds Ratio (OR)</w:t>
            </w:r>
          </w:p>
        </w:tc>
        <w:tc>
          <w:tcPr>
            <w:tcW w:w="1134" w:type="dxa"/>
          </w:tcPr>
          <w:p w14:paraId="37F7500E" w14:textId="77777777" w:rsidR="004B4A87" w:rsidRPr="00913488" w:rsidRDefault="004B4A87" w:rsidP="00FA77C9">
            <w:pPr>
              <w:rPr>
                <w:rFonts w:ascii="Times New Roman" w:hAnsi="Times New Roman" w:cs="Times New Roman"/>
                <w:b/>
                <w:bCs/>
                <w:sz w:val="22"/>
                <w:szCs w:val="22"/>
              </w:rPr>
            </w:pPr>
            <w:r w:rsidRPr="00913488">
              <w:rPr>
                <w:rFonts w:ascii="Times New Roman" w:hAnsi="Times New Roman" w:cs="Times New Roman"/>
                <w:b/>
                <w:bCs/>
                <w:sz w:val="22"/>
                <w:szCs w:val="22"/>
              </w:rPr>
              <w:t>Weight</w:t>
            </w:r>
          </w:p>
        </w:tc>
      </w:tr>
      <w:tr w:rsidR="004B4A87" w:rsidRPr="00913488" w14:paraId="51A71680" w14:textId="77777777" w:rsidTr="00FA77C9">
        <w:tc>
          <w:tcPr>
            <w:tcW w:w="2122" w:type="dxa"/>
          </w:tcPr>
          <w:p w14:paraId="5E693409"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rs11066320</w:t>
            </w:r>
          </w:p>
        </w:tc>
        <w:tc>
          <w:tcPr>
            <w:tcW w:w="1984" w:type="dxa"/>
            <w:vAlign w:val="bottom"/>
          </w:tcPr>
          <w:p w14:paraId="04FE2B91"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12</w:t>
            </w:r>
            <w:r>
              <w:rPr>
                <w:rFonts w:ascii="Times New Roman" w:hAnsi="Times New Roman" w:cs="Times New Roman"/>
                <w:sz w:val="22"/>
                <w:szCs w:val="22"/>
              </w:rPr>
              <w:t xml:space="preserve">, </w:t>
            </w:r>
            <w:r w:rsidRPr="00063DE7">
              <w:rPr>
                <w:rFonts w:ascii="Times New Roman" w:hAnsi="Times New Roman" w:cs="Times New Roman"/>
                <w:sz w:val="22"/>
                <w:szCs w:val="22"/>
              </w:rPr>
              <w:t>112906415</w:t>
            </w:r>
          </w:p>
        </w:tc>
        <w:tc>
          <w:tcPr>
            <w:tcW w:w="1843" w:type="dxa"/>
          </w:tcPr>
          <w:p w14:paraId="25DA1B8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0.993683</w:t>
            </w:r>
          </w:p>
        </w:tc>
        <w:tc>
          <w:tcPr>
            <w:tcW w:w="1134" w:type="dxa"/>
          </w:tcPr>
          <w:p w14:paraId="3B5F4A0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0.656049</w:t>
            </w:r>
          </w:p>
        </w:tc>
      </w:tr>
      <w:tr w:rsidR="004B4A87" w:rsidRPr="00913488" w14:paraId="5D23FBD7" w14:textId="77777777" w:rsidTr="00FA77C9">
        <w:tc>
          <w:tcPr>
            <w:tcW w:w="2122" w:type="dxa"/>
          </w:tcPr>
          <w:p w14:paraId="12171C4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rs1126809</w:t>
            </w:r>
          </w:p>
        </w:tc>
        <w:tc>
          <w:tcPr>
            <w:tcW w:w="1984" w:type="dxa"/>
            <w:vAlign w:val="bottom"/>
          </w:tcPr>
          <w:p w14:paraId="1BA54363"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11</w:t>
            </w:r>
            <w:r>
              <w:rPr>
                <w:rFonts w:ascii="Times New Roman" w:hAnsi="Times New Roman" w:cs="Times New Roman"/>
                <w:sz w:val="22"/>
                <w:szCs w:val="22"/>
              </w:rPr>
              <w:t xml:space="preserve">, </w:t>
            </w:r>
            <w:r w:rsidRPr="00063DE7">
              <w:rPr>
                <w:rFonts w:ascii="Times New Roman" w:hAnsi="Times New Roman" w:cs="Times New Roman"/>
                <w:sz w:val="22"/>
                <w:szCs w:val="22"/>
              </w:rPr>
              <w:t>89017961</w:t>
            </w:r>
          </w:p>
        </w:tc>
        <w:tc>
          <w:tcPr>
            <w:tcW w:w="1843" w:type="dxa"/>
          </w:tcPr>
          <w:p w14:paraId="2E16F42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1.006641</w:t>
            </w:r>
          </w:p>
        </w:tc>
        <w:tc>
          <w:tcPr>
            <w:tcW w:w="1134" w:type="dxa"/>
          </w:tcPr>
          <w:p w14:paraId="41A11EB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0.502494</w:t>
            </w:r>
          </w:p>
        </w:tc>
      </w:tr>
      <w:tr w:rsidR="004B4A87" w:rsidRPr="00913488" w14:paraId="1FAE1C74" w14:textId="77777777" w:rsidTr="00FA77C9">
        <w:tc>
          <w:tcPr>
            <w:tcW w:w="2122" w:type="dxa"/>
          </w:tcPr>
          <w:p w14:paraId="48814B2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rs114298671</w:t>
            </w:r>
          </w:p>
        </w:tc>
        <w:tc>
          <w:tcPr>
            <w:tcW w:w="1984" w:type="dxa"/>
          </w:tcPr>
          <w:p w14:paraId="232C4400" w14:textId="77777777" w:rsidR="004B4A87" w:rsidRPr="00913488" w:rsidRDefault="004B4A87" w:rsidP="00FA77C9">
            <w:pPr>
              <w:rPr>
                <w:rFonts w:ascii="Times New Roman" w:hAnsi="Times New Roman" w:cs="Times New Roman"/>
                <w:sz w:val="22"/>
                <w:szCs w:val="22"/>
              </w:rPr>
            </w:pPr>
            <w:r w:rsidRPr="005B6EB3">
              <w:rPr>
                <w:rFonts w:ascii="Times New Roman" w:hAnsi="Times New Roman" w:cs="Times New Roman"/>
                <w:sz w:val="22"/>
                <w:szCs w:val="22"/>
              </w:rPr>
              <w:t>4,</w:t>
            </w:r>
            <w:r>
              <w:rPr>
                <w:rFonts w:ascii="Times New Roman" w:hAnsi="Times New Roman" w:cs="Times New Roman"/>
                <w:sz w:val="22"/>
                <w:szCs w:val="22"/>
              </w:rPr>
              <w:t xml:space="preserve"> </w:t>
            </w:r>
            <w:r w:rsidRPr="005B6EB3">
              <w:rPr>
                <w:rFonts w:ascii="Times New Roman" w:hAnsi="Times New Roman" w:cs="Times New Roman"/>
                <w:sz w:val="22"/>
                <w:szCs w:val="22"/>
              </w:rPr>
              <w:t>3281869</w:t>
            </w:r>
          </w:p>
        </w:tc>
        <w:tc>
          <w:tcPr>
            <w:tcW w:w="1843" w:type="dxa"/>
          </w:tcPr>
          <w:p w14:paraId="7439760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1.008907</w:t>
            </w:r>
          </w:p>
        </w:tc>
        <w:tc>
          <w:tcPr>
            <w:tcW w:w="1134" w:type="dxa"/>
          </w:tcPr>
          <w:p w14:paraId="5B712BE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0.349714</w:t>
            </w:r>
          </w:p>
        </w:tc>
      </w:tr>
      <w:tr w:rsidR="004B4A87" w:rsidRPr="00913488" w14:paraId="30BBC563" w14:textId="77777777" w:rsidTr="00FA77C9">
        <w:tc>
          <w:tcPr>
            <w:tcW w:w="2122" w:type="dxa"/>
          </w:tcPr>
          <w:p w14:paraId="7586585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rs12203592</w:t>
            </w:r>
          </w:p>
        </w:tc>
        <w:tc>
          <w:tcPr>
            <w:tcW w:w="1984" w:type="dxa"/>
            <w:vAlign w:val="bottom"/>
          </w:tcPr>
          <w:p w14:paraId="3DF714E3"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6</w:t>
            </w:r>
            <w:r>
              <w:rPr>
                <w:rFonts w:ascii="Times New Roman" w:hAnsi="Times New Roman" w:cs="Times New Roman"/>
                <w:sz w:val="22"/>
                <w:szCs w:val="22"/>
              </w:rPr>
              <w:t xml:space="preserve">, </w:t>
            </w:r>
            <w:r w:rsidRPr="00063DE7">
              <w:rPr>
                <w:rFonts w:ascii="Times New Roman" w:hAnsi="Times New Roman" w:cs="Times New Roman"/>
                <w:sz w:val="22"/>
                <w:szCs w:val="22"/>
              </w:rPr>
              <w:t>396321</w:t>
            </w:r>
          </w:p>
        </w:tc>
        <w:tc>
          <w:tcPr>
            <w:tcW w:w="1843" w:type="dxa"/>
          </w:tcPr>
          <w:p w14:paraId="4AE90CE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1.010903</w:t>
            </w:r>
          </w:p>
        </w:tc>
        <w:tc>
          <w:tcPr>
            <w:tcW w:w="1134" w:type="dxa"/>
          </w:tcPr>
          <w:p w14:paraId="699FC0F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0.341028</w:t>
            </w:r>
          </w:p>
        </w:tc>
      </w:tr>
      <w:tr w:rsidR="004B4A87" w:rsidRPr="00913488" w14:paraId="3A22DFCC" w14:textId="77777777" w:rsidTr="00FA77C9">
        <w:tc>
          <w:tcPr>
            <w:tcW w:w="2122" w:type="dxa"/>
          </w:tcPr>
          <w:p w14:paraId="2E903D2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rs1230666</w:t>
            </w:r>
          </w:p>
        </w:tc>
        <w:tc>
          <w:tcPr>
            <w:tcW w:w="1984" w:type="dxa"/>
            <w:vAlign w:val="bottom"/>
          </w:tcPr>
          <w:p w14:paraId="6E8616D8"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w:t>
            </w:r>
            <w:r>
              <w:rPr>
                <w:rFonts w:ascii="Times New Roman" w:hAnsi="Times New Roman" w:cs="Times New Roman"/>
                <w:sz w:val="22"/>
                <w:szCs w:val="22"/>
              </w:rPr>
              <w:t xml:space="preserve">, </w:t>
            </w:r>
            <w:r w:rsidRPr="00063DE7">
              <w:rPr>
                <w:rFonts w:ascii="Times New Roman" w:hAnsi="Times New Roman" w:cs="Times New Roman"/>
                <w:sz w:val="22"/>
                <w:szCs w:val="22"/>
              </w:rPr>
              <w:t>114173410</w:t>
            </w:r>
          </w:p>
        </w:tc>
        <w:tc>
          <w:tcPr>
            <w:tcW w:w="1843" w:type="dxa"/>
          </w:tcPr>
          <w:p w14:paraId="29273FF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0.989890</w:t>
            </w:r>
          </w:p>
        </w:tc>
        <w:tc>
          <w:tcPr>
            <w:tcW w:w="1134" w:type="dxa"/>
          </w:tcPr>
          <w:p w14:paraId="61CE15B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0.373095</w:t>
            </w:r>
          </w:p>
        </w:tc>
      </w:tr>
      <w:tr w:rsidR="004B4A87" w:rsidRPr="00913488" w14:paraId="755025F7" w14:textId="77777777" w:rsidTr="00FA77C9">
        <w:tc>
          <w:tcPr>
            <w:tcW w:w="2122" w:type="dxa"/>
          </w:tcPr>
          <w:p w14:paraId="66F06D4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rs12705966</w:t>
            </w:r>
          </w:p>
        </w:tc>
        <w:tc>
          <w:tcPr>
            <w:tcW w:w="1984" w:type="dxa"/>
            <w:vAlign w:val="bottom"/>
          </w:tcPr>
          <w:p w14:paraId="309DF4CC"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7</w:t>
            </w:r>
            <w:r>
              <w:rPr>
                <w:rFonts w:ascii="Times New Roman" w:hAnsi="Times New Roman" w:cs="Times New Roman"/>
                <w:sz w:val="22"/>
                <w:szCs w:val="22"/>
              </w:rPr>
              <w:t xml:space="preserve">, </w:t>
            </w:r>
            <w:r w:rsidRPr="00063DE7">
              <w:rPr>
                <w:rFonts w:ascii="Times New Roman" w:hAnsi="Times New Roman" w:cs="Times New Roman"/>
                <w:sz w:val="22"/>
                <w:szCs w:val="22"/>
              </w:rPr>
              <w:t>114248851</w:t>
            </w:r>
          </w:p>
        </w:tc>
        <w:tc>
          <w:tcPr>
            <w:tcW w:w="1843" w:type="dxa"/>
          </w:tcPr>
          <w:p w14:paraId="36C4F71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0.993978</w:t>
            </w:r>
          </w:p>
        </w:tc>
        <w:tc>
          <w:tcPr>
            <w:tcW w:w="1134" w:type="dxa"/>
          </w:tcPr>
          <w:p w14:paraId="3D4759E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0.609754</w:t>
            </w:r>
          </w:p>
        </w:tc>
      </w:tr>
      <w:tr w:rsidR="004B4A87" w:rsidRPr="00913488" w14:paraId="343236F2" w14:textId="77777777" w:rsidTr="00FA77C9">
        <w:tc>
          <w:tcPr>
            <w:tcW w:w="2122" w:type="dxa"/>
          </w:tcPr>
          <w:p w14:paraId="1ECD600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rs1275922</w:t>
            </w:r>
          </w:p>
        </w:tc>
        <w:tc>
          <w:tcPr>
            <w:tcW w:w="1984" w:type="dxa"/>
            <w:vAlign w:val="bottom"/>
          </w:tcPr>
          <w:p w14:paraId="47E9CA94"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2</w:t>
            </w:r>
            <w:r>
              <w:rPr>
                <w:rFonts w:ascii="Times New Roman" w:hAnsi="Times New Roman" w:cs="Times New Roman"/>
                <w:sz w:val="22"/>
                <w:szCs w:val="22"/>
              </w:rPr>
              <w:t xml:space="preserve">, </w:t>
            </w:r>
            <w:r w:rsidRPr="00063DE7">
              <w:rPr>
                <w:rFonts w:ascii="Times New Roman" w:hAnsi="Times New Roman" w:cs="Times New Roman"/>
                <w:sz w:val="22"/>
                <w:szCs w:val="22"/>
              </w:rPr>
              <w:t>26932887</w:t>
            </w:r>
          </w:p>
        </w:tc>
        <w:tc>
          <w:tcPr>
            <w:tcW w:w="1843" w:type="dxa"/>
          </w:tcPr>
          <w:p w14:paraId="6F0D680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0.993025</w:t>
            </w:r>
          </w:p>
        </w:tc>
        <w:tc>
          <w:tcPr>
            <w:tcW w:w="1134" w:type="dxa"/>
          </w:tcPr>
          <w:p w14:paraId="705CD3B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0.520961</w:t>
            </w:r>
          </w:p>
        </w:tc>
      </w:tr>
      <w:tr w:rsidR="004B4A87" w:rsidRPr="00913488" w14:paraId="60DE9702" w14:textId="77777777" w:rsidTr="00FA77C9">
        <w:tc>
          <w:tcPr>
            <w:tcW w:w="2122" w:type="dxa"/>
          </w:tcPr>
          <w:p w14:paraId="0572AF5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rs12769128</w:t>
            </w:r>
          </w:p>
        </w:tc>
        <w:tc>
          <w:tcPr>
            <w:tcW w:w="1984" w:type="dxa"/>
          </w:tcPr>
          <w:p w14:paraId="1BBC8241" w14:textId="77777777" w:rsidR="004B4A87" w:rsidRPr="00913488" w:rsidRDefault="004B4A87" w:rsidP="00FA77C9">
            <w:pPr>
              <w:rPr>
                <w:rFonts w:ascii="Times New Roman" w:hAnsi="Times New Roman" w:cs="Times New Roman"/>
                <w:sz w:val="22"/>
                <w:szCs w:val="22"/>
              </w:rPr>
            </w:pPr>
            <w:r w:rsidRPr="005B6EB3">
              <w:rPr>
                <w:rFonts w:ascii="Times New Roman" w:hAnsi="Times New Roman" w:cs="Times New Roman"/>
                <w:sz w:val="22"/>
                <w:szCs w:val="22"/>
              </w:rPr>
              <w:t>10,</w:t>
            </w:r>
            <w:r>
              <w:rPr>
                <w:rFonts w:ascii="Times New Roman" w:hAnsi="Times New Roman" w:cs="Times New Roman"/>
                <w:sz w:val="22"/>
                <w:szCs w:val="22"/>
              </w:rPr>
              <w:t xml:space="preserve"> </w:t>
            </w:r>
            <w:r w:rsidRPr="005B6EB3">
              <w:rPr>
                <w:rFonts w:ascii="Times New Roman" w:hAnsi="Times New Roman" w:cs="Times New Roman"/>
                <w:sz w:val="22"/>
                <w:szCs w:val="22"/>
              </w:rPr>
              <w:t>21883430</w:t>
            </w:r>
          </w:p>
        </w:tc>
        <w:tc>
          <w:tcPr>
            <w:tcW w:w="1843" w:type="dxa"/>
          </w:tcPr>
          <w:p w14:paraId="29DDCA9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1.006005</w:t>
            </w:r>
          </w:p>
        </w:tc>
        <w:tc>
          <w:tcPr>
            <w:tcW w:w="1134" w:type="dxa"/>
          </w:tcPr>
          <w:p w14:paraId="3CB0ACB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0.566657</w:t>
            </w:r>
          </w:p>
        </w:tc>
      </w:tr>
      <w:tr w:rsidR="004B4A87" w:rsidRPr="00913488" w14:paraId="1128C2BE" w14:textId="77777777" w:rsidTr="00FA77C9">
        <w:tc>
          <w:tcPr>
            <w:tcW w:w="2122" w:type="dxa"/>
          </w:tcPr>
          <w:p w14:paraId="5654203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rs13141210</w:t>
            </w:r>
          </w:p>
        </w:tc>
        <w:tc>
          <w:tcPr>
            <w:tcW w:w="1984" w:type="dxa"/>
          </w:tcPr>
          <w:p w14:paraId="74649473" w14:textId="77777777" w:rsidR="004B4A87" w:rsidRPr="00913488" w:rsidRDefault="004B4A87" w:rsidP="00FA77C9">
            <w:pPr>
              <w:rPr>
                <w:rFonts w:ascii="Times New Roman" w:hAnsi="Times New Roman" w:cs="Times New Roman"/>
                <w:sz w:val="22"/>
                <w:szCs w:val="22"/>
              </w:rPr>
            </w:pPr>
            <w:r w:rsidRPr="005B6EB3">
              <w:rPr>
                <w:rFonts w:ascii="Times New Roman" w:hAnsi="Times New Roman" w:cs="Times New Roman"/>
                <w:sz w:val="22"/>
                <w:szCs w:val="22"/>
              </w:rPr>
              <w:t>4,</w:t>
            </w:r>
            <w:r>
              <w:rPr>
                <w:rFonts w:ascii="Times New Roman" w:hAnsi="Times New Roman" w:cs="Times New Roman"/>
                <w:sz w:val="22"/>
                <w:szCs w:val="22"/>
              </w:rPr>
              <w:t xml:space="preserve"> </w:t>
            </w:r>
            <w:r w:rsidRPr="005B6EB3">
              <w:rPr>
                <w:rFonts w:ascii="Times New Roman" w:hAnsi="Times New Roman" w:cs="Times New Roman"/>
                <w:sz w:val="22"/>
                <w:szCs w:val="22"/>
              </w:rPr>
              <w:t>67891641</w:t>
            </w:r>
          </w:p>
        </w:tc>
        <w:tc>
          <w:tcPr>
            <w:tcW w:w="1843" w:type="dxa"/>
          </w:tcPr>
          <w:p w14:paraId="51A0020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0.994183</w:t>
            </w:r>
          </w:p>
        </w:tc>
        <w:tc>
          <w:tcPr>
            <w:tcW w:w="1134" w:type="dxa"/>
          </w:tcPr>
          <w:p w14:paraId="0279AE84"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0.705691</w:t>
            </w:r>
          </w:p>
        </w:tc>
      </w:tr>
      <w:tr w:rsidR="004B4A87" w:rsidRPr="00913488" w14:paraId="71E38D7A" w14:textId="77777777" w:rsidTr="00FA77C9">
        <w:tc>
          <w:tcPr>
            <w:tcW w:w="2122" w:type="dxa"/>
          </w:tcPr>
          <w:p w14:paraId="63C39CC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rs142158911</w:t>
            </w:r>
          </w:p>
        </w:tc>
        <w:tc>
          <w:tcPr>
            <w:tcW w:w="1984" w:type="dxa"/>
            <w:vAlign w:val="bottom"/>
          </w:tcPr>
          <w:p w14:paraId="6261B5FC"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19</w:t>
            </w:r>
            <w:r>
              <w:rPr>
                <w:rFonts w:ascii="Times New Roman" w:hAnsi="Times New Roman" w:cs="Times New Roman"/>
                <w:sz w:val="22"/>
                <w:szCs w:val="22"/>
              </w:rPr>
              <w:t xml:space="preserve">, </w:t>
            </w:r>
            <w:r w:rsidRPr="00063DE7">
              <w:rPr>
                <w:rFonts w:ascii="Times New Roman" w:hAnsi="Times New Roman" w:cs="Times New Roman"/>
                <w:sz w:val="22"/>
                <w:szCs w:val="22"/>
              </w:rPr>
              <w:t>11190534</w:t>
            </w:r>
          </w:p>
        </w:tc>
        <w:tc>
          <w:tcPr>
            <w:tcW w:w="1843" w:type="dxa"/>
          </w:tcPr>
          <w:p w14:paraId="598F79E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0.989943</w:t>
            </w:r>
          </w:p>
        </w:tc>
        <w:tc>
          <w:tcPr>
            <w:tcW w:w="1134" w:type="dxa"/>
          </w:tcPr>
          <w:p w14:paraId="7043BE2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0.335112</w:t>
            </w:r>
          </w:p>
        </w:tc>
      </w:tr>
      <w:tr w:rsidR="004B4A87" w:rsidRPr="00913488" w14:paraId="1C18AF83" w14:textId="77777777" w:rsidTr="00FA77C9">
        <w:tc>
          <w:tcPr>
            <w:tcW w:w="2122" w:type="dxa"/>
          </w:tcPr>
          <w:p w14:paraId="41B765F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rs157581</w:t>
            </w:r>
          </w:p>
        </w:tc>
        <w:tc>
          <w:tcPr>
            <w:tcW w:w="1984" w:type="dxa"/>
            <w:vAlign w:val="bottom"/>
          </w:tcPr>
          <w:p w14:paraId="33CEF305"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19</w:t>
            </w:r>
            <w:r>
              <w:rPr>
                <w:rFonts w:ascii="Times New Roman" w:hAnsi="Times New Roman" w:cs="Times New Roman"/>
                <w:sz w:val="22"/>
                <w:szCs w:val="22"/>
              </w:rPr>
              <w:t xml:space="preserve">, </w:t>
            </w:r>
            <w:r w:rsidRPr="00063DE7">
              <w:rPr>
                <w:rFonts w:ascii="Times New Roman" w:hAnsi="Times New Roman" w:cs="Times New Roman"/>
                <w:sz w:val="22"/>
                <w:szCs w:val="22"/>
              </w:rPr>
              <w:t>45395714</w:t>
            </w:r>
          </w:p>
        </w:tc>
        <w:tc>
          <w:tcPr>
            <w:tcW w:w="1843" w:type="dxa"/>
          </w:tcPr>
          <w:p w14:paraId="254DD53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1.016115</w:t>
            </w:r>
          </w:p>
        </w:tc>
        <w:tc>
          <w:tcPr>
            <w:tcW w:w="1134" w:type="dxa"/>
          </w:tcPr>
          <w:p w14:paraId="35F8927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0.455851</w:t>
            </w:r>
          </w:p>
        </w:tc>
      </w:tr>
      <w:tr w:rsidR="004B4A87" w:rsidRPr="00913488" w14:paraId="2DD5EDBC" w14:textId="77777777" w:rsidTr="00FA77C9">
        <w:tc>
          <w:tcPr>
            <w:tcW w:w="2122" w:type="dxa"/>
          </w:tcPr>
          <w:p w14:paraId="7A11EFD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rs159428</w:t>
            </w:r>
          </w:p>
        </w:tc>
        <w:tc>
          <w:tcPr>
            <w:tcW w:w="1984" w:type="dxa"/>
            <w:vAlign w:val="bottom"/>
          </w:tcPr>
          <w:p w14:paraId="1D2B9866"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20</w:t>
            </w:r>
            <w:r>
              <w:rPr>
                <w:rFonts w:ascii="Times New Roman" w:hAnsi="Times New Roman" w:cs="Times New Roman"/>
                <w:sz w:val="22"/>
                <w:szCs w:val="22"/>
              </w:rPr>
              <w:t xml:space="preserve">, </w:t>
            </w:r>
            <w:r w:rsidRPr="00063DE7">
              <w:rPr>
                <w:rFonts w:ascii="Times New Roman" w:hAnsi="Times New Roman" w:cs="Times New Roman"/>
                <w:sz w:val="22"/>
                <w:szCs w:val="22"/>
              </w:rPr>
              <w:t>31099311</w:t>
            </w:r>
          </w:p>
        </w:tc>
        <w:tc>
          <w:tcPr>
            <w:tcW w:w="1843" w:type="dxa"/>
          </w:tcPr>
          <w:p w14:paraId="2C82540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1.006271</w:t>
            </w:r>
          </w:p>
        </w:tc>
        <w:tc>
          <w:tcPr>
            <w:tcW w:w="1134" w:type="dxa"/>
          </w:tcPr>
          <w:p w14:paraId="1EDD60C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0.696491</w:t>
            </w:r>
          </w:p>
        </w:tc>
      </w:tr>
      <w:tr w:rsidR="004B4A87" w:rsidRPr="00913488" w14:paraId="63FEA090" w14:textId="77777777" w:rsidTr="00FA77C9">
        <w:tc>
          <w:tcPr>
            <w:tcW w:w="2122" w:type="dxa"/>
          </w:tcPr>
          <w:p w14:paraId="030E176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rs16843603</w:t>
            </w:r>
          </w:p>
        </w:tc>
        <w:tc>
          <w:tcPr>
            <w:tcW w:w="1984" w:type="dxa"/>
            <w:vAlign w:val="bottom"/>
          </w:tcPr>
          <w:p w14:paraId="4EA540B5"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4</w:t>
            </w:r>
            <w:r>
              <w:rPr>
                <w:rFonts w:ascii="Times New Roman" w:hAnsi="Times New Roman" w:cs="Times New Roman"/>
                <w:sz w:val="22"/>
                <w:szCs w:val="22"/>
              </w:rPr>
              <w:t xml:space="preserve">, </w:t>
            </w:r>
            <w:r w:rsidRPr="00063DE7">
              <w:rPr>
                <w:rFonts w:ascii="Times New Roman" w:hAnsi="Times New Roman" w:cs="Times New Roman"/>
                <w:sz w:val="22"/>
                <w:szCs w:val="22"/>
              </w:rPr>
              <w:t>2928577</w:t>
            </w:r>
          </w:p>
        </w:tc>
        <w:tc>
          <w:tcPr>
            <w:tcW w:w="1843" w:type="dxa"/>
          </w:tcPr>
          <w:p w14:paraId="34B03B9F"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0.992974</w:t>
            </w:r>
          </w:p>
        </w:tc>
        <w:tc>
          <w:tcPr>
            <w:tcW w:w="1134" w:type="dxa"/>
          </w:tcPr>
          <w:p w14:paraId="67EC016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0.552449</w:t>
            </w:r>
          </w:p>
        </w:tc>
      </w:tr>
      <w:tr w:rsidR="004B4A87" w:rsidRPr="00913488" w14:paraId="36B47B38" w14:textId="77777777" w:rsidTr="00FA77C9">
        <w:tc>
          <w:tcPr>
            <w:tcW w:w="2122" w:type="dxa"/>
          </w:tcPr>
          <w:p w14:paraId="3A628D7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rs16843836</w:t>
            </w:r>
          </w:p>
        </w:tc>
        <w:tc>
          <w:tcPr>
            <w:tcW w:w="1984" w:type="dxa"/>
            <w:vAlign w:val="bottom"/>
          </w:tcPr>
          <w:p w14:paraId="71DA6100"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4</w:t>
            </w:r>
            <w:r>
              <w:rPr>
                <w:rFonts w:ascii="Times New Roman" w:hAnsi="Times New Roman" w:cs="Times New Roman"/>
                <w:sz w:val="22"/>
                <w:szCs w:val="22"/>
              </w:rPr>
              <w:t xml:space="preserve">, </w:t>
            </w:r>
            <w:r w:rsidRPr="00063DE7">
              <w:rPr>
                <w:rFonts w:ascii="Times New Roman" w:hAnsi="Times New Roman" w:cs="Times New Roman"/>
                <w:sz w:val="22"/>
                <w:szCs w:val="22"/>
              </w:rPr>
              <w:t>3113337</w:t>
            </w:r>
          </w:p>
        </w:tc>
        <w:tc>
          <w:tcPr>
            <w:tcW w:w="1843" w:type="dxa"/>
          </w:tcPr>
          <w:p w14:paraId="61C83B7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0.992028</w:t>
            </w:r>
          </w:p>
        </w:tc>
        <w:tc>
          <w:tcPr>
            <w:tcW w:w="1134" w:type="dxa"/>
          </w:tcPr>
          <w:p w14:paraId="599EA889"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0.555968</w:t>
            </w:r>
          </w:p>
        </w:tc>
      </w:tr>
      <w:tr w:rsidR="004B4A87" w:rsidRPr="00913488" w14:paraId="59D7B570" w14:textId="77777777" w:rsidTr="00FA77C9">
        <w:tc>
          <w:tcPr>
            <w:tcW w:w="2122" w:type="dxa"/>
          </w:tcPr>
          <w:p w14:paraId="44E7D8F4"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rs1689406</w:t>
            </w:r>
          </w:p>
        </w:tc>
        <w:tc>
          <w:tcPr>
            <w:tcW w:w="1984" w:type="dxa"/>
          </w:tcPr>
          <w:p w14:paraId="0D7AD8AB" w14:textId="77777777" w:rsidR="004B4A87" w:rsidRPr="00913488" w:rsidRDefault="004B4A87" w:rsidP="00FA77C9">
            <w:pPr>
              <w:rPr>
                <w:rFonts w:ascii="Times New Roman" w:hAnsi="Times New Roman" w:cs="Times New Roman"/>
                <w:sz w:val="22"/>
                <w:szCs w:val="22"/>
              </w:rPr>
            </w:pPr>
            <w:r w:rsidRPr="005B6EB3">
              <w:rPr>
                <w:rFonts w:ascii="Times New Roman" w:hAnsi="Times New Roman" w:cs="Times New Roman"/>
                <w:sz w:val="22"/>
                <w:szCs w:val="22"/>
              </w:rPr>
              <w:t>12,</w:t>
            </w:r>
            <w:r>
              <w:rPr>
                <w:rFonts w:ascii="Times New Roman" w:hAnsi="Times New Roman" w:cs="Times New Roman"/>
                <w:sz w:val="22"/>
                <w:szCs w:val="22"/>
              </w:rPr>
              <w:t xml:space="preserve"> </w:t>
            </w:r>
            <w:r w:rsidRPr="005B6EB3">
              <w:rPr>
                <w:rFonts w:ascii="Times New Roman" w:hAnsi="Times New Roman" w:cs="Times New Roman"/>
                <w:sz w:val="22"/>
                <w:szCs w:val="22"/>
              </w:rPr>
              <w:t>89754726</w:t>
            </w:r>
          </w:p>
        </w:tc>
        <w:tc>
          <w:tcPr>
            <w:tcW w:w="1843" w:type="dxa"/>
          </w:tcPr>
          <w:p w14:paraId="3CD6CB4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1.006968</w:t>
            </w:r>
          </w:p>
        </w:tc>
        <w:tc>
          <w:tcPr>
            <w:tcW w:w="1134" w:type="dxa"/>
          </w:tcPr>
          <w:p w14:paraId="1741FEC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0.448107</w:t>
            </w:r>
          </w:p>
        </w:tc>
      </w:tr>
      <w:tr w:rsidR="004B4A87" w:rsidRPr="00913488" w14:paraId="41A46444" w14:textId="77777777" w:rsidTr="00FA77C9">
        <w:tc>
          <w:tcPr>
            <w:tcW w:w="2122" w:type="dxa"/>
          </w:tcPr>
          <w:p w14:paraId="43587CC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rs17499404</w:t>
            </w:r>
          </w:p>
        </w:tc>
        <w:tc>
          <w:tcPr>
            <w:tcW w:w="1984" w:type="dxa"/>
          </w:tcPr>
          <w:p w14:paraId="34B7B822" w14:textId="77777777" w:rsidR="004B4A87" w:rsidRPr="00913488" w:rsidRDefault="004B4A87" w:rsidP="00FA77C9">
            <w:pPr>
              <w:rPr>
                <w:rFonts w:ascii="Times New Roman" w:hAnsi="Times New Roman" w:cs="Times New Roman"/>
                <w:sz w:val="22"/>
                <w:szCs w:val="22"/>
              </w:rPr>
            </w:pPr>
            <w:r w:rsidRPr="005B6EB3">
              <w:rPr>
                <w:rFonts w:ascii="Times New Roman" w:hAnsi="Times New Roman" w:cs="Times New Roman"/>
                <w:sz w:val="22"/>
                <w:szCs w:val="22"/>
              </w:rPr>
              <w:t>4,</w:t>
            </w:r>
            <w:r>
              <w:rPr>
                <w:rFonts w:ascii="Times New Roman" w:hAnsi="Times New Roman" w:cs="Times New Roman"/>
                <w:sz w:val="22"/>
                <w:szCs w:val="22"/>
              </w:rPr>
              <w:t xml:space="preserve"> </w:t>
            </w:r>
            <w:r w:rsidRPr="005B6EB3">
              <w:rPr>
                <w:rFonts w:ascii="Times New Roman" w:hAnsi="Times New Roman" w:cs="Times New Roman"/>
                <w:sz w:val="22"/>
                <w:szCs w:val="22"/>
              </w:rPr>
              <w:t>38385479</w:t>
            </w:r>
          </w:p>
        </w:tc>
        <w:tc>
          <w:tcPr>
            <w:tcW w:w="1843" w:type="dxa"/>
          </w:tcPr>
          <w:p w14:paraId="071FC20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0.994367</w:t>
            </w:r>
          </w:p>
        </w:tc>
        <w:tc>
          <w:tcPr>
            <w:tcW w:w="1134" w:type="dxa"/>
          </w:tcPr>
          <w:p w14:paraId="6863399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0.674759</w:t>
            </w:r>
          </w:p>
        </w:tc>
      </w:tr>
      <w:tr w:rsidR="004B4A87" w:rsidRPr="00913488" w14:paraId="3AC441CF" w14:textId="77777777" w:rsidTr="00FA77C9">
        <w:tc>
          <w:tcPr>
            <w:tcW w:w="2122" w:type="dxa"/>
          </w:tcPr>
          <w:p w14:paraId="5AA75074"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rs2186800</w:t>
            </w:r>
          </w:p>
        </w:tc>
        <w:tc>
          <w:tcPr>
            <w:tcW w:w="1984" w:type="dxa"/>
            <w:vAlign w:val="bottom"/>
          </w:tcPr>
          <w:p w14:paraId="5FC6647B"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11</w:t>
            </w:r>
            <w:r>
              <w:rPr>
                <w:rFonts w:ascii="Times New Roman" w:hAnsi="Times New Roman" w:cs="Times New Roman"/>
                <w:sz w:val="22"/>
                <w:szCs w:val="22"/>
              </w:rPr>
              <w:t xml:space="preserve">, </w:t>
            </w:r>
            <w:r w:rsidRPr="00063DE7">
              <w:rPr>
                <w:rFonts w:ascii="Times New Roman" w:hAnsi="Times New Roman" w:cs="Times New Roman"/>
                <w:sz w:val="22"/>
                <w:szCs w:val="22"/>
              </w:rPr>
              <w:t>113242860</w:t>
            </w:r>
          </w:p>
        </w:tc>
        <w:tc>
          <w:tcPr>
            <w:tcW w:w="1843" w:type="dxa"/>
          </w:tcPr>
          <w:p w14:paraId="5909A39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0.993881</w:t>
            </w:r>
          </w:p>
        </w:tc>
        <w:tc>
          <w:tcPr>
            <w:tcW w:w="1134" w:type="dxa"/>
          </w:tcPr>
          <w:p w14:paraId="61D4C63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0.679117</w:t>
            </w:r>
          </w:p>
        </w:tc>
      </w:tr>
      <w:tr w:rsidR="004B4A87" w:rsidRPr="00913488" w14:paraId="67C8F42C" w14:textId="77777777" w:rsidTr="00FA77C9">
        <w:tc>
          <w:tcPr>
            <w:tcW w:w="2122" w:type="dxa"/>
          </w:tcPr>
          <w:p w14:paraId="161D6D4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rs2271961</w:t>
            </w:r>
          </w:p>
        </w:tc>
        <w:tc>
          <w:tcPr>
            <w:tcW w:w="1984" w:type="dxa"/>
            <w:vAlign w:val="bottom"/>
          </w:tcPr>
          <w:p w14:paraId="01F616C9"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3</w:t>
            </w:r>
            <w:r>
              <w:rPr>
                <w:rFonts w:ascii="Times New Roman" w:hAnsi="Times New Roman" w:cs="Times New Roman"/>
                <w:sz w:val="22"/>
                <w:szCs w:val="22"/>
              </w:rPr>
              <w:t xml:space="preserve">, </w:t>
            </w:r>
            <w:r w:rsidRPr="00063DE7">
              <w:rPr>
                <w:rFonts w:ascii="Times New Roman" w:hAnsi="Times New Roman" w:cs="Times New Roman"/>
                <w:sz w:val="22"/>
                <w:szCs w:val="22"/>
              </w:rPr>
              <w:t>49878113</w:t>
            </w:r>
          </w:p>
        </w:tc>
        <w:tc>
          <w:tcPr>
            <w:tcW w:w="1843" w:type="dxa"/>
          </w:tcPr>
          <w:p w14:paraId="58D4D64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1.006084</w:t>
            </w:r>
          </w:p>
        </w:tc>
        <w:tc>
          <w:tcPr>
            <w:tcW w:w="1134" w:type="dxa"/>
          </w:tcPr>
          <w:p w14:paraId="782CBFD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0.686440</w:t>
            </w:r>
          </w:p>
        </w:tc>
      </w:tr>
      <w:tr w:rsidR="004B4A87" w:rsidRPr="00913488" w14:paraId="53368F8D" w14:textId="77777777" w:rsidTr="00FA77C9">
        <w:tc>
          <w:tcPr>
            <w:tcW w:w="2122" w:type="dxa"/>
          </w:tcPr>
          <w:p w14:paraId="234C1E1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rs2613508</w:t>
            </w:r>
          </w:p>
        </w:tc>
        <w:tc>
          <w:tcPr>
            <w:tcW w:w="1984" w:type="dxa"/>
          </w:tcPr>
          <w:p w14:paraId="3A2A4319" w14:textId="77777777" w:rsidR="004B4A87" w:rsidRPr="00913488" w:rsidRDefault="004B4A87" w:rsidP="00FA77C9">
            <w:pPr>
              <w:rPr>
                <w:rFonts w:ascii="Times New Roman" w:hAnsi="Times New Roman" w:cs="Times New Roman"/>
                <w:sz w:val="22"/>
                <w:szCs w:val="22"/>
              </w:rPr>
            </w:pPr>
            <w:r w:rsidRPr="005B6EB3">
              <w:rPr>
                <w:rFonts w:ascii="Times New Roman" w:hAnsi="Times New Roman" w:cs="Times New Roman"/>
                <w:sz w:val="22"/>
                <w:szCs w:val="22"/>
              </w:rPr>
              <w:t>1,</w:t>
            </w:r>
            <w:r>
              <w:rPr>
                <w:rFonts w:ascii="Times New Roman" w:hAnsi="Times New Roman" w:cs="Times New Roman"/>
                <w:sz w:val="22"/>
                <w:szCs w:val="22"/>
              </w:rPr>
              <w:t xml:space="preserve"> </w:t>
            </w:r>
            <w:r w:rsidRPr="005B6EB3">
              <w:rPr>
                <w:rFonts w:ascii="Times New Roman" w:hAnsi="Times New Roman" w:cs="Times New Roman"/>
                <w:sz w:val="22"/>
                <w:szCs w:val="22"/>
              </w:rPr>
              <w:t>72833582</w:t>
            </w:r>
          </w:p>
        </w:tc>
        <w:tc>
          <w:tcPr>
            <w:tcW w:w="1843" w:type="dxa"/>
          </w:tcPr>
          <w:p w14:paraId="025CF685"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1.007699</w:t>
            </w:r>
          </w:p>
        </w:tc>
        <w:tc>
          <w:tcPr>
            <w:tcW w:w="1134" w:type="dxa"/>
          </w:tcPr>
          <w:p w14:paraId="4369F70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0.422966</w:t>
            </w:r>
          </w:p>
        </w:tc>
      </w:tr>
      <w:tr w:rsidR="004B4A87" w:rsidRPr="00913488" w14:paraId="186C3B37" w14:textId="77777777" w:rsidTr="00FA77C9">
        <w:tc>
          <w:tcPr>
            <w:tcW w:w="2122" w:type="dxa"/>
          </w:tcPr>
          <w:p w14:paraId="6F2DF40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rs2643826</w:t>
            </w:r>
          </w:p>
        </w:tc>
        <w:tc>
          <w:tcPr>
            <w:tcW w:w="1984" w:type="dxa"/>
          </w:tcPr>
          <w:p w14:paraId="50F8A323" w14:textId="77777777" w:rsidR="004B4A87" w:rsidRPr="00913488" w:rsidRDefault="004B4A87" w:rsidP="00FA77C9">
            <w:pPr>
              <w:rPr>
                <w:rFonts w:ascii="Times New Roman" w:hAnsi="Times New Roman" w:cs="Times New Roman"/>
                <w:sz w:val="22"/>
                <w:szCs w:val="22"/>
              </w:rPr>
            </w:pPr>
            <w:r w:rsidRPr="002B2824">
              <w:rPr>
                <w:rFonts w:ascii="Times New Roman" w:hAnsi="Times New Roman" w:cs="Times New Roman"/>
                <w:sz w:val="22"/>
                <w:szCs w:val="22"/>
              </w:rPr>
              <w:t>3,</w:t>
            </w:r>
            <w:r>
              <w:rPr>
                <w:rFonts w:ascii="Times New Roman" w:hAnsi="Times New Roman" w:cs="Times New Roman"/>
                <w:sz w:val="22"/>
                <w:szCs w:val="22"/>
              </w:rPr>
              <w:t xml:space="preserve"> </w:t>
            </w:r>
            <w:r w:rsidRPr="002B2824">
              <w:rPr>
                <w:rFonts w:ascii="Times New Roman" w:hAnsi="Times New Roman" w:cs="Times New Roman"/>
                <w:sz w:val="22"/>
                <w:szCs w:val="22"/>
              </w:rPr>
              <w:t>27562988</w:t>
            </w:r>
          </w:p>
        </w:tc>
        <w:tc>
          <w:tcPr>
            <w:tcW w:w="1843" w:type="dxa"/>
          </w:tcPr>
          <w:p w14:paraId="6D975ED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1.006344</w:t>
            </w:r>
          </w:p>
        </w:tc>
        <w:tc>
          <w:tcPr>
            <w:tcW w:w="1134" w:type="dxa"/>
          </w:tcPr>
          <w:p w14:paraId="631E31E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0.672533</w:t>
            </w:r>
          </w:p>
        </w:tc>
      </w:tr>
      <w:tr w:rsidR="004B4A87" w:rsidRPr="00913488" w14:paraId="6F30D82D" w14:textId="77777777" w:rsidTr="00FA77C9">
        <w:tc>
          <w:tcPr>
            <w:tcW w:w="2122" w:type="dxa"/>
          </w:tcPr>
          <w:p w14:paraId="0B28627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rs268</w:t>
            </w:r>
          </w:p>
        </w:tc>
        <w:tc>
          <w:tcPr>
            <w:tcW w:w="1984" w:type="dxa"/>
          </w:tcPr>
          <w:p w14:paraId="2756D6B0" w14:textId="77777777" w:rsidR="004B4A87" w:rsidRPr="00913488" w:rsidRDefault="004B4A87" w:rsidP="00FA77C9">
            <w:pPr>
              <w:rPr>
                <w:rFonts w:ascii="Times New Roman" w:hAnsi="Times New Roman" w:cs="Times New Roman"/>
                <w:sz w:val="22"/>
                <w:szCs w:val="22"/>
              </w:rPr>
            </w:pPr>
            <w:r w:rsidRPr="002B2824">
              <w:rPr>
                <w:rFonts w:ascii="Times New Roman" w:hAnsi="Times New Roman" w:cs="Times New Roman"/>
                <w:sz w:val="22"/>
                <w:szCs w:val="22"/>
              </w:rPr>
              <w:t>8,</w:t>
            </w:r>
            <w:r>
              <w:rPr>
                <w:rFonts w:ascii="Times New Roman" w:hAnsi="Times New Roman" w:cs="Times New Roman"/>
                <w:sz w:val="22"/>
                <w:szCs w:val="22"/>
              </w:rPr>
              <w:t xml:space="preserve"> </w:t>
            </w:r>
            <w:r w:rsidRPr="002B2824">
              <w:rPr>
                <w:rFonts w:ascii="Times New Roman" w:hAnsi="Times New Roman" w:cs="Times New Roman"/>
                <w:sz w:val="22"/>
                <w:szCs w:val="22"/>
              </w:rPr>
              <w:t>19813529</w:t>
            </w:r>
          </w:p>
        </w:tc>
        <w:tc>
          <w:tcPr>
            <w:tcW w:w="1843" w:type="dxa"/>
          </w:tcPr>
          <w:p w14:paraId="4976D4C9"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1.024702</w:t>
            </w:r>
          </w:p>
        </w:tc>
        <w:tc>
          <w:tcPr>
            <w:tcW w:w="1134" w:type="dxa"/>
          </w:tcPr>
          <w:p w14:paraId="6ECDFB5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0.117983</w:t>
            </w:r>
          </w:p>
        </w:tc>
      </w:tr>
      <w:tr w:rsidR="004B4A87" w:rsidRPr="00913488" w14:paraId="7C9E75A7" w14:textId="77777777" w:rsidTr="00FA77C9">
        <w:tc>
          <w:tcPr>
            <w:tcW w:w="2122" w:type="dxa"/>
          </w:tcPr>
          <w:p w14:paraId="3FE23BF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rs28455998</w:t>
            </w:r>
          </w:p>
        </w:tc>
        <w:tc>
          <w:tcPr>
            <w:tcW w:w="1984" w:type="dxa"/>
          </w:tcPr>
          <w:p w14:paraId="652287A8" w14:textId="77777777" w:rsidR="004B4A87" w:rsidRPr="00913488" w:rsidRDefault="004B4A87" w:rsidP="00FA77C9">
            <w:pPr>
              <w:rPr>
                <w:rFonts w:ascii="Times New Roman" w:hAnsi="Times New Roman" w:cs="Times New Roman"/>
                <w:sz w:val="22"/>
                <w:szCs w:val="22"/>
              </w:rPr>
            </w:pPr>
            <w:r w:rsidRPr="000B472B">
              <w:rPr>
                <w:rFonts w:ascii="Times New Roman" w:hAnsi="Times New Roman" w:cs="Times New Roman"/>
                <w:sz w:val="22"/>
                <w:szCs w:val="22"/>
              </w:rPr>
              <w:t>15</w:t>
            </w:r>
            <w:r>
              <w:rPr>
                <w:rFonts w:ascii="Times New Roman" w:hAnsi="Times New Roman" w:cs="Times New Roman"/>
                <w:sz w:val="22"/>
                <w:szCs w:val="22"/>
              </w:rPr>
              <w:t xml:space="preserve">, </w:t>
            </w:r>
            <w:r w:rsidRPr="000B472B">
              <w:rPr>
                <w:rFonts w:ascii="Times New Roman" w:hAnsi="Times New Roman" w:cs="Times New Roman"/>
                <w:sz w:val="22"/>
                <w:szCs w:val="22"/>
              </w:rPr>
              <w:t>41430969</w:t>
            </w:r>
          </w:p>
        </w:tc>
        <w:tc>
          <w:tcPr>
            <w:tcW w:w="1843" w:type="dxa"/>
          </w:tcPr>
          <w:p w14:paraId="78BB229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1.005692</w:t>
            </w:r>
          </w:p>
        </w:tc>
        <w:tc>
          <w:tcPr>
            <w:tcW w:w="1134" w:type="dxa"/>
          </w:tcPr>
          <w:p w14:paraId="3E2A6CD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0.704273</w:t>
            </w:r>
          </w:p>
        </w:tc>
      </w:tr>
      <w:tr w:rsidR="004B4A87" w:rsidRPr="00913488" w14:paraId="4D5A5A75" w14:textId="77777777" w:rsidTr="00FA77C9">
        <w:tc>
          <w:tcPr>
            <w:tcW w:w="2122" w:type="dxa"/>
          </w:tcPr>
          <w:p w14:paraId="66148A0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rs28637671</w:t>
            </w:r>
          </w:p>
        </w:tc>
        <w:tc>
          <w:tcPr>
            <w:tcW w:w="1984" w:type="dxa"/>
          </w:tcPr>
          <w:p w14:paraId="3D00A3EF" w14:textId="77777777" w:rsidR="004B4A87" w:rsidRPr="00913488" w:rsidRDefault="004B4A87" w:rsidP="00FA77C9">
            <w:pPr>
              <w:rPr>
                <w:rFonts w:ascii="Times New Roman" w:hAnsi="Times New Roman" w:cs="Times New Roman"/>
                <w:sz w:val="22"/>
                <w:szCs w:val="22"/>
              </w:rPr>
            </w:pPr>
            <w:r w:rsidRPr="002B2824">
              <w:rPr>
                <w:rFonts w:ascii="Times New Roman" w:hAnsi="Times New Roman" w:cs="Times New Roman"/>
                <w:sz w:val="22"/>
                <w:szCs w:val="22"/>
              </w:rPr>
              <w:t>4,</w:t>
            </w:r>
            <w:r>
              <w:rPr>
                <w:rFonts w:ascii="Times New Roman" w:hAnsi="Times New Roman" w:cs="Times New Roman"/>
                <w:sz w:val="22"/>
                <w:szCs w:val="22"/>
              </w:rPr>
              <w:t xml:space="preserve"> </w:t>
            </w:r>
            <w:r w:rsidRPr="002B2824">
              <w:rPr>
                <w:rFonts w:ascii="Times New Roman" w:hAnsi="Times New Roman" w:cs="Times New Roman"/>
                <w:sz w:val="22"/>
                <w:szCs w:val="22"/>
              </w:rPr>
              <w:t>67780392</w:t>
            </w:r>
          </w:p>
        </w:tc>
        <w:tc>
          <w:tcPr>
            <w:tcW w:w="1843" w:type="dxa"/>
          </w:tcPr>
          <w:p w14:paraId="5C9DDCC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1.006349</w:t>
            </w:r>
          </w:p>
        </w:tc>
        <w:tc>
          <w:tcPr>
            <w:tcW w:w="1134" w:type="dxa"/>
          </w:tcPr>
          <w:p w14:paraId="2F2C30D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0.536936</w:t>
            </w:r>
          </w:p>
        </w:tc>
      </w:tr>
      <w:tr w:rsidR="004B4A87" w:rsidRPr="00913488" w14:paraId="2B8C3E5A" w14:textId="77777777" w:rsidTr="00FA77C9">
        <w:tc>
          <w:tcPr>
            <w:tcW w:w="2122" w:type="dxa"/>
          </w:tcPr>
          <w:p w14:paraId="1E4D16B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rs2972566</w:t>
            </w:r>
          </w:p>
        </w:tc>
        <w:tc>
          <w:tcPr>
            <w:tcW w:w="1984" w:type="dxa"/>
            <w:vAlign w:val="bottom"/>
          </w:tcPr>
          <w:p w14:paraId="0E6E4181"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19</w:t>
            </w:r>
            <w:r>
              <w:rPr>
                <w:rFonts w:ascii="Times New Roman" w:hAnsi="Times New Roman" w:cs="Times New Roman"/>
                <w:sz w:val="22"/>
                <w:szCs w:val="22"/>
              </w:rPr>
              <w:t xml:space="preserve">, </w:t>
            </w:r>
            <w:r w:rsidRPr="00063DE7">
              <w:rPr>
                <w:rFonts w:ascii="Times New Roman" w:hAnsi="Times New Roman" w:cs="Times New Roman"/>
                <w:sz w:val="22"/>
                <w:szCs w:val="22"/>
              </w:rPr>
              <w:t>45354238</w:t>
            </w:r>
          </w:p>
        </w:tc>
        <w:tc>
          <w:tcPr>
            <w:tcW w:w="1843" w:type="dxa"/>
          </w:tcPr>
          <w:p w14:paraId="36D3BA7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1.007926</w:t>
            </w:r>
          </w:p>
        </w:tc>
        <w:tc>
          <w:tcPr>
            <w:tcW w:w="1134" w:type="dxa"/>
          </w:tcPr>
          <w:p w14:paraId="73A567C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0.390000</w:t>
            </w:r>
          </w:p>
        </w:tc>
      </w:tr>
      <w:tr w:rsidR="004B4A87" w:rsidRPr="00913488" w14:paraId="79B7EA39" w14:textId="77777777" w:rsidTr="00FA77C9">
        <w:tc>
          <w:tcPr>
            <w:tcW w:w="2122" w:type="dxa"/>
          </w:tcPr>
          <w:p w14:paraId="3E40C78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rs34891485</w:t>
            </w:r>
          </w:p>
        </w:tc>
        <w:tc>
          <w:tcPr>
            <w:tcW w:w="1984" w:type="dxa"/>
            <w:vAlign w:val="bottom"/>
          </w:tcPr>
          <w:p w14:paraId="563469A7"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17</w:t>
            </w:r>
            <w:r>
              <w:rPr>
                <w:rFonts w:ascii="Times New Roman" w:hAnsi="Times New Roman" w:cs="Times New Roman"/>
                <w:sz w:val="22"/>
                <w:szCs w:val="22"/>
              </w:rPr>
              <w:t xml:space="preserve">, </w:t>
            </w:r>
            <w:r w:rsidRPr="00063DE7">
              <w:rPr>
                <w:rFonts w:ascii="Times New Roman" w:hAnsi="Times New Roman" w:cs="Times New Roman"/>
                <w:sz w:val="22"/>
                <w:szCs w:val="22"/>
              </w:rPr>
              <w:t>40263458</w:t>
            </w:r>
          </w:p>
        </w:tc>
        <w:tc>
          <w:tcPr>
            <w:tcW w:w="1843" w:type="dxa"/>
          </w:tcPr>
          <w:p w14:paraId="33C6080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1.014566</w:t>
            </w:r>
          </w:p>
        </w:tc>
        <w:tc>
          <w:tcPr>
            <w:tcW w:w="1134" w:type="dxa"/>
          </w:tcPr>
          <w:p w14:paraId="4F2FD98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0.229521</w:t>
            </w:r>
          </w:p>
        </w:tc>
      </w:tr>
      <w:tr w:rsidR="004B4A87" w:rsidRPr="00913488" w14:paraId="468F56DC" w14:textId="77777777" w:rsidTr="00FA77C9">
        <w:tc>
          <w:tcPr>
            <w:tcW w:w="2122" w:type="dxa"/>
          </w:tcPr>
          <w:p w14:paraId="1FA18E09"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rs35198068</w:t>
            </w:r>
          </w:p>
        </w:tc>
        <w:tc>
          <w:tcPr>
            <w:tcW w:w="1984" w:type="dxa"/>
            <w:vAlign w:val="bottom"/>
          </w:tcPr>
          <w:p w14:paraId="13D2B688"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10</w:t>
            </w:r>
            <w:r>
              <w:rPr>
                <w:rFonts w:ascii="Times New Roman" w:hAnsi="Times New Roman" w:cs="Times New Roman"/>
                <w:sz w:val="22"/>
                <w:szCs w:val="22"/>
              </w:rPr>
              <w:t xml:space="preserve">, </w:t>
            </w:r>
            <w:r w:rsidRPr="00063DE7">
              <w:rPr>
                <w:rFonts w:ascii="Times New Roman" w:hAnsi="Times New Roman" w:cs="Times New Roman"/>
                <w:sz w:val="22"/>
                <w:szCs w:val="22"/>
              </w:rPr>
              <w:t>114754784</w:t>
            </w:r>
          </w:p>
        </w:tc>
        <w:tc>
          <w:tcPr>
            <w:tcW w:w="1843" w:type="dxa"/>
          </w:tcPr>
          <w:p w14:paraId="15B128E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1.008551</w:t>
            </w:r>
          </w:p>
        </w:tc>
        <w:tc>
          <w:tcPr>
            <w:tcW w:w="1134" w:type="dxa"/>
          </w:tcPr>
          <w:p w14:paraId="487B8AF9"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0.563116</w:t>
            </w:r>
          </w:p>
        </w:tc>
      </w:tr>
      <w:tr w:rsidR="004B4A87" w:rsidRPr="00913488" w14:paraId="7408412B" w14:textId="77777777" w:rsidTr="00FA77C9">
        <w:tc>
          <w:tcPr>
            <w:tcW w:w="2122" w:type="dxa"/>
          </w:tcPr>
          <w:p w14:paraId="04041F0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rs36072649</w:t>
            </w:r>
          </w:p>
        </w:tc>
        <w:tc>
          <w:tcPr>
            <w:tcW w:w="1984" w:type="dxa"/>
          </w:tcPr>
          <w:p w14:paraId="2D27E321"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4,</w:t>
            </w:r>
            <w:r>
              <w:rPr>
                <w:rFonts w:ascii="Times New Roman" w:hAnsi="Times New Roman" w:cs="Times New Roman"/>
                <w:sz w:val="22"/>
                <w:szCs w:val="22"/>
              </w:rPr>
              <w:t xml:space="preserve"> </w:t>
            </w:r>
            <w:r w:rsidRPr="0098505F">
              <w:rPr>
                <w:rFonts w:ascii="Times New Roman" w:hAnsi="Times New Roman" w:cs="Times New Roman"/>
                <w:sz w:val="22"/>
                <w:szCs w:val="22"/>
              </w:rPr>
              <w:t>140939110</w:t>
            </w:r>
          </w:p>
        </w:tc>
        <w:tc>
          <w:tcPr>
            <w:tcW w:w="1843" w:type="dxa"/>
          </w:tcPr>
          <w:p w14:paraId="6E4145A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0.994064</w:t>
            </w:r>
          </w:p>
        </w:tc>
        <w:tc>
          <w:tcPr>
            <w:tcW w:w="1134" w:type="dxa"/>
          </w:tcPr>
          <w:p w14:paraId="591ACBC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0.604814</w:t>
            </w:r>
          </w:p>
        </w:tc>
      </w:tr>
      <w:tr w:rsidR="004B4A87" w:rsidRPr="00913488" w14:paraId="001CCA2D" w14:textId="77777777" w:rsidTr="00FA77C9">
        <w:tc>
          <w:tcPr>
            <w:tcW w:w="2122" w:type="dxa"/>
          </w:tcPr>
          <w:p w14:paraId="7BB9117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rs3768321</w:t>
            </w:r>
          </w:p>
        </w:tc>
        <w:tc>
          <w:tcPr>
            <w:tcW w:w="1984" w:type="dxa"/>
          </w:tcPr>
          <w:p w14:paraId="05DF21F4"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1,</w:t>
            </w:r>
            <w:r>
              <w:rPr>
                <w:rFonts w:ascii="Times New Roman" w:hAnsi="Times New Roman" w:cs="Times New Roman"/>
                <w:sz w:val="22"/>
                <w:szCs w:val="22"/>
              </w:rPr>
              <w:t xml:space="preserve"> </w:t>
            </w:r>
            <w:r w:rsidRPr="0098505F">
              <w:rPr>
                <w:rFonts w:ascii="Times New Roman" w:hAnsi="Times New Roman" w:cs="Times New Roman"/>
                <w:sz w:val="22"/>
                <w:szCs w:val="22"/>
              </w:rPr>
              <w:t>40035928</w:t>
            </w:r>
          </w:p>
        </w:tc>
        <w:tc>
          <w:tcPr>
            <w:tcW w:w="1843" w:type="dxa"/>
          </w:tcPr>
          <w:p w14:paraId="5C26318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1.007930</w:t>
            </w:r>
          </w:p>
        </w:tc>
        <w:tc>
          <w:tcPr>
            <w:tcW w:w="1134" w:type="dxa"/>
          </w:tcPr>
          <w:p w14:paraId="4047087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0.433474</w:t>
            </w:r>
          </w:p>
        </w:tc>
      </w:tr>
      <w:tr w:rsidR="004B4A87" w:rsidRPr="00913488" w14:paraId="3A851BC3" w14:textId="77777777" w:rsidTr="00FA77C9">
        <w:tc>
          <w:tcPr>
            <w:tcW w:w="2122" w:type="dxa"/>
          </w:tcPr>
          <w:p w14:paraId="6B84C70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rs405509</w:t>
            </w:r>
          </w:p>
        </w:tc>
        <w:tc>
          <w:tcPr>
            <w:tcW w:w="1984" w:type="dxa"/>
            <w:vAlign w:val="bottom"/>
          </w:tcPr>
          <w:p w14:paraId="5FD38D70"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19</w:t>
            </w:r>
            <w:r>
              <w:rPr>
                <w:rFonts w:ascii="Times New Roman" w:hAnsi="Times New Roman" w:cs="Times New Roman"/>
                <w:sz w:val="22"/>
                <w:szCs w:val="22"/>
              </w:rPr>
              <w:t xml:space="preserve">, </w:t>
            </w:r>
            <w:r w:rsidRPr="00063DE7">
              <w:rPr>
                <w:rFonts w:ascii="Times New Roman" w:hAnsi="Times New Roman" w:cs="Times New Roman"/>
                <w:sz w:val="22"/>
                <w:szCs w:val="22"/>
              </w:rPr>
              <w:t>45408836</w:t>
            </w:r>
          </w:p>
        </w:tc>
        <w:tc>
          <w:tcPr>
            <w:tcW w:w="1843" w:type="dxa"/>
          </w:tcPr>
          <w:p w14:paraId="51E5F7B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0.993358</w:t>
            </w:r>
          </w:p>
        </w:tc>
        <w:tc>
          <w:tcPr>
            <w:tcW w:w="1134" w:type="dxa"/>
          </w:tcPr>
          <w:p w14:paraId="7E5C6B1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0.695773</w:t>
            </w:r>
          </w:p>
        </w:tc>
      </w:tr>
      <w:tr w:rsidR="004B4A87" w:rsidRPr="00913488" w14:paraId="28B0AAF0" w14:textId="77777777" w:rsidTr="00FA77C9">
        <w:tc>
          <w:tcPr>
            <w:tcW w:w="2122" w:type="dxa"/>
          </w:tcPr>
          <w:p w14:paraId="1F86C98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rs449647</w:t>
            </w:r>
          </w:p>
        </w:tc>
        <w:tc>
          <w:tcPr>
            <w:tcW w:w="1984" w:type="dxa"/>
            <w:vAlign w:val="bottom"/>
          </w:tcPr>
          <w:p w14:paraId="10EF0B87"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19</w:t>
            </w:r>
            <w:r>
              <w:rPr>
                <w:rFonts w:ascii="Times New Roman" w:hAnsi="Times New Roman" w:cs="Times New Roman"/>
                <w:sz w:val="22"/>
                <w:szCs w:val="22"/>
              </w:rPr>
              <w:t xml:space="preserve">, </w:t>
            </w:r>
            <w:r w:rsidRPr="00063DE7">
              <w:rPr>
                <w:rFonts w:ascii="Times New Roman" w:hAnsi="Times New Roman" w:cs="Times New Roman"/>
                <w:sz w:val="22"/>
                <w:szCs w:val="22"/>
              </w:rPr>
              <w:t>45408564</w:t>
            </w:r>
          </w:p>
        </w:tc>
        <w:tc>
          <w:tcPr>
            <w:tcW w:w="1843" w:type="dxa"/>
          </w:tcPr>
          <w:p w14:paraId="3D9A03B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0.992246</w:t>
            </w:r>
          </w:p>
        </w:tc>
        <w:tc>
          <w:tcPr>
            <w:tcW w:w="1134" w:type="dxa"/>
          </w:tcPr>
          <w:p w14:paraId="588CB2B5"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0.406202</w:t>
            </w:r>
          </w:p>
        </w:tc>
      </w:tr>
      <w:tr w:rsidR="004B4A87" w:rsidRPr="00913488" w14:paraId="4182654C" w14:textId="77777777" w:rsidTr="00FA77C9">
        <w:tc>
          <w:tcPr>
            <w:tcW w:w="2122" w:type="dxa"/>
          </w:tcPr>
          <w:p w14:paraId="1C9A833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rs472103</w:t>
            </w:r>
          </w:p>
        </w:tc>
        <w:tc>
          <w:tcPr>
            <w:tcW w:w="1984" w:type="dxa"/>
            <w:vAlign w:val="bottom"/>
          </w:tcPr>
          <w:p w14:paraId="6EA8C080"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3</w:t>
            </w:r>
            <w:r>
              <w:rPr>
                <w:rFonts w:ascii="Times New Roman" w:hAnsi="Times New Roman" w:cs="Times New Roman"/>
                <w:sz w:val="22"/>
                <w:szCs w:val="22"/>
              </w:rPr>
              <w:t xml:space="preserve">, </w:t>
            </w:r>
            <w:r w:rsidRPr="00063DE7">
              <w:rPr>
                <w:rFonts w:ascii="Times New Roman" w:hAnsi="Times New Roman" w:cs="Times New Roman"/>
                <w:sz w:val="22"/>
                <w:szCs w:val="22"/>
              </w:rPr>
              <w:t>173122492</w:t>
            </w:r>
          </w:p>
        </w:tc>
        <w:tc>
          <w:tcPr>
            <w:tcW w:w="1843" w:type="dxa"/>
          </w:tcPr>
          <w:p w14:paraId="5AEDE17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1.005909</w:t>
            </w:r>
          </w:p>
        </w:tc>
        <w:tc>
          <w:tcPr>
            <w:tcW w:w="1134" w:type="dxa"/>
          </w:tcPr>
          <w:p w14:paraId="72EE781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0.682056</w:t>
            </w:r>
          </w:p>
        </w:tc>
      </w:tr>
      <w:tr w:rsidR="004B4A87" w:rsidRPr="00913488" w14:paraId="07B2EDD5" w14:textId="77777777" w:rsidTr="00FA77C9">
        <w:tc>
          <w:tcPr>
            <w:tcW w:w="2122" w:type="dxa"/>
          </w:tcPr>
          <w:p w14:paraId="4274E52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rs4766578</w:t>
            </w:r>
          </w:p>
        </w:tc>
        <w:tc>
          <w:tcPr>
            <w:tcW w:w="1984" w:type="dxa"/>
            <w:vAlign w:val="bottom"/>
          </w:tcPr>
          <w:p w14:paraId="1988137D"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12</w:t>
            </w:r>
            <w:r>
              <w:rPr>
                <w:rFonts w:ascii="Times New Roman" w:hAnsi="Times New Roman" w:cs="Times New Roman"/>
                <w:sz w:val="22"/>
                <w:szCs w:val="22"/>
              </w:rPr>
              <w:t xml:space="preserve">, </w:t>
            </w:r>
            <w:r w:rsidRPr="00063DE7">
              <w:rPr>
                <w:rFonts w:ascii="Times New Roman" w:hAnsi="Times New Roman" w:cs="Times New Roman"/>
                <w:sz w:val="22"/>
                <w:szCs w:val="22"/>
              </w:rPr>
              <w:t>111904371</w:t>
            </w:r>
          </w:p>
        </w:tc>
        <w:tc>
          <w:tcPr>
            <w:tcW w:w="1843" w:type="dxa"/>
          </w:tcPr>
          <w:p w14:paraId="146061B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0.992465</w:t>
            </w:r>
          </w:p>
        </w:tc>
        <w:tc>
          <w:tcPr>
            <w:tcW w:w="1134" w:type="dxa"/>
          </w:tcPr>
          <w:p w14:paraId="5091E2B4"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0.690724</w:t>
            </w:r>
          </w:p>
        </w:tc>
      </w:tr>
      <w:tr w:rsidR="004B4A87" w:rsidRPr="00913488" w14:paraId="4ECB69C4" w14:textId="77777777" w:rsidTr="00FA77C9">
        <w:tc>
          <w:tcPr>
            <w:tcW w:w="2122" w:type="dxa"/>
          </w:tcPr>
          <w:p w14:paraId="765AC11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rs55686423</w:t>
            </w:r>
          </w:p>
        </w:tc>
        <w:tc>
          <w:tcPr>
            <w:tcW w:w="1984" w:type="dxa"/>
          </w:tcPr>
          <w:p w14:paraId="12ADAE54"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12,</w:t>
            </w:r>
            <w:r>
              <w:rPr>
                <w:rFonts w:ascii="Times New Roman" w:hAnsi="Times New Roman" w:cs="Times New Roman"/>
                <w:sz w:val="22"/>
                <w:szCs w:val="22"/>
              </w:rPr>
              <w:t xml:space="preserve"> </w:t>
            </w:r>
            <w:r w:rsidRPr="0098505F">
              <w:rPr>
                <w:rFonts w:ascii="Times New Roman" w:hAnsi="Times New Roman" w:cs="Times New Roman"/>
                <w:sz w:val="22"/>
                <w:szCs w:val="22"/>
              </w:rPr>
              <w:t>49963534</w:t>
            </w:r>
          </w:p>
        </w:tc>
        <w:tc>
          <w:tcPr>
            <w:tcW w:w="1843" w:type="dxa"/>
          </w:tcPr>
          <w:p w14:paraId="2C05777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0.990023</w:t>
            </w:r>
          </w:p>
        </w:tc>
        <w:tc>
          <w:tcPr>
            <w:tcW w:w="1134" w:type="dxa"/>
          </w:tcPr>
          <w:p w14:paraId="68C453B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0.297439</w:t>
            </w:r>
          </w:p>
        </w:tc>
      </w:tr>
      <w:tr w:rsidR="004B4A87" w:rsidRPr="00913488" w14:paraId="572E77E6" w14:textId="77777777" w:rsidTr="00FA77C9">
        <w:tc>
          <w:tcPr>
            <w:tcW w:w="2122" w:type="dxa"/>
          </w:tcPr>
          <w:p w14:paraId="6CA5747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rs55730499</w:t>
            </w:r>
          </w:p>
        </w:tc>
        <w:tc>
          <w:tcPr>
            <w:tcW w:w="1984" w:type="dxa"/>
          </w:tcPr>
          <w:p w14:paraId="22711700" w14:textId="77777777" w:rsidR="004B4A87" w:rsidRPr="00913488" w:rsidRDefault="004B4A87" w:rsidP="00FA77C9">
            <w:pPr>
              <w:rPr>
                <w:rFonts w:ascii="Times New Roman" w:hAnsi="Times New Roman" w:cs="Times New Roman"/>
                <w:sz w:val="22"/>
                <w:szCs w:val="22"/>
              </w:rPr>
            </w:pPr>
            <w:r w:rsidRPr="00702768">
              <w:rPr>
                <w:rFonts w:ascii="Times New Roman" w:hAnsi="Times New Roman" w:cs="Times New Roman"/>
                <w:sz w:val="22"/>
                <w:szCs w:val="22"/>
              </w:rPr>
              <w:t>6</w:t>
            </w:r>
            <w:r>
              <w:rPr>
                <w:rFonts w:ascii="Times New Roman" w:hAnsi="Times New Roman" w:cs="Times New Roman"/>
                <w:sz w:val="22"/>
                <w:szCs w:val="22"/>
              </w:rPr>
              <w:t xml:space="preserve">, </w:t>
            </w:r>
            <w:r w:rsidRPr="00702768">
              <w:rPr>
                <w:rFonts w:ascii="Times New Roman" w:hAnsi="Times New Roman" w:cs="Times New Roman"/>
                <w:sz w:val="22"/>
                <w:szCs w:val="22"/>
              </w:rPr>
              <w:t>161005610</w:t>
            </w:r>
          </w:p>
        </w:tc>
        <w:tc>
          <w:tcPr>
            <w:tcW w:w="1843" w:type="dxa"/>
          </w:tcPr>
          <w:p w14:paraId="678C2FE4"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1.021801</w:t>
            </w:r>
          </w:p>
        </w:tc>
        <w:tc>
          <w:tcPr>
            <w:tcW w:w="1134" w:type="dxa"/>
          </w:tcPr>
          <w:p w14:paraId="0816365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0.274864</w:t>
            </w:r>
          </w:p>
        </w:tc>
      </w:tr>
      <w:tr w:rsidR="004B4A87" w:rsidRPr="00913488" w14:paraId="1D34471F" w14:textId="77777777" w:rsidTr="00FA77C9">
        <w:tc>
          <w:tcPr>
            <w:tcW w:w="2122" w:type="dxa"/>
          </w:tcPr>
          <w:p w14:paraId="2CBA8E6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rs6062322</w:t>
            </w:r>
          </w:p>
        </w:tc>
        <w:tc>
          <w:tcPr>
            <w:tcW w:w="1984" w:type="dxa"/>
          </w:tcPr>
          <w:p w14:paraId="0BF66CE0"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20,</w:t>
            </w:r>
            <w:r>
              <w:rPr>
                <w:rFonts w:ascii="Times New Roman" w:hAnsi="Times New Roman" w:cs="Times New Roman"/>
                <w:sz w:val="22"/>
                <w:szCs w:val="22"/>
              </w:rPr>
              <w:t xml:space="preserve"> </w:t>
            </w:r>
            <w:r w:rsidRPr="0098505F">
              <w:rPr>
                <w:rFonts w:ascii="Times New Roman" w:hAnsi="Times New Roman" w:cs="Times New Roman"/>
                <w:sz w:val="22"/>
                <w:szCs w:val="22"/>
              </w:rPr>
              <w:t>62441599</w:t>
            </w:r>
          </w:p>
        </w:tc>
        <w:tc>
          <w:tcPr>
            <w:tcW w:w="1843" w:type="dxa"/>
          </w:tcPr>
          <w:p w14:paraId="07BB843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0.992945</w:t>
            </w:r>
          </w:p>
        </w:tc>
        <w:tc>
          <w:tcPr>
            <w:tcW w:w="1134" w:type="dxa"/>
          </w:tcPr>
          <w:p w14:paraId="3FCC570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0.440227</w:t>
            </w:r>
          </w:p>
        </w:tc>
      </w:tr>
      <w:tr w:rsidR="004B4A87" w:rsidRPr="00913488" w14:paraId="61D66AD4" w14:textId="77777777" w:rsidTr="00FA77C9">
        <w:tc>
          <w:tcPr>
            <w:tcW w:w="2122" w:type="dxa"/>
          </w:tcPr>
          <w:p w14:paraId="799928F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rs61905747</w:t>
            </w:r>
          </w:p>
        </w:tc>
        <w:tc>
          <w:tcPr>
            <w:tcW w:w="1984" w:type="dxa"/>
            <w:vAlign w:val="bottom"/>
          </w:tcPr>
          <w:p w14:paraId="03C61248"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11</w:t>
            </w:r>
            <w:r>
              <w:rPr>
                <w:rFonts w:ascii="Times New Roman" w:hAnsi="Times New Roman" w:cs="Times New Roman"/>
                <w:sz w:val="22"/>
                <w:szCs w:val="22"/>
              </w:rPr>
              <w:t xml:space="preserve">, </w:t>
            </w:r>
            <w:r w:rsidRPr="00063DE7">
              <w:rPr>
                <w:rFonts w:ascii="Times New Roman" w:hAnsi="Times New Roman" w:cs="Times New Roman"/>
                <w:sz w:val="22"/>
                <w:szCs w:val="22"/>
              </w:rPr>
              <w:t>113639842</w:t>
            </w:r>
          </w:p>
        </w:tc>
        <w:tc>
          <w:tcPr>
            <w:tcW w:w="1843" w:type="dxa"/>
          </w:tcPr>
          <w:p w14:paraId="60B8199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1.009143</w:t>
            </w:r>
          </w:p>
        </w:tc>
        <w:tc>
          <w:tcPr>
            <w:tcW w:w="1134" w:type="dxa"/>
          </w:tcPr>
          <w:p w14:paraId="11BB847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0.388716</w:t>
            </w:r>
          </w:p>
        </w:tc>
      </w:tr>
      <w:tr w:rsidR="004B4A87" w:rsidRPr="00913488" w14:paraId="235C5322" w14:textId="77777777" w:rsidTr="00FA77C9">
        <w:tc>
          <w:tcPr>
            <w:tcW w:w="2122" w:type="dxa"/>
          </w:tcPr>
          <w:p w14:paraId="79CD226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rs66906321</w:t>
            </w:r>
          </w:p>
        </w:tc>
        <w:tc>
          <w:tcPr>
            <w:tcW w:w="1984" w:type="dxa"/>
            <w:vAlign w:val="bottom"/>
          </w:tcPr>
          <w:p w14:paraId="4DAEA084"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2</w:t>
            </w:r>
            <w:r>
              <w:rPr>
                <w:rFonts w:ascii="Times New Roman" w:hAnsi="Times New Roman" w:cs="Times New Roman"/>
                <w:sz w:val="22"/>
                <w:szCs w:val="22"/>
              </w:rPr>
              <w:t xml:space="preserve">, </w:t>
            </w:r>
            <w:r w:rsidRPr="00063DE7">
              <w:rPr>
                <w:rFonts w:ascii="Times New Roman" w:hAnsi="Times New Roman" w:cs="Times New Roman"/>
                <w:sz w:val="22"/>
                <w:szCs w:val="22"/>
              </w:rPr>
              <w:t>630070</w:t>
            </w:r>
          </w:p>
        </w:tc>
        <w:tc>
          <w:tcPr>
            <w:tcW w:w="1843" w:type="dxa"/>
          </w:tcPr>
          <w:p w14:paraId="3F50B79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1.007506</w:t>
            </w:r>
          </w:p>
        </w:tc>
        <w:tc>
          <w:tcPr>
            <w:tcW w:w="1134" w:type="dxa"/>
          </w:tcPr>
          <w:p w14:paraId="16A06C0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0.424146</w:t>
            </w:r>
          </w:p>
        </w:tc>
      </w:tr>
      <w:tr w:rsidR="004B4A87" w:rsidRPr="00913488" w14:paraId="7F8F9A41" w14:textId="77777777" w:rsidTr="00FA77C9">
        <w:tc>
          <w:tcPr>
            <w:tcW w:w="2122" w:type="dxa"/>
          </w:tcPr>
          <w:p w14:paraId="27EE00F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rs6859</w:t>
            </w:r>
          </w:p>
        </w:tc>
        <w:tc>
          <w:tcPr>
            <w:tcW w:w="1984" w:type="dxa"/>
            <w:vAlign w:val="bottom"/>
          </w:tcPr>
          <w:p w14:paraId="70A8C83E"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19</w:t>
            </w:r>
            <w:r>
              <w:rPr>
                <w:rFonts w:ascii="Times New Roman" w:hAnsi="Times New Roman" w:cs="Times New Roman"/>
                <w:sz w:val="22"/>
                <w:szCs w:val="22"/>
              </w:rPr>
              <w:t xml:space="preserve">, </w:t>
            </w:r>
            <w:r w:rsidRPr="00063DE7">
              <w:rPr>
                <w:rFonts w:ascii="Times New Roman" w:hAnsi="Times New Roman" w:cs="Times New Roman"/>
                <w:sz w:val="22"/>
                <w:szCs w:val="22"/>
              </w:rPr>
              <w:t>45382034</w:t>
            </w:r>
          </w:p>
        </w:tc>
        <w:tc>
          <w:tcPr>
            <w:tcW w:w="1843" w:type="dxa"/>
          </w:tcPr>
          <w:p w14:paraId="1616E6A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0.991944</w:t>
            </w:r>
          </w:p>
        </w:tc>
        <w:tc>
          <w:tcPr>
            <w:tcW w:w="1134" w:type="dxa"/>
          </w:tcPr>
          <w:p w14:paraId="079BD03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0.663626</w:t>
            </w:r>
          </w:p>
        </w:tc>
      </w:tr>
      <w:tr w:rsidR="004B4A87" w:rsidRPr="00913488" w14:paraId="2A538C8F" w14:textId="77777777" w:rsidTr="00FA77C9">
        <w:tc>
          <w:tcPr>
            <w:tcW w:w="2122" w:type="dxa"/>
          </w:tcPr>
          <w:p w14:paraId="431DAC5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rs6907508</w:t>
            </w:r>
          </w:p>
        </w:tc>
        <w:tc>
          <w:tcPr>
            <w:tcW w:w="1984" w:type="dxa"/>
          </w:tcPr>
          <w:p w14:paraId="646A7C9F"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6,</w:t>
            </w:r>
            <w:r>
              <w:rPr>
                <w:rFonts w:ascii="Times New Roman" w:hAnsi="Times New Roman" w:cs="Times New Roman"/>
                <w:sz w:val="22"/>
                <w:szCs w:val="22"/>
              </w:rPr>
              <w:t xml:space="preserve"> </w:t>
            </w:r>
            <w:r w:rsidRPr="0098505F">
              <w:rPr>
                <w:rFonts w:ascii="Times New Roman" w:hAnsi="Times New Roman" w:cs="Times New Roman"/>
                <w:sz w:val="22"/>
                <w:szCs w:val="22"/>
              </w:rPr>
              <w:t>34592090</w:t>
            </w:r>
          </w:p>
        </w:tc>
        <w:tc>
          <w:tcPr>
            <w:tcW w:w="1843" w:type="dxa"/>
          </w:tcPr>
          <w:p w14:paraId="643BBDDF"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1.010244</w:t>
            </w:r>
          </w:p>
        </w:tc>
        <w:tc>
          <w:tcPr>
            <w:tcW w:w="1134" w:type="dxa"/>
          </w:tcPr>
          <w:p w14:paraId="62EFF33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0.318434</w:t>
            </w:r>
          </w:p>
        </w:tc>
      </w:tr>
      <w:tr w:rsidR="004B4A87" w:rsidRPr="00913488" w14:paraId="2E9A6DA8" w14:textId="77777777" w:rsidTr="00FA77C9">
        <w:tc>
          <w:tcPr>
            <w:tcW w:w="2122" w:type="dxa"/>
          </w:tcPr>
          <w:p w14:paraId="6244072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rs7174250</w:t>
            </w:r>
          </w:p>
        </w:tc>
        <w:tc>
          <w:tcPr>
            <w:tcW w:w="1984" w:type="dxa"/>
          </w:tcPr>
          <w:p w14:paraId="66D3BF75"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15,</w:t>
            </w:r>
            <w:r>
              <w:rPr>
                <w:rFonts w:ascii="Times New Roman" w:hAnsi="Times New Roman" w:cs="Times New Roman"/>
                <w:sz w:val="22"/>
                <w:szCs w:val="22"/>
              </w:rPr>
              <w:t xml:space="preserve"> </w:t>
            </w:r>
            <w:r w:rsidRPr="0098505F">
              <w:rPr>
                <w:rFonts w:ascii="Times New Roman" w:hAnsi="Times New Roman" w:cs="Times New Roman"/>
                <w:sz w:val="22"/>
                <w:szCs w:val="22"/>
              </w:rPr>
              <w:t>81018587</w:t>
            </w:r>
          </w:p>
        </w:tc>
        <w:tc>
          <w:tcPr>
            <w:tcW w:w="1843" w:type="dxa"/>
          </w:tcPr>
          <w:p w14:paraId="6464C63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1.005625</w:t>
            </w:r>
          </w:p>
        </w:tc>
        <w:tc>
          <w:tcPr>
            <w:tcW w:w="1134" w:type="dxa"/>
          </w:tcPr>
          <w:p w14:paraId="0916111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0.674759</w:t>
            </w:r>
          </w:p>
        </w:tc>
      </w:tr>
      <w:tr w:rsidR="004B4A87" w:rsidRPr="00913488" w14:paraId="661D0A97" w14:textId="77777777" w:rsidTr="00FA77C9">
        <w:tc>
          <w:tcPr>
            <w:tcW w:w="2122" w:type="dxa"/>
          </w:tcPr>
          <w:p w14:paraId="756D98C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rs7412</w:t>
            </w:r>
          </w:p>
        </w:tc>
        <w:tc>
          <w:tcPr>
            <w:tcW w:w="1984" w:type="dxa"/>
          </w:tcPr>
          <w:p w14:paraId="0889EBF9" w14:textId="77777777" w:rsidR="004B4A87" w:rsidRPr="00913488" w:rsidRDefault="004B4A87" w:rsidP="00FA77C9">
            <w:pPr>
              <w:rPr>
                <w:rFonts w:ascii="Times New Roman" w:hAnsi="Times New Roman" w:cs="Times New Roman"/>
                <w:sz w:val="22"/>
                <w:szCs w:val="22"/>
              </w:rPr>
            </w:pPr>
            <w:r w:rsidRPr="000C79A8">
              <w:rPr>
                <w:rFonts w:ascii="Times New Roman" w:hAnsi="Times New Roman" w:cs="Times New Roman"/>
                <w:sz w:val="22"/>
                <w:szCs w:val="22"/>
              </w:rPr>
              <w:t>19</w:t>
            </w:r>
            <w:r>
              <w:rPr>
                <w:rFonts w:ascii="Times New Roman" w:hAnsi="Times New Roman" w:cs="Times New Roman"/>
                <w:sz w:val="22"/>
                <w:szCs w:val="22"/>
              </w:rPr>
              <w:t xml:space="preserve">, </w:t>
            </w:r>
            <w:r w:rsidRPr="000C79A8">
              <w:rPr>
                <w:rFonts w:ascii="Times New Roman" w:hAnsi="Times New Roman" w:cs="Times New Roman"/>
                <w:sz w:val="22"/>
                <w:szCs w:val="22"/>
              </w:rPr>
              <w:t>45412079</w:t>
            </w:r>
          </w:p>
        </w:tc>
        <w:tc>
          <w:tcPr>
            <w:tcW w:w="1843" w:type="dxa"/>
          </w:tcPr>
          <w:p w14:paraId="2E2E6A6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0.979426</w:t>
            </w:r>
          </w:p>
        </w:tc>
        <w:tc>
          <w:tcPr>
            <w:tcW w:w="1134" w:type="dxa"/>
          </w:tcPr>
          <w:p w14:paraId="45B5AF90"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0.250240</w:t>
            </w:r>
          </w:p>
        </w:tc>
      </w:tr>
      <w:tr w:rsidR="004B4A87" w:rsidRPr="00913488" w14:paraId="0858109F" w14:textId="77777777" w:rsidTr="00FA77C9">
        <w:tc>
          <w:tcPr>
            <w:tcW w:w="2122" w:type="dxa"/>
          </w:tcPr>
          <w:p w14:paraId="032C368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rs7742789</w:t>
            </w:r>
          </w:p>
        </w:tc>
        <w:tc>
          <w:tcPr>
            <w:tcW w:w="1984" w:type="dxa"/>
          </w:tcPr>
          <w:p w14:paraId="52355DB8"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6,</w:t>
            </w:r>
            <w:r>
              <w:rPr>
                <w:rFonts w:ascii="Times New Roman" w:hAnsi="Times New Roman" w:cs="Times New Roman"/>
                <w:sz w:val="22"/>
                <w:szCs w:val="22"/>
              </w:rPr>
              <w:t xml:space="preserve"> </w:t>
            </w:r>
            <w:r w:rsidRPr="0098505F">
              <w:rPr>
                <w:rFonts w:ascii="Times New Roman" w:hAnsi="Times New Roman" w:cs="Times New Roman"/>
                <w:sz w:val="22"/>
                <w:szCs w:val="22"/>
              </w:rPr>
              <w:t>43345803</w:t>
            </w:r>
          </w:p>
        </w:tc>
        <w:tc>
          <w:tcPr>
            <w:tcW w:w="1843" w:type="dxa"/>
          </w:tcPr>
          <w:p w14:paraId="645932E9"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1.006054</w:t>
            </w:r>
          </w:p>
        </w:tc>
        <w:tc>
          <w:tcPr>
            <w:tcW w:w="1134" w:type="dxa"/>
          </w:tcPr>
          <w:p w14:paraId="4D030809"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0.589830</w:t>
            </w:r>
          </w:p>
        </w:tc>
      </w:tr>
      <w:tr w:rsidR="004B4A87" w:rsidRPr="00913488" w14:paraId="3BF10706" w14:textId="77777777" w:rsidTr="00FA77C9">
        <w:tc>
          <w:tcPr>
            <w:tcW w:w="2122" w:type="dxa"/>
          </w:tcPr>
          <w:p w14:paraId="358264F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rs78438918</w:t>
            </w:r>
          </w:p>
        </w:tc>
        <w:tc>
          <w:tcPr>
            <w:tcW w:w="1984" w:type="dxa"/>
          </w:tcPr>
          <w:p w14:paraId="6667992A" w14:textId="77777777" w:rsidR="004B4A87" w:rsidRPr="00913488" w:rsidRDefault="004B4A87" w:rsidP="00FA77C9">
            <w:pPr>
              <w:rPr>
                <w:rFonts w:ascii="Times New Roman" w:hAnsi="Times New Roman" w:cs="Times New Roman"/>
                <w:sz w:val="22"/>
                <w:szCs w:val="22"/>
              </w:rPr>
            </w:pPr>
            <w:r w:rsidRPr="0098505F">
              <w:rPr>
                <w:rFonts w:ascii="Times New Roman" w:hAnsi="Times New Roman" w:cs="Times New Roman"/>
                <w:sz w:val="22"/>
                <w:szCs w:val="22"/>
              </w:rPr>
              <w:t>2,</w:t>
            </w:r>
            <w:r>
              <w:rPr>
                <w:rFonts w:ascii="Times New Roman" w:hAnsi="Times New Roman" w:cs="Times New Roman"/>
                <w:sz w:val="22"/>
                <w:szCs w:val="22"/>
              </w:rPr>
              <w:t xml:space="preserve"> </w:t>
            </w:r>
            <w:r w:rsidRPr="0098505F">
              <w:rPr>
                <w:rFonts w:ascii="Times New Roman" w:hAnsi="Times New Roman" w:cs="Times New Roman"/>
                <w:sz w:val="22"/>
                <w:szCs w:val="22"/>
              </w:rPr>
              <w:t>100630115</w:t>
            </w:r>
          </w:p>
        </w:tc>
        <w:tc>
          <w:tcPr>
            <w:tcW w:w="1843" w:type="dxa"/>
          </w:tcPr>
          <w:p w14:paraId="2F6BC6C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0.992192</w:t>
            </w:r>
          </w:p>
        </w:tc>
        <w:tc>
          <w:tcPr>
            <w:tcW w:w="1134" w:type="dxa"/>
          </w:tcPr>
          <w:p w14:paraId="54B4ECE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0.407431</w:t>
            </w:r>
          </w:p>
        </w:tc>
      </w:tr>
      <w:tr w:rsidR="004B4A87" w:rsidRPr="00913488" w14:paraId="170D5077" w14:textId="77777777" w:rsidTr="00FA77C9">
        <w:tc>
          <w:tcPr>
            <w:tcW w:w="2122" w:type="dxa"/>
          </w:tcPr>
          <w:p w14:paraId="28A7585C"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lastRenderedPageBreak/>
              <w:t>rs7859727</w:t>
            </w:r>
          </w:p>
        </w:tc>
        <w:tc>
          <w:tcPr>
            <w:tcW w:w="1984" w:type="dxa"/>
            <w:vAlign w:val="bottom"/>
          </w:tcPr>
          <w:p w14:paraId="36F57978"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9</w:t>
            </w:r>
            <w:r>
              <w:rPr>
                <w:rFonts w:ascii="Times New Roman" w:hAnsi="Times New Roman" w:cs="Times New Roman"/>
                <w:sz w:val="22"/>
                <w:szCs w:val="22"/>
              </w:rPr>
              <w:t xml:space="preserve">, </w:t>
            </w:r>
            <w:r w:rsidRPr="00063DE7">
              <w:rPr>
                <w:rFonts w:ascii="Times New Roman" w:hAnsi="Times New Roman" w:cs="Times New Roman"/>
                <w:sz w:val="22"/>
                <w:szCs w:val="22"/>
              </w:rPr>
              <w:t>22102165</w:t>
            </w:r>
          </w:p>
        </w:tc>
        <w:tc>
          <w:tcPr>
            <w:tcW w:w="1843" w:type="dxa"/>
          </w:tcPr>
          <w:p w14:paraId="0241C55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1.009182</w:t>
            </w:r>
          </w:p>
        </w:tc>
        <w:tc>
          <w:tcPr>
            <w:tcW w:w="1134" w:type="dxa"/>
          </w:tcPr>
          <w:p w14:paraId="303C5EC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0.698642</w:t>
            </w:r>
          </w:p>
        </w:tc>
      </w:tr>
      <w:tr w:rsidR="004B4A87" w:rsidRPr="00913488" w14:paraId="349334CE" w14:textId="77777777" w:rsidTr="00FA77C9">
        <w:tc>
          <w:tcPr>
            <w:tcW w:w="2122" w:type="dxa"/>
          </w:tcPr>
          <w:p w14:paraId="74D4B0F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rs79570361</w:t>
            </w:r>
          </w:p>
        </w:tc>
        <w:tc>
          <w:tcPr>
            <w:tcW w:w="1984" w:type="dxa"/>
            <w:vAlign w:val="bottom"/>
          </w:tcPr>
          <w:p w14:paraId="1E967F87"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6</w:t>
            </w:r>
            <w:r>
              <w:rPr>
                <w:rFonts w:ascii="Times New Roman" w:hAnsi="Times New Roman" w:cs="Times New Roman"/>
                <w:sz w:val="22"/>
                <w:szCs w:val="22"/>
              </w:rPr>
              <w:t xml:space="preserve">, </w:t>
            </w:r>
            <w:r w:rsidRPr="00063DE7">
              <w:rPr>
                <w:rFonts w:ascii="Times New Roman" w:hAnsi="Times New Roman" w:cs="Times New Roman"/>
                <w:sz w:val="22"/>
                <w:szCs w:val="22"/>
              </w:rPr>
              <w:t>161170855</w:t>
            </w:r>
          </w:p>
        </w:tc>
        <w:tc>
          <w:tcPr>
            <w:tcW w:w="1843" w:type="dxa"/>
          </w:tcPr>
          <w:p w14:paraId="0EA718B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1.010686</w:t>
            </w:r>
          </w:p>
        </w:tc>
        <w:tc>
          <w:tcPr>
            <w:tcW w:w="1134" w:type="dxa"/>
          </w:tcPr>
          <w:p w14:paraId="3B6BE093"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0.287228</w:t>
            </w:r>
          </w:p>
        </w:tc>
      </w:tr>
      <w:tr w:rsidR="004B4A87" w:rsidRPr="00913488" w14:paraId="516D8102" w14:textId="77777777" w:rsidTr="00FA77C9">
        <w:tc>
          <w:tcPr>
            <w:tcW w:w="2122" w:type="dxa"/>
          </w:tcPr>
          <w:p w14:paraId="0E5D8EAB"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rs8042849</w:t>
            </w:r>
          </w:p>
        </w:tc>
        <w:tc>
          <w:tcPr>
            <w:tcW w:w="1984" w:type="dxa"/>
            <w:vAlign w:val="bottom"/>
          </w:tcPr>
          <w:p w14:paraId="3636E2B4"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15</w:t>
            </w:r>
            <w:r>
              <w:rPr>
                <w:rFonts w:ascii="Times New Roman" w:hAnsi="Times New Roman" w:cs="Times New Roman"/>
                <w:sz w:val="22"/>
                <w:szCs w:val="22"/>
              </w:rPr>
              <w:t xml:space="preserve">, </w:t>
            </w:r>
            <w:r w:rsidRPr="00063DE7">
              <w:rPr>
                <w:rFonts w:ascii="Times New Roman" w:hAnsi="Times New Roman" w:cs="Times New Roman"/>
                <w:sz w:val="22"/>
                <w:szCs w:val="22"/>
              </w:rPr>
              <w:t>78817929</w:t>
            </w:r>
          </w:p>
        </w:tc>
        <w:tc>
          <w:tcPr>
            <w:tcW w:w="1843" w:type="dxa"/>
          </w:tcPr>
          <w:p w14:paraId="72A3F02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0.991840</w:t>
            </w:r>
          </w:p>
        </w:tc>
        <w:tc>
          <w:tcPr>
            <w:tcW w:w="1134" w:type="dxa"/>
          </w:tcPr>
          <w:p w14:paraId="1640DD1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0.625060</w:t>
            </w:r>
          </w:p>
        </w:tc>
      </w:tr>
      <w:tr w:rsidR="004B4A87" w:rsidRPr="00913488" w14:paraId="0E27DD0C" w14:textId="77777777" w:rsidTr="00FA77C9">
        <w:tc>
          <w:tcPr>
            <w:tcW w:w="2122" w:type="dxa"/>
          </w:tcPr>
          <w:p w14:paraId="70FB0D8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rs9277988</w:t>
            </w:r>
          </w:p>
        </w:tc>
        <w:tc>
          <w:tcPr>
            <w:tcW w:w="1984" w:type="dxa"/>
          </w:tcPr>
          <w:p w14:paraId="6A42F225" w14:textId="77777777" w:rsidR="004B4A87" w:rsidRPr="00913488" w:rsidRDefault="004B4A87" w:rsidP="00FA77C9">
            <w:pPr>
              <w:rPr>
                <w:rFonts w:ascii="Times New Roman" w:hAnsi="Times New Roman" w:cs="Times New Roman"/>
                <w:sz w:val="22"/>
                <w:szCs w:val="22"/>
              </w:rPr>
            </w:pPr>
            <w:r w:rsidRPr="00280E52">
              <w:rPr>
                <w:rFonts w:ascii="Times New Roman" w:hAnsi="Times New Roman" w:cs="Times New Roman"/>
                <w:sz w:val="22"/>
                <w:szCs w:val="22"/>
              </w:rPr>
              <w:t>6,</w:t>
            </w:r>
            <w:r>
              <w:rPr>
                <w:rFonts w:ascii="Times New Roman" w:hAnsi="Times New Roman" w:cs="Times New Roman"/>
                <w:sz w:val="22"/>
                <w:szCs w:val="22"/>
              </w:rPr>
              <w:t xml:space="preserve"> </w:t>
            </w:r>
            <w:r w:rsidRPr="00280E52">
              <w:rPr>
                <w:rFonts w:ascii="Times New Roman" w:hAnsi="Times New Roman" w:cs="Times New Roman"/>
                <w:sz w:val="22"/>
                <w:szCs w:val="22"/>
              </w:rPr>
              <w:t>33306235</w:t>
            </w:r>
          </w:p>
        </w:tc>
        <w:tc>
          <w:tcPr>
            <w:tcW w:w="1843" w:type="dxa"/>
          </w:tcPr>
          <w:p w14:paraId="25506A4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1.007102</w:t>
            </w:r>
          </w:p>
        </w:tc>
        <w:tc>
          <w:tcPr>
            <w:tcW w:w="1134" w:type="dxa"/>
          </w:tcPr>
          <w:p w14:paraId="1909204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0.442493</w:t>
            </w:r>
          </w:p>
        </w:tc>
      </w:tr>
      <w:tr w:rsidR="004B4A87" w:rsidRPr="00913488" w14:paraId="6C0912A0" w14:textId="77777777" w:rsidTr="00FA77C9">
        <w:tc>
          <w:tcPr>
            <w:tcW w:w="2122" w:type="dxa"/>
          </w:tcPr>
          <w:p w14:paraId="2A57D101"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rs9295128</w:t>
            </w:r>
          </w:p>
        </w:tc>
        <w:tc>
          <w:tcPr>
            <w:tcW w:w="1984" w:type="dxa"/>
            <w:vAlign w:val="bottom"/>
          </w:tcPr>
          <w:p w14:paraId="05F9DD52"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6</w:t>
            </w:r>
            <w:r>
              <w:rPr>
                <w:rFonts w:ascii="Times New Roman" w:hAnsi="Times New Roman" w:cs="Times New Roman"/>
                <w:sz w:val="22"/>
                <w:szCs w:val="22"/>
              </w:rPr>
              <w:t xml:space="preserve">, </w:t>
            </w:r>
            <w:r w:rsidRPr="00063DE7">
              <w:rPr>
                <w:rFonts w:ascii="Times New Roman" w:hAnsi="Times New Roman" w:cs="Times New Roman"/>
                <w:sz w:val="22"/>
                <w:szCs w:val="22"/>
              </w:rPr>
              <w:t>160751531</w:t>
            </w:r>
          </w:p>
        </w:tc>
        <w:tc>
          <w:tcPr>
            <w:tcW w:w="1843" w:type="dxa"/>
          </w:tcPr>
          <w:p w14:paraId="5DAC50F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1.038381</w:t>
            </w:r>
          </w:p>
        </w:tc>
        <w:tc>
          <w:tcPr>
            <w:tcW w:w="1134" w:type="dxa"/>
          </w:tcPr>
          <w:p w14:paraId="36AB7DE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0.113666</w:t>
            </w:r>
          </w:p>
        </w:tc>
      </w:tr>
      <w:tr w:rsidR="004B4A87" w:rsidRPr="00913488" w14:paraId="29CED531" w14:textId="77777777" w:rsidTr="00FA77C9">
        <w:tc>
          <w:tcPr>
            <w:tcW w:w="2122" w:type="dxa"/>
          </w:tcPr>
          <w:p w14:paraId="331C87E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rs9355297</w:t>
            </w:r>
          </w:p>
        </w:tc>
        <w:tc>
          <w:tcPr>
            <w:tcW w:w="1984" w:type="dxa"/>
            <w:vAlign w:val="bottom"/>
          </w:tcPr>
          <w:p w14:paraId="6897560D"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6</w:t>
            </w:r>
            <w:r>
              <w:rPr>
                <w:rFonts w:ascii="Times New Roman" w:hAnsi="Times New Roman" w:cs="Times New Roman"/>
                <w:sz w:val="22"/>
                <w:szCs w:val="22"/>
              </w:rPr>
              <w:t xml:space="preserve">, </w:t>
            </w:r>
            <w:r w:rsidRPr="00063DE7">
              <w:rPr>
                <w:rFonts w:ascii="Times New Roman" w:hAnsi="Times New Roman" w:cs="Times New Roman"/>
                <w:sz w:val="22"/>
                <w:szCs w:val="22"/>
              </w:rPr>
              <w:t>161023165</w:t>
            </w:r>
          </w:p>
        </w:tc>
        <w:tc>
          <w:tcPr>
            <w:tcW w:w="1843" w:type="dxa"/>
          </w:tcPr>
          <w:p w14:paraId="10CD3174"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0.992802</w:t>
            </w:r>
          </w:p>
        </w:tc>
        <w:tc>
          <w:tcPr>
            <w:tcW w:w="1134" w:type="dxa"/>
          </w:tcPr>
          <w:p w14:paraId="2AEEE4D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0.514198</w:t>
            </w:r>
          </w:p>
        </w:tc>
      </w:tr>
      <w:tr w:rsidR="004B4A87" w:rsidRPr="00913488" w14:paraId="6258E217" w14:textId="77777777" w:rsidTr="00FA77C9">
        <w:tc>
          <w:tcPr>
            <w:tcW w:w="2122" w:type="dxa"/>
          </w:tcPr>
          <w:p w14:paraId="7ED589A5"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rs9364552</w:t>
            </w:r>
          </w:p>
        </w:tc>
        <w:tc>
          <w:tcPr>
            <w:tcW w:w="1984" w:type="dxa"/>
            <w:vAlign w:val="bottom"/>
          </w:tcPr>
          <w:p w14:paraId="610E7EC4" w14:textId="77777777" w:rsidR="004B4A87" w:rsidRPr="00913488" w:rsidRDefault="004B4A87" w:rsidP="00FA77C9">
            <w:pPr>
              <w:rPr>
                <w:rFonts w:ascii="Times New Roman" w:hAnsi="Times New Roman" w:cs="Times New Roman"/>
                <w:sz w:val="22"/>
                <w:szCs w:val="22"/>
              </w:rPr>
            </w:pPr>
            <w:r w:rsidRPr="00063DE7">
              <w:rPr>
                <w:rFonts w:ascii="Times New Roman" w:hAnsi="Times New Roman" w:cs="Times New Roman"/>
                <w:sz w:val="22"/>
                <w:szCs w:val="22"/>
              </w:rPr>
              <w:t>6</w:t>
            </w:r>
            <w:r>
              <w:rPr>
                <w:rFonts w:ascii="Times New Roman" w:hAnsi="Times New Roman" w:cs="Times New Roman"/>
                <w:sz w:val="22"/>
                <w:szCs w:val="22"/>
              </w:rPr>
              <w:t xml:space="preserve">, </w:t>
            </w:r>
            <w:r w:rsidRPr="00063DE7">
              <w:rPr>
                <w:rFonts w:ascii="Times New Roman" w:hAnsi="Times New Roman" w:cs="Times New Roman"/>
                <w:sz w:val="22"/>
                <w:szCs w:val="22"/>
              </w:rPr>
              <w:t>160782934</w:t>
            </w:r>
          </w:p>
        </w:tc>
        <w:tc>
          <w:tcPr>
            <w:tcW w:w="1843" w:type="dxa"/>
          </w:tcPr>
          <w:p w14:paraId="042220EA"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1.005751</w:t>
            </w:r>
          </w:p>
        </w:tc>
        <w:tc>
          <w:tcPr>
            <w:tcW w:w="1134" w:type="dxa"/>
          </w:tcPr>
          <w:p w14:paraId="2C55603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0.706399</w:t>
            </w:r>
          </w:p>
        </w:tc>
      </w:tr>
      <w:tr w:rsidR="004B4A87" w:rsidRPr="00913488" w14:paraId="7E9BCF8C" w14:textId="77777777" w:rsidTr="00FA77C9">
        <w:tc>
          <w:tcPr>
            <w:tcW w:w="2122" w:type="dxa"/>
          </w:tcPr>
          <w:p w14:paraId="06E66A78"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rs940088</w:t>
            </w:r>
          </w:p>
        </w:tc>
        <w:tc>
          <w:tcPr>
            <w:tcW w:w="1984" w:type="dxa"/>
          </w:tcPr>
          <w:p w14:paraId="508F3677" w14:textId="77777777" w:rsidR="004B4A87" w:rsidRPr="00913488" w:rsidRDefault="004B4A87" w:rsidP="00FA77C9">
            <w:pPr>
              <w:rPr>
                <w:rFonts w:ascii="Times New Roman" w:hAnsi="Times New Roman" w:cs="Times New Roman"/>
                <w:sz w:val="22"/>
                <w:szCs w:val="22"/>
              </w:rPr>
            </w:pPr>
            <w:r w:rsidRPr="00280E52">
              <w:rPr>
                <w:rFonts w:ascii="Times New Roman" w:hAnsi="Times New Roman" w:cs="Times New Roman"/>
                <w:sz w:val="22"/>
                <w:szCs w:val="22"/>
              </w:rPr>
              <w:t>17,</w:t>
            </w:r>
            <w:r>
              <w:rPr>
                <w:rFonts w:ascii="Times New Roman" w:hAnsi="Times New Roman" w:cs="Times New Roman"/>
                <w:sz w:val="22"/>
                <w:szCs w:val="22"/>
              </w:rPr>
              <w:t xml:space="preserve"> </w:t>
            </w:r>
            <w:r w:rsidRPr="00280E52">
              <w:rPr>
                <w:rFonts w:ascii="Times New Roman" w:hAnsi="Times New Roman" w:cs="Times New Roman"/>
                <w:sz w:val="22"/>
                <w:szCs w:val="22"/>
              </w:rPr>
              <w:t>47145848</w:t>
            </w:r>
          </w:p>
        </w:tc>
        <w:tc>
          <w:tcPr>
            <w:tcW w:w="1843" w:type="dxa"/>
          </w:tcPr>
          <w:p w14:paraId="212947E7"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0.993680</w:t>
            </w:r>
          </w:p>
        </w:tc>
        <w:tc>
          <w:tcPr>
            <w:tcW w:w="1134" w:type="dxa"/>
          </w:tcPr>
          <w:p w14:paraId="47B82622"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0.535070</w:t>
            </w:r>
          </w:p>
        </w:tc>
      </w:tr>
      <w:tr w:rsidR="004B4A87" w:rsidRPr="00913488" w14:paraId="042EC265" w14:textId="77777777" w:rsidTr="00FA77C9">
        <w:tc>
          <w:tcPr>
            <w:tcW w:w="2122" w:type="dxa"/>
          </w:tcPr>
          <w:p w14:paraId="3A762EF6"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rs980183</w:t>
            </w:r>
          </w:p>
        </w:tc>
        <w:tc>
          <w:tcPr>
            <w:tcW w:w="1984" w:type="dxa"/>
          </w:tcPr>
          <w:p w14:paraId="62F46C01" w14:textId="77777777" w:rsidR="004B4A87" w:rsidRPr="00913488" w:rsidRDefault="004B4A87" w:rsidP="00FA77C9">
            <w:pPr>
              <w:rPr>
                <w:rFonts w:ascii="Times New Roman" w:hAnsi="Times New Roman" w:cs="Times New Roman"/>
                <w:sz w:val="22"/>
                <w:szCs w:val="22"/>
              </w:rPr>
            </w:pPr>
            <w:r w:rsidRPr="00280E52">
              <w:rPr>
                <w:rFonts w:ascii="Times New Roman" w:hAnsi="Times New Roman" w:cs="Times New Roman"/>
                <w:sz w:val="22"/>
                <w:szCs w:val="22"/>
              </w:rPr>
              <w:t>2,</w:t>
            </w:r>
            <w:r>
              <w:rPr>
                <w:rFonts w:ascii="Times New Roman" w:hAnsi="Times New Roman" w:cs="Times New Roman"/>
                <w:sz w:val="22"/>
                <w:szCs w:val="22"/>
              </w:rPr>
              <w:t xml:space="preserve"> </w:t>
            </w:r>
            <w:r w:rsidRPr="00280E52">
              <w:rPr>
                <w:rFonts w:ascii="Times New Roman" w:hAnsi="Times New Roman" w:cs="Times New Roman"/>
                <w:sz w:val="22"/>
                <w:szCs w:val="22"/>
              </w:rPr>
              <w:t>59311536</w:t>
            </w:r>
          </w:p>
        </w:tc>
        <w:tc>
          <w:tcPr>
            <w:tcW w:w="1843" w:type="dxa"/>
          </w:tcPr>
          <w:p w14:paraId="55E05DFE"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0.993676</w:t>
            </w:r>
          </w:p>
        </w:tc>
        <w:tc>
          <w:tcPr>
            <w:tcW w:w="1134" w:type="dxa"/>
          </w:tcPr>
          <w:p w14:paraId="1B82CE3D" w14:textId="77777777" w:rsidR="004B4A87" w:rsidRPr="00913488" w:rsidRDefault="004B4A87" w:rsidP="00FA77C9">
            <w:pPr>
              <w:rPr>
                <w:rFonts w:ascii="Times New Roman" w:hAnsi="Times New Roman" w:cs="Times New Roman"/>
                <w:sz w:val="22"/>
                <w:szCs w:val="22"/>
              </w:rPr>
            </w:pPr>
            <w:r w:rsidRPr="00913488">
              <w:rPr>
                <w:rFonts w:ascii="Times New Roman" w:hAnsi="Times New Roman" w:cs="Times New Roman"/>
                <w:sz w:val="22"/>
                <w:szCs w:val="22"/>
              </w:rPr>
              <w:t>0.620242</w:t>
            </w:r>
          </w:p>
        </w:tc>
      </w:tr>
    </w:tbl>
    <w:p w14:paraId="10E45411" w14:textId="77777777" w:rsidR="004B4A87" w:rsidRPr="00B72828" w:rsidRDefault="004B4A87" w:rsidP="004B4A87">
      <w:pPr>
        <w:rPr>
          <w:rFonts w:asciiTheme="majorBidi" w:hAnsiTheme="majorBidi" w:cstheme="majorBidi"/>
          <w:sz w:val="18"/>
          <w:szCs w:val="18"/>
        </w:rPr>
      </w:pPr>
      <w:r w:rsidRPr="00B72828">
        <w:rPr>
          <w:rFonts w:asciiTheme="majorBidi" w:hAnsiTheme="majorBidi" w:cstheme="majorBidi"/>
          <w:sz w:val="18"/>
          <w:szCs w:val="18"/>
        </w:rPr>
        <w:t>List of single nucleotide polymorphisms (SNPs) used in constructing the mvAge polygenic risk score, including rsID, chromosomal location (chromosome and position), odds ratio (OR), and corresponding weight derived from GWAS summary statistics</w:t>
      </w:r>
      <w:r>
        <w:rPr>
          <w:rFonts w:asciiTheme="majorBidi" w:hAnsiTheme="majorBidi" w:cstheme="majorBidi"/>
          <w:sz w:val="18"/>
          <w:szCs w:val="18"/>
        </w:rPr>
        <w:t xml:space="preserve"> (Beta and SE)</w:t>
      </w:r>
      <w:r w:rsidRPr="00B72828">
        <w:rPr>
          <w:rFonts w:asciiTheme="majorBidi" w:hAnsiTheme="majorBidi" w:cstheme="majorBidi"/>
          <w:sz w:val="18"/>
          <w:szCs w:val="18"/>
        </w:rPr>
        <w:t>.</w:t>
      </w:r>
      <w:r>
        <w:rPr>
          <w:rFonts w:asciiTheme="majorBidi" w:hAnsiTheme="majorBidi" w:cstheme="majorBidi"/>
          <w:sz w:val="18"/>
          <w:szCs w:val="18"/>
        </w:rPr>
        <w:t xml:space="preserve"> </w:t>
      </w:r>
    </w:p>
    <w:p w14:paraId="2279CC92" w14:textId="77777777" w:rsidR="004B4A87" w:rsidRDefault="004B4A87" w:rsidP="004B4A87">
      <w:pPr>
        <w:rPr>
          <w:rFonts w:asciiTheme="majorBidi" w:hAnsiTheme="majorBidi" w:cstheme="majorBidi"/>
          <w:b/>
          <w:bCs/>
          <w:sz w:val="22"/>
          <w:szCs w:val="22"/>
        </w:rPr>
      </w:pPr>
    </w:p>
    <w:p w14:paraId="35A9BFF3" w14:textId="77777777" w:rsidR="004B4A87" w:rsidRDefault="004B4A87" w:rsidP="004B4A87">
      <w:pPr>
        <w:rPr>
          <w:rFonts w:asciiTheme="majorBidi" w:hAnsiTheme="majorBidi" w:cstheme="majorBidi"/>
          <w:sz w:val="22"/>
          <w:szCs w:val="22"/>
        </w:rPr>
      </w:pPr>
    </w:p>
    <w:p w14:paraId="4C35AEFC" w14:textId="77777777" w:rsidR="004B4A87" w:rsidRDefault="004B4A87" w:rsidP="004B4A87">
      <w:pPr>
        <w:rPr>
          <w:rFonts w:asciiTheme="majorBidi" w:hAnsiTheme="majorBidi" w:cstheme="majorBidi"/>
          <w:sz w:val="22"/>
          <w:szCs w:val="22"/>
        </w:rPr>
      </w:pPr>
    </w:p>
    <w:p w14:paraId="4286CDFE" w14:textId="77777777" w:rsidR="004B4A87" w:rsidRDefault="004B4A87" w:rsidP="004B4A87">
      <w:pPr>
        <w:rPr>
          <w:rFonts w:asciiTheme="majorBidi" w:hAnsiTheme="majorBidi" w:cstheme="majorBidi"/>
          <w:b/>
          <w:bCs/>
          <w:sz w:val="22"/>
          <w:szCs w:val="22"/>
        </w:rPr>
      </w:pPr>
    </w:p>
    <w:p w14:paraId="489957F3" w14:textId="77777777" w:rsidR="004B4A87" w:rsidRDefault="004B4A87" w:rsidP="004B4A87">
      <w:pPr>
        <w:rPr>
          <w:rFonts w:asciiTheme="majorBidi" w:hAnsiTheme="majorBidi" w:cstheme="majorBidi"/>
          <w:b/>
          <w:bCs/>
          <w:sz w:val="22"/>
          <w:szCs w:val="22"/>
        </w:rPr>
      </w:pPr>
    </w:p>
    <w:p w14:paraId="3DCFD47A" w14:textId="77777777" w:rsidR="004B4A87" w:rsidRDefault="004B4A87" w:rsidP="004B4A87">
      <w:pPr>
        <w:rPr>
          <w:rFonts w:asciiTheme="majorBidi" w:hAnsiTheme="majorBidi" w:cstheme="majorBidi"/>
          <w:b/>
          <w:bCs/>
          <w:sz w:val="22"/>
          <w:szCs w:val="22"/>
        </w:rPr>
      </w:pPr>
      <w:r>
        <w:rPr>
          <w:noProof/>
        </w:rPr>
        <w:drawing>
          <wp:inline distT="0" distB="0" distL="0" distR="0" wp14:anchorId="300DA4B5" wp14:editId="167480C8">
            <wp:extent cx="5731510" cy="3272790"/>
            <wp:effectExtent l="0" t="0" r="2540" b="3810"/>
            <wp:docPr id="1680149591"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49591" name="Picture 2" descr="A screenshot of a compute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272790"/>
                    </a:xfrm>
                    <a:prstGeom prst="rect">
                      <a:avLst/>
                    </a:prstGeom>
                    <a:noFill/>
                    <a:ln>
                      <a:noFill/>
                    </a:ln>
                  </pic:spPr>
                </pic:pic>
              </a:graphicData>
            </a:graphic>
          </wp:inline>
        </w:drawing>
      </w:r>
    </w:p>
    <w:p w14:paraId="691725EF" w14:textId="77777777" w:rsidR="004B4A87" w:rsidRPr="00837F3B" w:rsidRDefault="004B4A87" w:rsidP="004B4A87">
      <w:pPr>
        <w:jc w:val="both"/>
        <w:rPr>
          <w:rFonts w:asciiTheme="majorBidi" w:hAnsiTheme="majorBidi" w:cstheme="majorBidi"/>
          <w:sz w:val="22"/>
          <w:szCs w:val="22"/>
        </w:rPr>
      </w:pPr>
      <w:r w:rsidRPr="001C4775">
        <w:rPr>
          <w:rFonts w:asciiTheme="majorBidi" w:hAnsiTheme="majorBidi" w:cstheme="majorBidi"/>
          <w:b/>
          <w:bCs/>
          <w:sz w:val="22"/>
          <w:szCs w:val="22"/>
        </w:rPr>
        <w:t xml:space="preserve">Fig </w:t>
      </w:r>
      <w:r>
        <w:rPr>
          <w:rFonts w:asciiTheme="majorBidi" w:hAnsiTheme="majorBidi" w:cstheme="majorBidi"/>
          <w:b/>
          <w:bCs/>
          <w:sz w:val="22"/>
          <w:szCs w:val="22"/>
        </w:rPr>
        <w:t>S1</w:t>
      </w:r>
      <w:r w:rsidRPr="001C4775">
        <w:rPr>
          <w:rFonts w:asciiTheme="majorBidi" w:hAnsiTheme="majorBidi" w:cstheme="majorBidi"/>
          <w:b/>
          <w:bCs/>
          <w:sz w:val="22"/>
          <w:szCs w:val="22"/>
        </w:rPr>
        <w:t>.</w:t>
      </w:r>
      <w:r>
        <w:rPr>
          <w:rFonts w:asciiTheme="majorBidi" w:hAnsiTheme="majorBidi" w:cstheme="majorBidi"/>
          <w:b/>
          <w:bCs/>
          <w:sz w:val="22"/>
          <w:szCs w:val="22"/>
        </w:rPr>
        <w:t xml:space="preserve"> </w:t>
      </w:r>
      <w:r w:rsidRPr="00837F3B">
        <w:rPr>
          <w:rFonts w:asciiTheme="majorBidi" w:hAnsiTheme="majorBidi" w:cstheme="majorBidi"/>
          <w:b/>
          <w:bCs/>
          <w:sz w:val="22"/>
          <w:szCs w:val="22"/>
        </w:rPr>
        <w:t>Univariate discrimination (AUC) for all-cause mortality by age group and follow-up horizon in TwinGene and UK Biobank.</w:t>
      </w:r>
      <w:r>
        <w:rPr>
          <w:rFonts w:asciiTheme="majorBidi" w:hAnsiTheme="majorBidi" w:cstheme="majorBidi"/>
          <w:b/>
          <w:bCs/>
          <w:sz w:val="22"/>
          <w:szCs w:val="22"/>
        </w:rPr>
        <w:t xml:space="preserve"> </w:t>
      </w:r>
      <w:r w:rsidRPr="008059D7">
        <w:rPr>
          <w:rFonts w:asciiTheme="majorBidi" w:hAnsiTheme="majorBidi" w:cstheme="majorBidi"/>
          <w:sz w:val="22"/>
          <w:szCs w:val="22"/>
        </w:rPr>
        <w:t>Heatmaps display area under the receiver operating characteristic curve (AUC) values from univariate models for mortality prediction stratified by baseline age group (&lt;50, 50–60, &gt;60 years) and follow-up duration (5, 10, and 15 years). Columns show predictors (FI, HD, KDM, PhenoAge, PRS, TL) and rows are cohorts (TwinGene and UK Biobank). Each tile reports the AUC value; tile color intensity reflects AUC magnitude using cohort-specific color scales (TwinGene: orange; UK Biobank: blue).</w:t>
      </w:r>
      <w:r w:rsidRPr="001D625A">
        <w:t xml:space="preserve"> </w:t>
      </w:r>
      <w:r w:rsidRPr="001D625A">
        <w:rPr>
          <w:rFonts w:asciiTheme="majorBidi" w:hAnsiTheme="majorBidi" w:cstheme="majorBidi"/>
          <w:sz w:val="22"/>
          <w:szCs w:val="22"/>
        </w:rPr>
        <w:t>P</w:t>
      </w:r>
      <w:r>
        <w:rPr>
          <w:rFonts w:asciiTheme="majorBidi" w:hAnsiTheme="majorBidi" w:cstheme="majorBidi"/>
          <w:sz w:val="22"/>
          <w:szCs w:val="22"/>
        </w:rPr>
        <w:t>RS: P</w:t>
      </w:r>
      <w:r w:rsidRPr="001D625A">
        <w:rPr>
          <w:rFonts w:asciiTheme="majorBidi" w:hAnsiTheme="majorBidi" w:cstheme="majorBidi"/>
          <w:sz w:val="22"/>
          <w:szCs w:val="22"/>
        </w:rPr>
        <w:t xml:space="preserve">olygenic Risk Scores, </w:t>
      </w:r>
      <w:r>
        <w:rPr>
          <w:rFonts w:asciiTheme="majorBidi" w:hAnsiTheme="majorBidi" w:cstheme="majorBidi"/>
          <w:sz w:val="22"/>
          <w:szCs w:val="22"/>
        </w:rPr>
        <w:t xml:space="preserve">PhenoAge: </w:t>
      </w:r>
      <w:r w:rsidRPr="001D625A">
        <w:rPr>
          <w:rFonts w:asciiTheme="majorBidi" w:hAnsiTheme="majorBidi" w:cstheme="majorBidi"/>
          <w:sz w:val="22"/>
          <w:szCs w:val="22"/>
        </w:rPr>
        <w:t xml:space="preserve">Phenotypic Age, </w:t>
      </w:r>
      <w:r>
        <w:rPr>
          <w:rFonts w:asciiTheme="majorBidi" w:hAnsiTheme="majorBidi" w:cstheme="majorBidi"/>
          <w:sz w:val="22"/>
          <w:szCs w:val="22"/>
        </w:rPr>
        <w:t xml:space="preserve">KDM: </w:t>
      </w:r>
      <w:r w:rsidRPr="001D625A">
        <w:rPr>
          <w:rFonts w:asciiTheme="majorBidi" w:hAnsiTheme="majorBidi" w:cstheme="majorBidi"/>
          <w:sz w:val="22"/>
          <w:szCs w:val="22"/>
        </w:rPr>
        <w:t xml:space="preserve">Klemera-Doubal Method, </w:t>
      </w:r>
      <w:r>
        <w:rPr>
          <w:rFonts w:asciiTheme="majorBidi" w:hAnsiTheme="majorBidi" w:cstheme="majorBidi"/>
          <w:sz w:val="22"/>
          <w:szCs w:val="22"/>
        </w:rPr>
        <w:t xml:space="preserve">HD: </w:t>
      </w:r>
      <w:r w:rsidRPr="001D625A">
        <w:rPr>
          <w:rFonts w:asciiTheme="majorBidi" w:hAnsiTheme="majorBidi" w:cstheme="majorBidi"/>
          <w:sz w:val="22"/>
          <w:szCs w:val="22"/>
        </w:rPr>
        <w:t xml:space="preserve">Homeostatic Dysregulation, </w:t>
      </w:r>
      <w:r>
        <w:rPr>
          <w:rFonts w:asciiTheme="majorBidi" w:hAnsiTheme="majorBidi" w:cstheme="majorBidi"/>
          <w:sz w:val="22"/>
          <w:szCs w:val="22"/>
        </w:rPr>
        <w:t xml:space="preserve">FI: </w:t>
      </w:r>
      <w:r w:rsidRPr="001D625A">
        <w:rPr>
          <w:rFonts w:asciiTheme="majorBidi" w:hAnsiTheme="majorBidi" w:cstheme="majorBidi"/>
          <w:sz w:val="22"/>
          <w:szCs w:val="22"/>
        </w:rPr>
        <w:t>Frailty Index</w:t>
      </w:r>
      <w:r>
        <w:rPr>
          <w:rFonts w:asciiTheme="majorBidi" w:hAnsiTheme="majorBidi" w:cstheme="majorBidi"/>
          <w:sz w:val="22"/>
          <w:szCs w:val="22"/>
        </w:rPr>
        <w:t xml:space="preserve">, TL: </w:t>
      </w:r>
      <w:r w:rsidRPr="001D625A">
        <w:rPr>
          <w:rFonts w:asciiTheme="majorBidi" w:hAnsiTheme="majorBidi" w:cstheme="majorBidi"/>
          <w:sz w:val="22"/>
          <w:szCs w:val="22"/>
        </w:rPr>
        <w:t>adjusted Telomere Length</w:t>
      </w:r>
      <w:r>
        <w:rPr>
          <w:rFonts w:asciiTheme="majorBidi" w:hAnsiTheme="majorBidi" w:cstheme="majorBidi"/>
          <w:sz w:val="22"/>
          <w:szCs w:val="22"/>
        </w:rPr>
        <w:t xml:space="preserve">. </w:t>
      </w:r>
    </w:p>
    <w:p w14:paraId="381724F5" w14:textId="77777777" w:rsidR="004B4A87" w:rsidRDefault="004B4A87" w:rsidP="004B4A87">
      <w:pPr>
        <w:rPr>
          <w:rFonts w:asciiTheme="majorBidi" w:hAnsiTheme="majorBidi" w:cstheme="majorBidi"/>
          <w:b/>
          <w:bCs/>
          <w:sz w:val="22"/>
          <w:szCs w:val="22"/>
        </w:rPr>
      </w:pPr>
    </w:p>
    <w:p w14:paraId="6AF18A64" w14:textId="77777777" w:rsidR="004B4A87" w:rsidRDefault="004B4A87" w:rsidP="004B4A87">
      <w:pPr>
        <w:rPr>
          <w:rFonts w:asciiTheme="majorBidi" w:hAnsiTheme="majorBidi" w:cstheme="majorBidi"/>
          <w:b/>
          <w:bCs/>
          <w:sz w:val="22"/>
          <w:szCs w:val="22"/>
        </w:rPr>
      </w:pPr>
    </w:p>
    <w:p w14:paraId="4F5711CB" w14:textId="77777777" w:rsidR="004B4A87" w:rsidRDefault="004B4A87" w:rsidP="004B4A87">
      <w:pPr>
        <w:rPr>
          <w:rFonts w:asciiTheme="majorBidi" w:hAnsiTheme="majorBidi" w:cstheme="majorBidi"/>
          <w:b/>
          <w:bCs/>
          <w:sz w:val="22"/>
          <w:szCs w:val="22"/>
        </w:rPr>
      </w:pPr>
      <w:r>
        <w:rPr>
          <w:rFonts w:asciiTheme="majorBidi" w:hAnsiTheme="majorBidi" w:cstheme="majorBidi"/>
          <w:b/>
          <w:bCs/>
          <w:noProof/>
          <w:sz w:val="22"/>
          <w:szCs w:val="22"/>
        </w:rPr>
        <w:drawing>
          <wp:inline distT="0" distB="0" distL="0" distR="0" wp14:anchorId="0E7D4802" wp14:editId="539D4016">
            <wp:extent cx="5833636" cy="3331012"/>
            <wp:effectExtent l="0" t="0" r="0" b="3175"/>
            <wp:docPr id="1295351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1579" cy="3335548"/>
                    </a:xfrm>
                    <a:prstGeom prst="rect">
                      <a:avLst/>
                    </a:prstGeom>
                    <a:noFill/>
                    <a:ln>
                      <a:noFill/>
                    </a:ln>
                  </pic:spPr>
                </pic:pic>
              </a:graphicData>
            </a:graphic>
          </wp:inline>
        </w:drawing>
      </w:r>
    </w:p>
    <w:p w14:paraId="5A526F23" w14:textId="77777777" w:rsidR="004B4A87" w:rsidRDefault="004B4A87" w:rsidP="004B4A87">
      <w:pPr>
        <w:rPr>
          <w:rFonts w:asciiTheme="majorBidi" w:hAnsiTheme="majorBidi" w:cstheme="majorBidi"/>
          <w:b/>
          <w:bCs/>
          <w:sz w:val="22"/>
          <w:szCs w:val="22"/>
        </w:rPr>
      </w:pPr>
    </w:p>
    <w:p w14:paraId="277E7C1D" w14:textId="77777777" w:rsidR="004B4A87" w:rsidRDefault="004B4A87" w:rsidP="004B4A87">
      <w:pPr>
        <w:jc w:val="both"/>
        <w:rPr>
          <w:rFonts w:asciiTheme="majorBidi" w:hAnsiTheme="majorBidi" w:cstheme="majorBidi"/>
          <w:sz w:val="22"/>
          <w:szCs w:val="22"/>
        </w:rPr>
      </w:pPr>
      <w:r w:rsidRPr="001C4775">
        <w:rPr>
          <w:rFonts w:asciiTheme="majorBidi" w:hAnsiTheme="majorBidi" w:cstheme="majorBidi"/>
          <w:b/>
          <w:bCs/>
          <w:sz w:val="22"/>
          <w:szCs w:val="22"/>
        </w:rPr>
        <w:t xml:space="preserve">Fig </w:t>
      </w:r>
      <w:r>
        <w:rPr>
          <w:rFonts w:asciiTheme="majorBidi" w:hAnsiTheme="majorBidi" w:cstheme="majorBidi"/>
          <w:b/>
          <w:bCs/>
          <w:sz w:val="22"/>
          <w:szCs w:val="22"/>
        </w:rPr>
        <w:t>S2</w:t>
      </w:r>
      <w:r w:rsidRPr="001C4775">
        <w:rPr>
          <w:rFonts w:asciiTheme="majorBidi" w:hAnsiTheme="majorBidi" w:cstheme="majorBidi"/>
          <w:b/>
          <w:bCs/>
          <w:sz w:val="22"/>
          <w:szCs w:val="22"/>
        </w:rPr>
        <w:t>.</w:t>
      </w:r>
      <w:r>
        <w:rPr>
          <w:rFonts w:asciiTheme="majorBidi" w:hAnsiTheme="majorBidi" w:cstheme="majorBidi"/>
          <w:b/>
          <w:bCs/>
          <w:sz w:val="22"/>
          <w:szCs w:val="22"/>
        </w:rPr>
        <w:t xml:space="preserve"> </w:t>
      </w:r>
      <w:r w:rsidRPr="00BC45F2">
        <w:rPr>
          <w:rFonts w:asciiTheme="majorBidi" w:hAnsiTheme="majorBidi" w:cstheme="majorBidi"/>
          <w:b/>
          <w:bCs/>
          <w:sz w:val="22"/>
          <w:szCs w:val="22"/>
        </w:rPr>
        <w:t>Evidence for effect modification of biological aging measures by lifestyle and demographic factors</w:t>
      </w:r>
      <w:r>
        <w:rPr>
          <w:rFonts w:asciiTheme="majorBidi" w:hAnsiTheme="majorBidi" w:cstheme="majorBidi"/>
          <w:b/>
          <w:bCs/>
          <w:sz w:val="22"/>
          <w:szCs w:val="22"/>
        </w:rPr>
        <w:t xml:space="preserve">. </w:t>
      </w:r>
      <w:r w:rsidRPr="003A1974">
        <w:rPr>
          <w:rFonts w:asciiTheme="majorBidi" w:hAnsiTheme="majorBidi" w:cstheme="majorBidi"/>
          <w:sz w:val="22"/>
          <w:szCs w:val="22"/>
        </w:rPr>
        <w:t>Heatmaps summarize statistical evidence for interaction terms between each predictor (PhenoAge, KDM, HD, FI, TL, PRS) and effect modifiers (BMI, sex, smoking, education) in models of all-cause mortality, shown separately for TwinGene and UK Biobank. Tile color represents −log10(</w:t>
      </w:r>
      <w:r w:rsidRPr="00B82777">
        <w:rPr>
          <w:rFonts w:asciiTheme="majorBidi" w:hAnsiTheme="majorBidi" w:cstheme="majorBidi"/>
          <w:i/>
          <w:iCs/>
          <w:sz w:val="22"/>
          <w:szCs w:val="22"/>
        </w:rPr>
        <w:t>P</w:t>
      </w:r>
      <w:r w:rsidRPr="003A1974">
        <w:rPr>
          <w:rFonts w:asciiTheme="majorBidi" w:hAnsiTheme="majorBidi" w:cstheme="majorBidi"/>
          <w:sz w:val="22"/>
          <w:szCs w:val="22"/>
        </w:rPr>
        <w:t xml:space="preserve">) for the interaction term (stronger color indicates stronger evidence), and each tile reports the corresponding </w:t>
      </w:r>
      <w:r w:rsidRPr="00B82777">
        <w:rPr>
          <w:rFonts w:asciiTheme="majorBidi" w:hAnsiTheme="majorBidi" w:cstheme="majorBidi"/>
          <w:i/>
          <w:iCs/>
          <w:sz w:val="22"/>
          <w:szCs w:val="22"/>
        </w:rPr>
        <w:t>P</w:t>
      </w:r>
      <w:r w:rsidRPr="003A1974">
        <w:rPr>
          <w:rFonts w:asciiTheme="majorBidi" w:hAnsiTheme="majorBidi" w:cstheme="majorBidi"/>
          <w:sz w:val="22"/>
          <w:szCs w:val="22"/>
        </w:rPr>
        <w:t>-value (values &lt;0.001 shown as “&lt;0.001”). Cohort-specific color scales are used to match the main figures (TwinGene: orange; UK Biobank: blue).</w:t>
      </w:r>
      <w:r>
        <w:rPr>
          <w:rFonts w:asciiTheme="majorBidi" w:hAnsiTheme="majorBidi" w:cstheme="majorBidi"/>
          <w:sz w:val="22"/>
          <w:szCs w:val="22"/>
        </w:rPr>
        <w:t xml:space="preserve"> </w:t>
      </w:r>
      <w:r w:rsidRPr="001D625A">
        <w:rPr>
          <w:rFonts w:asciiTheme="majorBidi" w:hAnsiTheme="majorBidi" w:cstheme="majorBidi"/>
          <w:sz w:val="22"/>
          <w:szCs w:val="22"/>
        </w:rPr>
        <w:t>P</w:t>
      </w:r>
      <w:r>
        <w:rPr>
          <w:rFonts w:asciiTheme="majorBidi" w:hAnsiTheme="majorBidi" w:cstheme="majorBidi"/>
          <w:sz w:val="22"/>
          <w:szCs w:val="22"/>
        </w:rPr>
        <w:t>RS: P</w:t>
      </w:r>
      <w:r w:rsidRPr="001D625A">
        <w:rPr>
          <w:rFonts w:asciiTheme="majorBidi" w:hAnsiTheme="majorBidi" w:cstheme="majorBidi"/>
          <w:sz w:val="22"/>
          <w:szCs w:val="22"/>
        </w:rPr>
        <w:t xml:space="preserve">olygenic Risk Scores, </w:t>
      </w:r>
      <w:r>
        <w:rPr>
          <w:rFonts w:asciiTheme="majorBidi" w:hAnsiTheme="majorBidi" w:cstheme="majorBidi"/>
          <w:sz w:val="22"/>
          <w:szCs w:val="22"/>
        </w:rPr>
        <w:t xml:space="preserve">PhenoAge: </w:t>
      </w:r>
      <w:r w:rsidRPr="001D625A">
        <w:rPr>
          <w:rFonts w:asciiTheme="majorBidi" w:hAnsiTheme="majorBidi" w:cstheme="majorBidi"/>
          <w:sz w:val="22"/>
          <w:szCs w:val="22"/>
        </w:rPr>
        <w:t xml:space="preserve">Phenotypic Age, </w:t>
      </w:r>
      <w:r>
        <w:rPr>
          <w:rFonts w:asciiTheme="majorBidi" w:hAnsiTheme="majorBidi" w:cstheme="majorBidi"/>
          <w:sz w:val="22"/>
          <w:szCs w:val="22"/>
        </w:rPr>
        <w:t xml:space="preserve">KDM: </w:t>
      </w:r>
      <w:r w:rsidRPr="001D625A">
        <w:rPr>
          <w:rFonts w:asciiTheme="majorBidi" w:hAnsiTheme="majorBidi" w:cstheme="majorBidi"/>
          <w:sz w:val="22"/>
          <w:szCs w:val="22"/>
        </w:rPr>
        <w:t xml:space="preserve">Klemera-Doubal Method, </w:t>
      </w:r>
      <w:r>
        <w:rPr>
          <w:rFonts w:asciiTheme="majorBidi" w:hAnsiTheme="majorBidi" w:cstheme="majorBidi"/>
          <w:sz w:val="22"/>
          <w:szCs w:val="22"/>
        </w:rPr>
        <w:t xml:space="preserve">HD: </w:t>
      </w:r>
      <w:r w:rsidRPr="001D625A">
        <w:rPr>
          <w:rFonts w:asciiTheme="majorBidi" w:hAnsiTheme="majorBidi" w:cstheme="majorBidi"/>
          <w:sz w:val="22"/>
          <w:szCs w:val="22"/>
        </w:rPr>
        <w:t xml:space="preserve">Homeostatic Dysregulation, </w:t>
      </w:r>
      <w:r>
        <w:rPr>
          <w:rFonts w:asciiTheme="majorBidi" w:hAnsiTheme="majorBidi" w:cstheme="majorBidi"/>
          <w:sz w:val="22"/>
          <w:szCs w:val="22"/>
        </w:rPr>
        <w:t xml:space="preserve">FI: </w:t>
      </w:r>
      <w:r w:rsidRPr="001D625A">
        <w:rPr>
          <w:rFonts w:asciiTheme="majorBidi" w:hAnsiTheme="majorBidi" w:cstheme="majorBidi"/>
          <w:sz w:val="22"/>
          <w:szCs w:val="22"/>
        </w:rPr>
        <w:t>Frailty Index</w:t>
      </w:r>
      <w:r>
        <w:rPr>
          <w:rFonts w:asciiTheme="majorBidi" w:hAnsiTheme="majorBidi" w:cstheme="majorBidi"/>
          <w:sz w:val="22"/>
          <w:szCs w:val="22"/>
        </w:rPr>
        <w:t xml:space="preserve">, TL: </w:t>
      </w:r>
      <w:r w:rsidRPr="001D625A">
        <w:rPr>
          <w:rFonts w:asciiTheme="majorBidi" w:hAnsiTheme="majorBidi" w:cstheme="majorBidi"/>
          <w:sz w:val="22"/>
          <w:szCs w:val="22"/>
        </w:rPr>
        <w:t>adjusted Telomere Length</w:t>
      </w:r>
      <w:r>
        <w:rPr>
          <w:rFonts w:asciiTheme="majorBidi" w:hAnsiTheme="majorBidi" w:cstheme="majorBidi"/>
          <w:sz w:val="22"/>
          <w:szCs w:val="22"/>
        </w:rPr>
        <w:t>.</w:t>
      </w:r>
    </w:p>
    <w:p w14:paraId="3A6C3BAD" w14:textId="77777777" w:rsidR="004B4A87" w:rsidRDefault="004B4A87" w:rsidP="004B4A87">
      <w:pPr>
        <w:jc w:val="both"/>
        <w:rPr>
          <w:rFonts w:asciiTheme="majorBidi" w:hAnsiTheme="majorBidi" w:cstheme="majorBidi"/>
          <w:sz w:val="22"/>
          <w:szCs w:val="22"/>
        </w:rPr>
      </w:pPr>
    </w:p>
    <w:p w14:paraId="653A3F33" w14:textId="77777777" w:rsidR="004B4A87" w:rsidRDefault="004B4A87" w:rsidP="004B4A87">
      <w:pPr>
        <w:jc w:val="both"/>
        <w:rPr>
          <w:rFonts w:asciiTheme="majorBidi" w:hAnsiTheme="majorBidi" w:cstheme="majorBidi"/>
          <w:sz w:val="22"/>
          <w:szCs w:val="22"/>
        </w:rPr>
      </w:pPr>
    </w:p>
    <w:p w14:paraId="06978230" w14:textId="77777777" w:rsidR="004B4A87" w:rsidRPr="00831AFE" w:rsidRDefault="004B4A87" w:rsidP="004B4A87">
      <w:pPr>
        <w:jc w:val="both"/>
        <w:rPr>
          <w:rFonts w:asciiTheme="majorBidi" w:hAnsiTheme="majorBidi" w:cstheme="majorBidi"/>
          <w:sz w:val="22"/>
          <w:szCs w:val="22"/>
        </w:rPr>
      </w:pPr>
    </w:p>
    <w:p w14:paraId="7D6A2C2C" w14:textId="77777777" w:rsidR="004B4A87" w:rsidRDefault="004B4A87" w:rsidP="004B4A87">
      <w:pPr>
        <w:rPr>
          <w:rFonts w:asciiTheme="majorBidi" w:hAnsiTheme="majorBidi" w:cstheme="majorBidi"/>
          <w:b/>
          <w:bCs/>
          <w:sz w:val="22"/>
          <w:szCs w:val="22"/>
        </w:rPr>
      </w:pPr>
      <w:r>
        <w:rPr>
          <w:noProof/>
        </w:rPr>
        <w:drawing>
          <wp:inline distT="0" distB="0" distL="0" distR="0" wp14:anchorId="75612CE5" wp14:editId="2C0433C5">
            <wp:extent cx="5731510" cy="3272790"/>
            <wp:effectExtent l="0" t="0" r="2540" b="3810"/>
            <wp:docPr id="468704258" name="Picture 2" descr="A group of graphs showing different sizes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04258" name="Picture 2" descr="A group of graphs showing different sizes of objects&#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272790"/>
                    </a:xfrm>
                    <a:prstGeom prst="rect">
                      <a:avLst/>
                    </a:prstGeom>
                    <a:noFill/>
                    <a:ln>
                      <a:noFill/>
                    </a:ln>
                  </pic:spPr>
                </pic:pic>
              </a:graphicData>
            </a:graphic>
          </wp:inline>
        </w:drawing>
      </w:r>
    </w:p>
    <w:p w14:paraId="6D2D91C9" w14:textId="77777777" w:rsidR="004B4A87" w:rsidRDefault="004B4A87" w:rsidP="004B4A87">
      <w:pPr>
        <w:jc w:val="both"/>
        <w:rPr>
          <w:rFonts w:asciiTheme="majorBidi" w:hAnsiTheme="majorBidi" w:cstheme="majorBidi"/>
          <w:b/>
          <w:bCs/>
          <w:sz w:val="22"/>
          <w:szCs w:val="22"/>
        </w:rPr>
      </w:pPr>
      <w:r w:rsidRPr="001C4775">
        <w:rPr>
          <w:rFonts w:asciiTheme="majorBidi" w:hAnsiTheme="majorBidi" w:cstheme="majorBidi"/>
          <w:b/>
          <w:bCs/>
          <w:sz w:val="22"/>
          <w:szCs w:val="22"/>
        </w:rPr>
        <w:t xml:space="preserve">Fig </w:t>
      </w:r>
      <w:r>
        <w:rPr>
          <w:rFonts w:asciiTheme="majorBidi" w:hAnsiTheme="majorBidi" w:cstheme="majorBidi"/>
          <w:b/>
          <w:bCs/>
          <w:sz w:val="22"/>
          <w:szCs w:val="22"/>
        </w:rPr>
        <w:t>S3</w:t>
      </w:r>
      <w:r w:rsidRPr="001C4775">
        <w:rPr>
          <w:rFonts w:asciiTheme="majorBidi" w:hAnsiTheme="majorBidi" w:cstheme="majorBidi"/>
          <w:b/>
          <w:bCs/>
          <w:sz w:val="22"/>
          <w:szCs w:val="22"/>
        </w:rPr>
        <w:t xml:space="preserve">. </w:t>
      </w:r>
      <w:r w:rsidRPr="00976A3A">
        <w:rPr>
          <w:rFonts w:asciiTheme="majorBidi" w:hAnsiTheme="majorBidi" w:cstheme="majorBidi"/>
          <w:b/>
          <w:bCs/>
          <w:sz w:val="22"/>
          <w:szCs w:val="22"/>
        </w:rPr>
        <w:t>Density plots of biomarkers in the TwinGene cohort</w:t>
      </w:r>
      <w:r>
        <w:rPr>
          <w:rFonts w:asciiTheme="majorBidi" w:hAnsiTheme="majorBidi" w:cstheme="majorBidi"/>
          <w:b/>
          <w:bCs/>
          <w:sz w:val="22"/>
          <w:szCs w:val="22"/>
        </w:rPr>
        <w:t xml:space="preserve">. </w:t>
      </w:r>
      <w:r w:rsidRPr="00EC071B">
        <w:rPr>
          <w:rFonts w:asciiTheme="majorBidi" w:hAnsiTheme="majorBidi" w:cstheme="majorBidi"/>
          <w:sz w:val="22"/>
          <w:szCs w:val="22"/>
        </w:rPr>
        <w:t xml:space="preserve">This figure shows the distributions of </w:t>
      </w:r>
      <w:r>
        <w:rPr>
          <w:rFonts w:asciiTheme="majorBidi" w:hAnsiTheme="majorBidi" w:cstheme="majorBidi"/>
          <w:sz w:val="22"/>
          <w:szCs w:val="22"/>
        </w:rPr>
        <w:t>8-</w:t>
      </w:r>
      <w:r w:rsidRPr="00EC071B">
        <w:rPr>
          <w:rFonts w:asciiTheme="majorBidi" w:hAnsiTheme="majorBidi" w:cstheme="majorBidi"/>
          <w:sz w:val="22"/>
          <w:szCs w:val="22"/>
        </w:rPr>
        <w:t xml:space="preserve">clinical biomarkers used to construct the blood-based biological </w:t>
      </w:r>
      <w:r>
        <w:rPr>
          <w:rFonts w:asciiTheme="majorBidi" w:hAnsiTheme="majorBidi" w:cstheme="majorBidi"/>
          <w:sz w:val="22"/>
          <w:szCs w:val="22"/>
        </w:rPr>
        <w:t>age</w:t>
      </w:r>
      <w:r w:rsidRPr="00EC071B">
        <w:rPr>
          <w:rFonts w:asciiTheme="majorBidi" w:hAnsiTheme="majorBidi" w:cstheme="majorBidi"/>
          <w:sz w:val="22"/>
          <w:szCs w:val="22"/>
        </w:rPr>
        <w:t xml:space="preserve"> </w:t>
      </w:r>
      <w:r>
        <w:rPr>
          <w:rFonts w:asciiTheme="majorBidi" w:hAnsiTheme="majorBidi" w:cstheme="majorBidi"/>
          <w:sz w:val="22"/>
          <w:szCs w:val="22"/>
        </w:rPr>
        <w:t>estimates</w:t>
      </w:r>
      <w:r w:rsidRPr="00EC071B">
        <w:rPr>
          <w:rFonts w:asciiTheme="majorBidi" w:hAnsiTheme="majorBidi" w:cstheme="majorBidi"/>
          <w:sz w:val="22"/>
          <w:szCs w:val="22"/>
        </w:rPr>
        <w:t xml:space="preserve"> in TwinGene. Panels display serum glucose (mmol/L), glycohemoglobin (HbA1c, %), creatinine (µmol/L), cystatin C (mg/L), triglycerides (mg/dL), total cholesterol (mg/dL), LDL</w:t>
      </w:r>
      <w:r>
        <w:rPr>
          <w:rFonts w:asciiTheme="majorBidi" w:hAnsiTheme="majorBidi" w:cstheme="majorBidi"/>
          <w:sz w:val="22"/>
          <w:szCs w:val="22"/>
        </w:rPr>
        <w:t xml:space="preserve"> and HDL</w:t>
      </w:r>
      <w:r w:rsidRPr="00EC071B">
        <w:rPr>
          <w:rFonts w:asciiTheme="majorBidi" w:hAnsiTheme="majorBidi" w:cstheme="majorBidi"/>
          <w:sz w:val="22"/>
          <w:szCs w:val="22"/>
        </w:rPr>
        <w:t xml:space="preserve"> cholesterol (mg/dL). Densities are shown for the analytic sample with complete biomarker data used in downstream modeling</w:t>
      </w:r>
      <w:r w:rsidRPr="00501A1B">
        <w:rPr>
          <w:rFonts w:asciiTheme="majorBidi" w:hAnsiTheme="majorBidi" w:cstheme="majorBidi"/>
          <w:sz w:val="22"/>
          <w:szCs w:val="22"/>
        </w:rPr>
        <w:t>.</w:t>
      </w:r>
      <w:r>
        <w:rPr>
          <w:rFonts w:asciiTheme="majorBidi" w:hAnsiTheme="majorBidi" w:cstheme="majorBidi"/>
          <w:sz w:val="22"/>
          <w:szCs w:val="22"/>
        </w:rPr>
        <w:t xml:space="preserve"> </w:t>
      </w:r>
    </w:p>
    <w:p w14:paraId="083ECB54" w14:textId="77777777" w:rsidR="004B4A87" w:rsidRDefault="004B4A87" w:rsidP="004B4A87">
      <w:pPr>
        <w:rPr>
          <w:rFonts w:asciiTheme="majorBidi" w:hAnsiTheme="majorBidi" w:cstheme="majorBidi"/>
          <w:b/>
          <w:bCs/>
          <w:sz w:val="22"/>
          <w:szCs w:val="22"/>
        </w:rPr>
      </w:pPr>
    </w:p>
    <w:p w14:paraId="6C0AFA01"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87"/>
    <w:rsid w:val="00223ABA"/>
    <w:rsid w:val="002978F5"/>
    <w:rsid w:val="003852CF"/>
    <w:rsid w:val="004B4A87"/>
    <w:rsid w:val="004E780C"/>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6FD7"/>
  <w15:chartTrackingRefBased/>
  <w15:docId w15:val="{DC2152EE-9B5C-4260-9A57-19AFA6A7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87"/>
    <w:pPr>
      <w:spacing w:after="0" w:line="240" w:lineRule="auto"/>
    </w:pPr>
  </w:style>
  <w:style w:type="paragraph" w:styleId="Heading1">
    <w:name w:val="heading 1"/>
    <w:basedOn w:val="Normal"/>
    <w:next w:val="Normal"/>
    <w:link w:val="Heading1Char"/>
    <w:uiPriority w:val="9"/>
    <w:qFormat/>
    <w:rsid w:val="004B4A8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A8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A8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A8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A8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A87"/>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A87"/>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A87"/>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A87"/>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A87"/>
    <w:rPr>
      <w:rFonts w:eastAsiaTheme="majorEastAsia" w:cstheme="majorBidi"/>
      <w:color w:val="272727" w:themeColor="text1" w:themeTint="D8"/>
    </w:rPr>
  </w:style>
  <w:style w:type="paragraph" w:styleId="Title">
    <w:name w:val="Title"/>
    <w:basedOn w:val="Normal"/>
    <w:next w:val="Normal"/>
    <w:link w:val="TitleChar"/>
    <w:uiPriority w:val="10"/>
    <w:qFormat/>
    <w:rsid w:val="004B4A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A8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A87"/>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4B4A87"/>
    <w:rPr>
      <w:i/>
      <w:iCs/>
      <w:color w:val="404040" w:themeColor="text1" w:themeTint="BF"/>
    </w:rPr>
  </w:style>
  <w:style w:type="paragraph" w:styleId="ListParagraph">
    <w:name w:val="List Paragraph"/>
    <w:basedOn w:val="Normal"/>
    <w:uiPriority w:val="34"/>
    <w:qFormat/>
    <w:rsid w:val="004B4A87"/>
    <w:pPr>
      <w:spacing w:after="160" w:line="278" w:lineRule="auto"/>
      <w:ind w:left="720"/>
      <w:contextualSpacing/>
    </w:pPr>
  </w:style>
  <w:style w:type="character" w:styleId="IntenseEmphasis">
    <w:name w:val="Intense Emphasis"/>
    <w:basedOn w:val="DefaultParagraphFont"/>
    <w:uiPriority w:val="21"/>
    <w:qFormat/>
    <w:rsid w:val="004B4A87"/>
    <w:rPr>
      <w:i/>
      <w:iCs/>
      <w:color w:val="0F4761" w:themeColor="accent1" w:themeShade="BF"/>
    </w:rPr>
  </w:style>
  <w:style w:type="paragraph" w:styleId="IntenseQuote">
    <w:name w:val="Intense Quote"/>
    <w:basedOn w:val="Normal"/>
    <w:next w:val="Normal"/>
    <w:link w:val="IntenseQuoteChar"/>
    <w:uiPriority w:val="30"/>
    <w:qFormat/>
    <w:rsid w:val="004B4A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A87"/>
    <w:rPr>
      <w:i/>
      <w:iCs/>
      <w:color w:val="0F4761" w:themeColor="accent1" w:themeShade="BF"/>
    </w:rPr>
  </w:style>
  <w:style w:type="character" w:styleId="IntenseReference">
    <w:name w:val="Intense Reference"/>
    <w:basedOn w:val="DefaultParagraphFont"/>
    <w:uiPriority w:val="32"/>
    <w:qFormat/>
    <w:rsid w:val="004B4A87"/>
    <w:rPr>
      <w:b/>
      <w:bCs/>
      <w:smallCaps/>
      <w:color w:val="0F4761" w:themeColor="accent1" w:themeShade="BF"/>
      <w:spacing w:val="5"/>
    </w:rPr>
  </w:style>
  <w:style w:type="table" w:styleId="TableGrid">
    <w:name w:val="Table Grid"/>
    <w:basedOn w:val="TableNormal"/>
    <w:uiPriority w:val="59"/>
    <w:rsid w:val="004B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2026-05-05T08:17:00Z</dcterms:created>
  <dcterms:modified xsi:type="dcterms:W3CDTF">2026-05-05T08:17:00Z</dcterms:modified>
</cp:coreProperties>
</file>