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17" w:tblpY="2069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930"/>
      </w:tblGrid>
      <w:tr w14:paraId="26E0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3530F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Theme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7E4DC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Subtheme</w:t>
            </w:r>
          </w:p>
        </w:tc>
      </w:tr>
      <w:tr w14:paraId="25D0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7D73CA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Behavioural Disruption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4AB625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Routine fragmentation and competing priorities</w:t>
            </w:r>
          </w:p>
        </w:tc>
      </w:tr>
      <w:tr w14:paraId="68A7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6510B3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5D30CF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Cognitive overload and regimen complexity</w:t>
            </w:r>
          </w:p>
        </w:tc>
      </w:tr>
      <w:tr w14:paraId="25F4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9FDD94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47848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Emerging concerns about harm and bodily signals</w:t>
            </w:r>
          </w:p>
        </w:tc>
      </w:tr>
      <w:tr w14:paraId="4D45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1E8FEA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3D325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Thin support and misaligned reminders</w:t>
            </w:r>
          </w:p>
        </w:tc>
      </w:tr>
      <w:tr w14:paraId="7607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05FBA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Adherence Withdrawal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72A3E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Rationalising disengagement</w:t>
            </w:r>
          </w:p>
        </w:tc>
      </w:tr>
      <w:tr w14:paraId="1F44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760B72C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058CE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Avoidance and concealment</w:t>
            </w:r>
          </w:p>
        </w:tc>
      </w:tr>
      <w:tr w14:paraId="6F2F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4E8BC87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6E8E5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Eroded self-efficacy and depleted motivation</w:t>
            </w:r>
          </w:p>
        </w:tc>
      </w:tr>
      <w:tr w14:paraId="2048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FF28F8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5C7744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Social withdrawal and reduced help-seeking</w:t>
            </w:r>
          </w:p>
        </w:tc>
      </w:tr>
      <w:tr w14:paraId="303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E5EF9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Resilience Activation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804A8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Salience of risk and wake-up moments</w:t>
            </w:r>
          </w:p>
        </w:tc>
      </w:tr>
      <w:tr w14:paraId="2368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8F0A4E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35D18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Credible explanation and sense-making</w:t>
            </w:r>
          </w:p>
        </w:tc>
      </w:tr>
      <w:tr w14:paraId="62E4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773042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595DA5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Vicarious learning and normalisation</w:t>
            </w:r>
          </w:p>
        </w:tc>
      </w:tr>
      <w:tr w14:paraId="77D0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42DE194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F7F62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Re-aligning support toward accompaniment</w:t>
            </w:r>
          </w:p>
        </w:tc>
      </w:tr>
      <w:tr w14:paraId="4BB0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CEBDE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Behavioural Recovery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CC83D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Tooling and planning for execution</w:t>
            </w:r>
          </w:p>
        </w:tc>
      </w:tr>
      <w:tr w14:paraId="04B5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7EC4E2C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B934B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Habit-linking and environmental anchoring</w:t>
            </w:r>
          </w:p>
        </w:tc>
      </w:tr>
      <w:tr w14:paraId="45DC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C3427B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3AE9A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Contingency strategies and error recovery</w:t>
            </w:r>
          </w:p>
        </w:tc>
      </w:tr>
      <w:tr w14:paraId="14D6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4A5CAEE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749555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Feedback-driven mastery and confidence rebuilding</w:t>
            </w:r>
          </w:p>
        </w:tc>
      </w:tr>
      <w:tr w14:paraId="37A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9DCBD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Re-stabilization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2BFA7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Automaticity and low-burden maintenance</w:t>
            </w:r>
          </w:p>
        </w:tc>
      </w:tr>
      <w:tr w14:paraId="0376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1CA822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FC78B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Identity alignment and self-responsibility narrative</w:t>
            </w:r>
          </w:p>
        </w:tc>
      </w:tr>
      <w:tr w14:paraId="08B3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E6C88F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7FF2FA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Recalibrated relationships and sustainable support</w:t>
            </w:r>
          </w:p>
        </w:tc>
      </w:tr>
      <w:tr w14:paraId="63C4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8DCDF1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A1EA6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Resilient cycling under new disruptions</w:t>
            </w:r>
          </w:p>
        </w:tc>
      </w:tr>
    </w:tbl>
    <w:p w14:paraId="1A554C26">
      <w:pPr>
        <w:rPr>
          <w:rFonts w:hint="default" w:ascii="Times New Roman" w:hAnsi="Times New Roman" w:cs="Times New Roman"/>
          <w:b/>
          <w:bCs/>
          <w:sz w:val="22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2"/>
          <w:szCs w:val="28"/>
        </w:rPr>
        <w:t>Appendix Table 1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8"/>
        </w:rPr>
        <w:t xml:space="preserve"> Themes and subthemes of behavioural resilience in medication adherence after percutaneous coronary intervention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460CB"/>
    <w:rsid w:val="2CF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2026-03-01T15:05:00Z</dcterms:created>
  <dcterms:modified xsi:type="dcterms:W3CDTF">2026-03-01T15:09:02Z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0DB4CD0064564FEDAD75AD267F33AE1F_11</vt:lpwstr>
  </property>
  <property fmtid="{D5CDD505-2E9C-101B-9397-08002B2CF9AE}" pid="4" name="KSOTemplateDocerSaveRecord">
    <vt:lpwstr>eyJoZGlkIjoiNTU0ZmIwYTQ3NzlmZGUxZmU3Zjk0M2IyZTNmM2IxNjAiLCJ1c2VySWQiOiIzMTA5Njg4NDYifQ==</vt:lpwstr>
  </property>
</Properties>
</file>