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721C" w14:textId="02E4A2C8" w:rsidR="00C07D07" w:rsidRPr="001F1C6D" w:rsidRDefault="00000000">
      <w:pPr>
        <w:jc w:val="center"/>
        <w:rPr>
          <w:rFonts w:ascii="Times New Roman" w:hAnsi="Times New Roman" w:cs="Times New Roman"/>
        </w:rPr>
      </w:pPr>
      <w:r w:rsidRPr="001F1C6D">
        <w:rPr>
          <w:rFonts w:ascii="Times New Roman" w:hAnsi="Times New Roman" w:cs="Times New Roman"/>
          <w:b/>
          <w:sz w:val="28"/>
        </w:rPr>
        <w:t xml:space="preserve">STROBE Statement </w:t>
      </w:r>
      <w:r w:rsidR="001F1C6D" w:rsidRPr="001F1C6D">
        <w:rPr>
          <w:rFonts w:ascii="Times New Roman" w:hAnsi="Times New Roman" w:cs="Times New Roman"/>
          <w:b/>
          <w:sz w:val="28"/>
        </w:rPr>
        <w:t>–</w:t>
      </w:r>
      <w:r w:rsidRPr="001F1C6D">
        <w:rPr>
          <w:rFonts w:ascii="Times New Roman" w:hAnsi="Times New Roman" w:cs="Times New Roman"/>
          <w:b/>
          <w:sz w:val="28"/>
        </w:rPr>
        <w:t xml:space="preserve"> Checklist</w:t>
      </w:r>
      <w:r w:rsidR="001F1C6D" w:rsidRPr="001F1C6D">
        <w:rPr>
          <w:rFonts w:ascii="Times New Roman" w:hAnsi="Times New Roman" w:cs="Times New Roman"/>
          <w:b/>
          <w:sz w:val="28"/>
        </w:rPr>
        <w:t xml:space="preserve"> of items that should be included in reports of observational studies</w:t>
      </w:r>
    </w:p>
    <w:p w14:paraId="7E278BBD" w14:textId="77777777" w:rsidR="00C07D07" w:rsidRPr="001F1C6D" w:rsidRDefault="00000000">
      <w:pPr>
        <w:jc w:val="center"/>
        <w:rPr>
          <w:rFonts w:ascii="Times New Roman" w:hAnsi="Times New Roman" w:cs="Times New Roman"/>
        </w:rPr>
      </w:pPr>
      <w:r w:rsidRPr="001F1C6D">
        <w:rPr>
          <w:rFonts w:ascii="Times New Roman" w:hAnsi="Times New Roman" w:cs="Times New Roman"/>
          <w:sz w:val="20"/>
        </w:rPr>
        <w:t>Active Cerebrospinal Fluid Exchange with IRRAflow® in Difficult Cerebrospinal Fluid: A Multicenter Italian Retrospective Cohort Study</w:t>
      </w:r>
    </w:p>
    <w:p w14:paraId="4E28BD42" w14:textId="3A1EA97A" w:rsidR="00C07D07" w:rsidRPr="001F1C6D" w:rsidRDefault="00000000">
      <w:pPr>
        <w:rPr>
          <w:rFonts w:ascii="Times New Roman" w:hAnsi="Times New Roman" w:cs="Times New Roman"/>
        </w:rPr>
      </w:pPr>
      <w:r w:rsidRPr="001F1C6D">
        <w:rPr>
          <w:rFonts w:ascii="Times New Roman" w:hAnsi="Times New Roman" w:cs="Times New Roman"/>
          <w:i/>
        </w:rPr>
        <w:t>Checklist type: STROBE combined checklist for observational studies. Study design treated as a multicenter retrospective observational cohort study. Page numbers below refer to the uploaded manuscript as rendered for review.</w:t>
      </w:r>
    </w:p>
    <w:tbl>
      <w:tblPr>
        <w:tblStyle w:val="Tabellasemplice-2"/>
        <w:tblW w:w="0" w:type="auto"/>
        <w:tblLook w:val="04A0" w:firstRow="1" w:lastRow="0" w:firstColumn="1" w:lastColumn="0" w:noHBand="0" w:noVBand="1"/>
      </w:tblPr>
      <w:tblGrid>
        <w:gridCol w:w="1500"/>
        <w:gridCol w:w="650"/>
        <w:gridCol w:w="4750"/>
        <w:gridCol w:w="6800"/>
      </w:tblGrid>
      <w:tr w:rsidR="00C07D07" w:rsidRPr="001F1C6D" w14:paraId="2EA0AB55" w14:textId="77777777" w:rsidTr="00A12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BF16086" w14:textId="77777777" w:rsidR="00C07D07" w:rsidRPr="001F1C6D" w:rsidRDefault="00000000">
            <w:pPr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Section</w:t>
            </w:r>
          </w:p>
        </w:tc>
        <w:tc>
          <w:tcPr>
            <w:tcW w:w="650" w:type="dxa"/>
          </w:tcPr>
          <w:p w14:paraId="4610BC76" w14:textId="77777777" w:rsidR="00C07D07" w:rsidRPr="001F1C6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Item</w:t>
            </w:r>
          </w:p>
        </w:tc>
        <w:tc>
          <w:tcPr>
            <w:tcW w:w="4750" w:type="dxa"/>
          </w:tcPr>
          <w:p w14:paraId="0B1AD529" w14:textId="77777777" w:rsidR="00C07D07" w:rsidRPr="001F1C6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STROBE recommendation</w:t>
            </w:r>
          </w:p>
        </w:tc>
        <w:tc>
          <w:tcPr>
            <w:tcW w:w="6800" w:type="dxa"/>
          </w:tcPr>
          <w:p w14:paraId="1F7034A7" w14:textId="77777777" w:rsidR="00C07D07" w:rsidRPr="001F1C6D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Location in manuscript / comments</w:t>
            </w:r>
          </w:p>
        </w:tc>
      </w:tr>
      <w:tr w:rsidR="00C07D07" w:rsidRPr="001F1C6D" w14:paraId="24A588CB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64D9AC5A" w14:textId="77777777" w:rsidR="00C07D07" w:rsidRPr="001F1C6D" w:rsidRDefault="00000000">
            <w:pPr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 w:val="0"/>
                <w:sz w:val="16"/>
              </w:rPr>
              <w:t>Title and abstract</w:t>
            </w:r>
          </w:p>
        </w:tc>
        <w:tc>
          <w:tcPr>
            <w:tcW w:w="650" w:type="dxa"/>
          </w:tcPr>
          <w:p w14:paraId="0DB5D5AF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1a</w:t>
            </w:r>
          </w:p>
        </w:tc>
        <w:tc>
          <w:tcPr>
            <w:tcW w:w="4750" w:type="dxa"/>
          </w:tcPr>
          <w:p w14:paraId="13D35E03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Indicate the study's design with a commonly used term in the title or the abstract.</w:t>
            </w:r>
          </w:p>
        </w:tc>
        <w:tc>
          <w:tcPr>
            <w:tcW w:w="6800" w:type="dxa"/>
          </w:tcPr>
          <w:p w14:paraId="2ECA5ED9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Title, p. 1; Abstract/Methods, p. 3. The manuscript explicitly states "Multicenter Italian Retrospective Cohort Study" in the title and "multicenter retrospective cohort study" in the abstract.</w:t>
            </w:r>
          </w:p>
        </w:tc>
      </w:tr>
      <w:tr w:rsidR="00C07D07" w:rsidRPr="001F1C6D" w14:paraId="3EE67818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D7DA50A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583173E8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1b</w:t>
            </w:r>
          </w:p>
        </w:tc>
        <w:tc>
          <w:tcPr>
            <w:tcW w:w="4750" w:type="dxa"/>
          </w:tcPr>
          <w:p w14:paraId="7C386E1C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Provide in the abstract an informative and balanced summary of what was done and what was found.</w:t>
            </w:r>
          </w:p>
        </w:tc>
        <w:tc>
          <w:tcPr>
            <w:tcW w:w="6800" w:type="dxa"/>
          </w:tcPr>
          <w:p w14:paraId="1BE5186B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Abstract, pp. 3-4. The abstract includes Background/Objective, Methods, Results, and Conclusions, with study population, endpoints, exposure-adjusted AE rates, GCS change, 30-day status, and conclusion.</w:t>
            </w:r>
          </w:p>
        </w:tc>
      </w:tr>
      <w:tr w:rsidR="00C07D07" w:rsidRPr="001F1C6D" w14:paraId="279E18B9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2A9A058A" w14:textId="77777777" w:rsidR="00C07D07" w:rsidRPr="001F1C6D" w:rsidRDefault="00000000">
            <w:pPr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 w:val="0"/>
                <w:sz w:val="16"/>
              </w:rPr>
              <w:t>Introduction</w:t>
            </w:r>
          </w:p>
        </w:tc>
        <w:tc>
          <w:tcPr>
            <w:tcW w:w="650" w:type="dxa"/>
          </w:tcPr>
          <w:p w14:paraId="71D34A48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4750" w:type="dxa"/>
          </w:tcPr>
          <w:p w14:paraId="51D5B37A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Explain the scientific background and rationale for the investigation being reported.</w:t>
            </w:r>
          </w:p>
        </w:tc>
        <w:tc>
          <w:tcPr>
            <w:tcW w:w="6800" w:type="dxa"/>
          </w:tcPr>
          <w:p w14:paraId="0E532AD0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Introduction, p. 5. Rationale is provided for difficult CSF, limitations of conventional passive EVD, and the potential role of active CSF exchange.</w:t>
            </w:r>
          </w:p>
        </w:tc>
      </w:tr>
      <w:tr w:rsidR="00C07D07" w:rsidRPr="001F1C6D" w14:paraId="4578E0A6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7273CA8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374EF5DD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3</w:t>
            </w:r>
          </w:p>
        </w:tc>
        <w:tc>
          <w:tcPr>
            <w:tcW w:w="4750" w:type="dxa"/>
          </w:tcPr>
          <w:p w14:paraId="6B3AEA49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State specific objectives, including any prespecified hypotheses.</w:t>
            </w:r>
          </w:p>
        </w:tc>
        <w:tc>
          <w:tcPr>
            <w:tcW w:w="6800" w:type="dxa"/>
          </w:tcPr>
          <w:p w14:paraId="4E3AEBE7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Introduction, p. 5. Objective stated as a multicenter Italian retrospective cohort describing feasibility and safety outcomes during device use, with clinical and radiological trajectories. No formal prespecified hypothesis is stated.</w:t>
            </w:r>
          </w:p>
        </w:tc>
      </w:tr>
      <w:tr w:rsidR="00C07D07" w:rsidRPr="001F1C6D" w14:paraId="7A87BE41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494F1114" w14:textId="77777777" w:rsidR="00C07D07" w:rsidRPr="001F1C6D" w:rsidRDefault="00000000">
            <w:pPr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 w:val="0"/>
                <w:sz w:val="16"/>
              </w:rPr>
              <w:t>Methods</w:t>
            </w:r>
          </w:p>
        </w:tc>
        <w:tc>
          <w:tcPr>
            <w:tcW w:w="650" w:type="dxa"/>
          </w:tcPr>
          <w:p w14:paraId="794EFEC2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4</w:t>
            </w:r>
          </w:p>
        </w:tc>
        <w:tc>
          <w:tcPr>
            <w:tcW w:w="4750" w:type="dxa"/>
          </w:tcPr>
          <w:p w14:paraId="66905827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Present key elements of study design early in the paper.</w:t>
            </w:r>
          </w:p>
        </w:tc>
        <w:tc>
          <w:tcPr>
            <w:tcW w:w="6800" w:type="dxa"/>
          </w:tcPr>
          <w:p w14:paraId="4A92BDCA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Methods/Study design and setting, p. 6. The study is described as a multicenter retrospective observational study.</w:t>
            </w:r>
          </w:p>
        </w:tc>
      </w:tr>
      <w:tr w:rsidR="00C07D07" w:rsidRPr="001F1C6D" w14:paraId="7A03BB6B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449AB594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7E34D33E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5</w:t>
            </w:r>
          </w:p>
        </w:tc>
        <w:tc>
          <w:tcPr>
            <w:tcW w:w="4750" w:type="dxa"/>
          </w:tcPr>
          <w:p w14:paraId="4B98E19E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6800" w:type="dxa"/>
          </w:tcPr>
          <w:p w14:paraId="43143A0C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Methods/Study design and setting, p. 6; Results/Cohort and indications, p. 10. The manuscript reports Italian neurosurgical/neurocritical care centers, study period October 1, 2022 to December 30, 2025, participating centers, and device exposure.</w:t>
            </w:r>
          </w:p>
        </w:tc>
      </w:tr>
      <w:tr w:rsidR="00C07D07" w:rsidRPr="001F1C6D" w14:paraId="4E7CE74A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C39E8A3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549E9D4A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6a</w:t>
            </w:r>
          </w:p>
        </w:tc>
        <w:tc>
          <w:tcPr>
            <w:tcW w:w="4750" w:type="dxa"/>
          </w:tcPr>
          <w:p w14:paraId="64050542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Cohort study: Give the eligibility criteria, and the sources and methods of selection of participants. Describe methods of follow-up.</w:t>
            </w:r>
          </w:p>
        </w:tc>
        <w:tc>
          <w:tcPr>
            <w:tcW w:w="6800" w:type="dxa"/>
          </w:tcPr>
          <w:p w14:paraId="2FA7ABF7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Methods/Participants, p. 6; Data collection and handling, p. 7; Outcomes, pp. 7-8. Adult patients treated with IRRAflow for hemorrhagic or infectious CSF pathology were eligible; cases were identified from medical records; 30-day clinical status, mRS, and follow-up imaging are reported where available.</w:t>
            </w:r>
          </w:p>
        </w:tc>
      </w:tr>
      <w:tr w:rsidR="00C07D07" w:rsidRPr="001F1C6D" w14:paraId="3C56C6BD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28C1E371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313F2C8F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6b</w:t>
            </w:r>
          </w:p>
        </w:tc>
        <w:tc>
          <w:tcPr>
            <w:tcW w:w="4750" w:type="dxa"/>
          </w:tcPr>
          <w:p w14:paraId="5F9D40DD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Cohort study: For matched studies, give matching criteria and number of exposed and unexposed.</w:t>
            </w:r>
          </w:p>
        </w:tc>
        <w:tc>
          <w:tcPr>
            <w:tcW w:w="6800" w:type="dxa"/>
          </w:tcPr>
          <w:p w14:paraId="2ECE531A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N/A. This was not a matched cohort study.</w:t>
            </w:r>
          </w:p>
        </w:tc>
      </w:tr>
      <w:tr w:rsidR="00C07D07" w:rsidRPr="001F1C6D" w14:paraId="095EBAFB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681326A3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41BE1D39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7</w:t>
            </w:r>
          </w:p>
        </w:tc>
        <w:tc>
          <w:tcPr>
            <w:tcW w:w="4750" w:type="dxa"/>
          </w:tcPr>
          <w:p w14:paraId="3573DDAA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6800" w:type="dxa"/>
          </w:tcPr>
          <w:p w14:paraId="390B80F3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Methods/Indication and anatomical target definitions, pp. 6-7; Outcomes, pp. 7-8; Exposure definition and exposure-based safety reporting, p. 8. Indications, device target, variables, primary and secondary endpoints, AEs, GCS, mRS, radiological outcome, device-days, and exposure-adjusted AE rates are defined.</w:t>
            </w:r>
          </w:p>
        </w:tc>
      </w:tr>
      <w:tr w:rsidR="00C07D07" w:rsidRPr="001F1C6D" w14:paraId="0BC5C130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237D45A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02DA37C6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8</w:t>
            </w:r>
          </w:p>
        </w:tc>
        <w:tc>
          <w:tcPr>
            <w:tcW w:w="4750" w:type="dxa"/>
          </w:tcPr>
          <w:p w14:paraId="089A4774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For each variable of interest, give sources of data and details of methods of assessment/measurement. Describe comparability of assessment methods if there is more than one group.</w:t>
            </w:r>
          </w:p>
        </w:tc>
        <w:tc>
          <w:tcPr>
            <w:tcW w:w="6800" w:type="dxa"/>
          </w:tcPr>
          <w:p w14:paraId="21B3DA2D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Methods/Data collection and handling, p. 7; Outcomes, pp. 7-8. Data were extracted from routine clinical documentation into a centralized anonymized database; CT/MRI follow-up reports and contemporaneous clinical documentation were used for radiological outcomes. Centralized imaging review was not available.</w:t>
            </w:r>
          </w:p>
        </w:tc>
      </w:tr>
      <w:tr w:rsidR="00C07D07" w:rsidRPr="001F1C6D" w14:paraId="1F8E8E2D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C9118A8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256BA86E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9</w:t>
            </w:r>
          </w:p>
        </w:tc>
        <w:tc>
          <w:tcPr>
            <w:tcW w:w="4750" w:type="dxa"/>
          </w:tcPr>
          <w:p w14:paraId="2E295975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Describe any efforts to address potential sources of bias.</w:t>
            </w:r>
          </w:p>
        </w:tc>
        <w:tc>
          <w:tcPr>
            <w:tcW w:w="6800" w:type="dxa"/>
          </w:tcPr>
          <w:p w14:paraId="03599AA6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Partly addressed. Methods/Treatment selection, p. 6, notes non-protocolized clinician judgment and local expertise/workflow/device availability; Statistical limitations, p. 9, and Discussion/Limitations, p. 13, discuss selection bias, residual confounding, incomplete documentation, heterogeneous case mix, and retrospective AE adjudication. Consider adding an explicit sentence in Methods on bias-mitigation efforts if required.</w:t>
            </w:r>
          </w:p>
        </w:tc>
      </w:tr>
      <w:tr w:rsidR="00C07D07" w:rsidRPr="001F1C6D" w14:paraId="2139F4AF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AF10CD8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4C8692A9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10</w:t>
            </w:r>
          </w:p>
        </w:tc>
        <w:tc>
          <w:tcPr>
            <w:tcW w:w="4750" w:type="dxa"/>
          </w:tcPr>
          <w:p w14:paraId="61B52F37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Explain how the study size was arrived at.</w:t>
            </w:r>
          </w:p>
        </w:tc>
        <w:tc>
          <w:tcPr>
            <w:tcW w:w="6800" w:type="dxa"/>
          </w:tcPr>
          <w:p w14:paraId="7EE1384E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Partly reported. Methods/Participants, p. 6, states retrospective case identification; Results, p. 10, reports 56 included patients. A formal sample-size rationale is not explicitly stated. Consider adding: "No a priori sample-size calculation was performed; sample size was determined by available eligible cases during the study period."</w:t>
            </w:r>
          </w:p>
        </w:tc>
      </w:tr>
      <w:tr w:rsidR="00C07D07" w:rsidRPr="001F1C6D" w14:paraId="244BF28F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476CAA13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2EC58633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11</w:t>
            </w:r>
          </w:p>
        </w:tc>
        <w:tc>
          <w:tcPr>
            <w:tcW w:w="4750" w:type="dxa"/>
          </w:tcPr>
          <w:p w14:paraId="6ABA308F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Explain how quantitative variables were handled in the analyses. If applicable, describe which groupings were chosen and why.</w:t>
            </w:r>
          </w:p>
        </w:tc>
        <w:tc>
          <w:tcPr>
            <w:tcW w:w="6800" w:type="dxa"/>
          </w:tcPr>
          <w:p w14:paraId="03E5DC95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Methods/Outcomes, pp. 7-8; Statistical analysis, pp. 8-9. Continuous variables are summarized by mean +/- SD or median/IQR/range according to distribution; mRS was dichotomized as favorable 0-2 vs unfavorable 3-6 where applicable; indication categories and outcomes are defined.</w:t>
            </w:r>
          </w:p>
        </w:tc>
      </w:tr>
      <w:tr w:rsidR="00C07D07" w:rsidRPr="001F1C6D" w14:paraId="3754A6D0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0A514CB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281B761B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12a</w:t>
            </w:r>
          </w:p>
        </w:tc>
        <w:tc>
          <w:tcPr>
            <w:tcW w:w="4750" w:type="dxa"/>
          </w:tcPr>
          <w:p w14:paraId="408EB2CA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Describe all statistical methods, including those used to control for confounding.</w:t>
            </w:r>
          </w:p>
        </w:tc>
        <w:tc>
          <w:tcPr>
            <w:tcW w:w="6800" w:type="dxa"/>
          </w:tcPr>
          <w:p w14:paraId="3D6DC613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Methods/Statistical analysis, pp. 8-9. Describes R/RStudio, descriptive framework, normality assessment, Mann-Whitney U, t-test, Fisher exact test, chi-square test, 95% CI, Wilcoxon signed-rank test, exposure-adjusted AE rates, exploratory adjusted analyses, complete-case approach, and p-value threshold.</w:t>
            </w:r>
          </w:p>
        </w:tc>
      </w:tr>
      <w:tr w:rsidR="00C07D07" w:rsidRPr="001F1C6D" w14:paraId="243F7854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45904038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49FC8932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12b</w:t>
            </w:r>
          </w:p>
        </w:tc>
        <w:tc>
          <w:tcPr>
            <w:tcW w:w="4750" w:type="dxa"/>
          </w:tcPr>
          <w:p w14:paraId="78282FBB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Describe any methods used to examine subgroups and interactions.</w:t>
            </w:r>
          </w:p>
        </w:tc>
        <w:tc>
          <w:tcPr>
            <w:tcW w:w="6800" w:type="dxa"/>
          </w:tcPr>
          <w:p w14:paraId="38BC20B4" w14:textId="6FA4C6B2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 xml:space="preserve">Methods/Statistical analysis, pp. 8-9; Results/Exploratory subgroup: cSDH, p. 11. Between-group comparisons were performed for hemorrhagic vs infectious cases; an exploratory cSDH subgroup is reported. </w:t>
            </w:r>
          </w:p>
        </w:tc>
      </w:tr>
      <w:tr w:rsidR="00C07D07" w:rsidRPr="001F1C6D" w14:paraId="0CFCBC44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1F7E750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0E71B5C4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12c</w:t>
            </w:r>
          </w:p>
        </w:tc>
        <w:tc>
          <w:tcPr>
            <w:tcW w:w="4750" w:type="dxa"/>
          </w:tcPr>
          <w:p w14:paraId="3B56E18B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Explain how missing data were addressed.</w:t>
            </w:r>
          </w:p>
        </w:tc>
        <w:tc>
          <w:tcPr>
            <w:tcW w:w="6800" w:type="dxa"/>
          </w:tcPr>
          <w:p w14:paraId="0F1753F6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Methods/Statistical analysis, p. 9. The manuscript states that analyses used a complete-case approach per outcome, with available denominators reported.</w:t>
            </w:r>
          </w:p>
        </w:tc>
      </w:tr>
      <w:tr w:rsidR="00C07D07" w:rsidRPr="001F1C6D" w14:paraId="76B63373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6CF4382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685DC504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12d</w:t>
            </w:r>
          </w:p>
        </w:tc>
        <w:tc>
          <w:tcPr>
            <w:tcW w:w="4750" w:type="dxa"/>
          </w:tcPr>
          <w:p w14:paraId="705C0EC8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Cohort study: If applicable, explain how loss to follow-up was addressed.</w:t>
            </w:r>
          </w:p>
        </w:tc>
        <w:tc>
          <w:tcPr>
            <w:tcW w:w="6800" w:type="dxa"/>
          </w:tcPr>
          <w:p w14:paraId="16AFF0D1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Partly addressed. Methods/Outcomes and Statistical analysis, pp. 7-9, state 30-day outcomes and complete-case analyses with available denominators. Results, p. 11, reports mRS availability (50/56) and follow-up neuroradiology availability (38/56). Consider explicitly stating whether any patients were lost to 30-day clinical follow-up.</w:t>
            </w:r>
          </w:p>
        </w:tc>
      </w:tr>
      <w:tr w:rsidR="00C07D07" w:rsidRPr="001F1C6D" w14:paraId="2BE23DCB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46E0C574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3803C497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12e</w:t>
            </w:r>
          </w:p>
        </w:tc>
        <w:tc>
          <w:tcPr>
            <w:tcW w:w="4750" w:type="dxa"/>
          </w:tcPr>
          <w:p w14:paraId="03999958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Describe any sensitivity analyses.</w:t>
            </w:r>
          </w:p>
        </w:tc>
        <w:tc>
          <w:tcPr>
            <w:tcW w:w="6800" w:type="dxa"/>
          </w:tcPr>
          <w:p w14:paraId="369C7932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N/A / not performed. The manuscript reports exploratory adjusted analyses and subgroup analyses, but no sensitivity analyses are described.</w:t>
            </w:r>
          </w:p>
        </w:tc>
      </w:tr>
      <w:tr w:rsidR="00C07D07" w:rsidRPr="001F1C6D" w14:paraId="5D00ECEC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21696B4A" w14:textId="77777777" w:rsidR="00C07D07" w:rsidRPr="001F1C6D" w:rsidRDefault="00000000">
            <w:pPr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 w:val="0"/>
                <w:sz w:val="16"/>
              </w:rPr>
              <w:t>Results</w:t>
            </w:r>
          </w:p>
        </w:tc>
        <w:tc>
          <w:tcPr>
            <w:tcW w:w="650" w:type="dxa"/>
          </w:tcPr>
          <w:p w14:paraId="6445C7DA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13a</w:t>
            </w:r>
          </w:p>
        </w:tc>
        <w:tc>
          <w:tcPr>
            <w:tcW w:w="4750" w:type="dxa"/>
          </w:tcPr>
          <w:p w14:paraId="6410EB75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Report numbers of individuals at each stage of study, e.g., potentially eligible, examined for eligibility, confirmed eligible, included, completing follow-up, and analysed.</w:t>
            </w:r>
          </w:p>
        </w:tc>
        <w:tc>
          <w:tcPr>
            <w:tcW w:w="6800" w:type="dxa"/>
          </w:tcPr>
          <w:p w14:paraId="7825CB9B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Results/Cohort and indications, p. 10, reports 56 included patients. Results, p. 11, reports mRS available for 50/56 and follow-up neuroradiology for 38/56. Numbers at earlier eligibility-screening stages are not reported.</w:t>
            </w:r>
          </w:p>
        </w:tc>
      </w:tr>
      <w:tr w:rsidR="00C07D07" w:rsidRPr="001F1C6D" w14:paraId="0C10F651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78DFE11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6D588DF7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13b</w:t>
            </w:r>
          </w:p>
        </w:tc>
        <w:tc>
          <w:tcPr>
            <w:tcW w:w="4750" w:type="dxa"/>
          </w:tcPr>
          <w:p w14:paraId="794B3AFB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Give reasons for non-participation at each stage.</w:t>
            </w:r>
          </w:p>
        </w:tc>
        <w:tc>
          <w:tcPr>
            <w:tcW w:w="6800" w:type="dxa"/>
          </w:tcPr>
          <w:p w14:paraId="5622B1EF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Not explicitly reported. Methods/Participants, p. 6, states that patients who denied or withdrew authorization were excluded where applicable. Actual numbers/reasons for non-participation are not provided.</w:t>
            </w:r>
          </w:p>
        </w:tc>
      </w:tr>
      <w:tr w:rsidR="00C07D07" w:rsidRPr="001F1C6D" w14:paraId="6ABFD95E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1C648C3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2EE21152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13c</w:t>
            </w:r>
          </w:p>
        </w:tc>
        <w:tc>
          <w:tcPr>
            <w:tcW w:w="4750" w:type="dxa"/>
          </w:tcPr>
          <w:p w14:paraId="31BF3E46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Consider use of a flow diagram.</w:t>
            </w:r>
          </w:p>
        </w:tc>
        <w:tc>
          <w:tcPr>
            <w:tcW w:w="6800" w:type="dxa"/>
          </w:tcPr>
          <w:p w14:paraId="10C4D8DA" w14:textId="1F67836B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 xml:space="preserve">Not included. There are no figures in the manuscript information. </w:t>
            </w:r>
          </w:p>
        </w:tc>
      </w:tr>
      <w:tr w:rsidR="00C07D07" w:rsidRPr="001F1C6D" w14:paraId="55E56ADF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D02D180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502BF9FC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14a</w:t>
            </w:r>
          </w:p>
        </w:tc>
        <w:tc>
          <w:tcPr>
            <w:tcW w:w="4750" w:type="dxa"/>
          </w:tcPr>
          <w:p w14:paraId="42221442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Give characteristics of study participants and information on exposures and potential confounders.</w:t>
            </w:r>
          </w:p>
        </w:tc>
        <w:tc>
          <w:tcPr>
            <w:tcW w:w="6800" w:type="dxa"/>
          </w:tcPr>
          <w:p w14:paraId="30700E68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Results/Cohort and indications and Baseline characteristics, p. 10; Table 1. Reports age, sex, indication, device target, participating centers, and refers to baseline characteristics.</w:t>
            </w:r>
          </w:p>
        </w:tc>
      </w:tr>
      <w:tr w:rsidR="00C07D07" w:rsidRPr="001F1C6D" w14:paraId="2B701F9B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D41C49A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3F202EBF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14b</w:t>
            </w:r>
          </w:p>
        </w:tc>
        <w:tc>
          <w:tcPr>
            <w:tcW w:w="4750" w:type="dxa"/>
          </w:tcPr>
          <w:p w14:paraId="50AE3751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Indicate number of participants with missing data for each variable of interest.</w:t>
            </w:r>
          </w:p>
        </w:tc>
        <w:tc>
          <w:tcPr>
            <w:tcW w:w="6800" w:type="dxa"/>
          </w:tcPr>
          <w:p w14:paraId="468D07C6" w14:textId="16FEBC6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Methods/Statistical analysis, p. 9, uses available denominators. Results, p. 11, reports mRS availability for 50/56 and follow-up neuroradiology for 38/56. Missing data for every variable of interest are not listed individually.</w:t>
            </w:r>
          </w:p>
        </w:tc>
      </w:tr>
      <w:tr w:rsidR="00C07D07" w:rsidRPr="001F1C6D" w14:paraId="4A69E6DC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7794DA3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53A40EE6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14c</w:t>
            </w:r>
          </w:p>
        </w:tc>
        <w:tc>
          <w:tcPr>
            <w:tcW w:w="4750" w:type="dxa"/>
          </w:tcPr>
          <w:p w14:paraId="57DC7F98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Cohort study: Summarise follow-up time, e.g., average and total amount.</w:t>
            </w:r>
          </w:p>
        </w:tc>
        <w:tc>
          <w:tcPr>
            <w:tcW w:w="6800" w:type="dxa"/>
          </w:tcPr>
          <w:p w14:paraId="4117D597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Results/Exposure, p. 10. Cumulative exposure was 473 device-days; median duration 7 days overall, 6 days hemorrhagic and 8 days infectious; indication-specific device-days are reported. Thirty-day clinical outcomes are reported.</w:t>
            </w:r>
          </w:p>
        </w:tc>
      </w:tr>
      <w:tr w:rsidR="00C07D07" w:rsidRPr="001F1C6D" w14:paraId="2736E1BA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5BCA5A11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7CEE1756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15</w:t>
            </w:r>
          </w:p>
        </w:tc>
        <w:tc>
          <w:tcPr>
            <w:tcW w:w="4750" w:type="dxa"/>
          </w:tcPr>
          <w:p w14:paraId="5502444A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Cohort study: Report numbers of outcome events or summary measures over time.</w:t>
            </w:r>
          </w:p>
        </w:tc>
        <w:tc>
          <w:tcPr>
            <w:tcW w:w="6800" w:type="dxa"/>
          </w:tcPr>
          <w:p w14:paraId="5302A313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Results/Primary outcome, pp. 10-11; Neurological, functional, and radiological trajectories, p. 11. Reports AEs overall and by type, rates per 100 device-days, 30-day mortality/status, mRS, GCS change, and radiological outcomes. Case-control and cross-sectional alternatives are N/A.</w:t>
            </w:r>
          </w:p>
        </w:tc>
      </w:tr>
      <w:tr w:rsidR="00C07D07" w:rsidRPr="001F1C6D" w14:paraId="593FEAEA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F7E5D88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2DD716C1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16a</w:t>
            </w:r>
          </w:p>
        </w:tc>
        <w:tc>
          <w:tcPr>
            <w:tcW w:w="4750" w:type="dxa"/>
          </w:tcPr>
          <w:p w14:paraId="2F90B69E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Give unadjusted estimates and, if applicable, confounder-adjusted estimates and precision. Make clear which confounders were adjusted for and why they were included.</w:t>
            </w:r>
          </w:p>
        </w:tc>
        <w:tc>
          <w:tcPr>
            <w:tcW w:w="6800" w:type="dxa"/>
          </w:tcPr>
          <w:p w14:paraId="5DBA9055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Results/Primary outcome, pp. 10-11. Reports AE proportions, exposure-adjusted rates, rate ratio 12.63 with 95% CI and p value, and exploratory adjusted OR with 95% CI. Statistical limitations, p. 9, notes that adjusted estimates are unstable because of sparse events/near-separation.</w:t>
            </w:r>
          </w:p>
        </w:tc>
      </w:tr>
      <w:tr w:rsidR="00C07D07" w:rsidRPr="001F1C6D" w14:paraId="4A62501C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423EB47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7105B538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16b</w:t>
            </w:r>
          </w:p>
        </w:tc>
        <w:tc>
          <w:tcPr>
            <w:tcW w:w="4750" w:type="dxa"/>
          </w:tcPr>
          <w:p w14:paraId="0306088E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Report category boundaries when continuous variables were categorized.</w:t>
            </w:r>
          </w:p>
        </w:tc>
        <w:tc>
          <w:tcPr>
            <w:tcW w:w="6800" w:type="dxa"/>
          </w:tcPr>
          <w:p w14:paraId="1982CF95" w14:textId="458E757D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 xml:space="preserve">Methods/Outcomes, pp. 7-8. mRS was summarized as favorable 0-2 vs unfavorable 3-6; global clinical status and radiological outcome categories are defined. </w:t>
            </w:r>
          </w:p>
        </w:tc>
      </w:tr>
      <w:tr w:rsidR="00C07D07" w:rsidRPr="001F1C6D" w14:paraId="2B3752EF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38A82FDE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27412E7E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16c</w:t>
            </w:r>
          </w:p>
        </w:tc>
        <w:tc>
          <w:tcPr>
            <w:tcW w:w="4750" w:type="dxa"/>
          </w:tcPr>
          <w:p w14:paraId="0AA15F42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If relevant, consider translating estimates of relative risk into absolute risk for a meaningful time period.</w:t>
            </w:r>
          </w:p>
        </w:tc>
        <w:tc>
          <w:tcPr>
            <w:tcW w:w="6800" w:type="dxa"/>
          </w:tcPr>
          <w:p w14:paraId="6BD02564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Addressed where relevant. Results, pp. 10-11, provide absolute counts/proportions and rates per 100 device-days in addition to the rate ratio. No additional translation appears necessary for this descriptive cohort.</w:t>
            </w:r>
          </w:p>
        </w:tc>
      </w:tr>
      <w:tr w:rsidR="00C07D07" w:rsidRPr="001F1C6D" w14:paraId="28BD7420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47559FE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250A1D79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17</w:t>
            </w:r>
          </w:p>
        </w:tc>
        <w:tc>
          <w:tcPr>
            <w:tcW w:w="4750" w:type="dxa"/>
          </w:tcPr>
          <w:p w14:paraId="10196747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Report other analyses done, e.g., analyses of subgroups and interactions, and sensitivity analyses.</w:t>
            </w:r>
          </w:p>
        </w:tc>
        <w:tc>
          <w:tcPr>
            <w:tcW w:w="6800" w:type="dxa"/>
          </w:tcPr>
          <w:p w14:paraId="399BCABC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Results/Exploratory subgroup: cSDH, p. 11; Primary outcome, pp. 10-11. Reports exploratory adjusted analysis and cSDH subgroup. No sensitivity analyses or interaction analyses are reported.</w:t>
            </w:r>
          </w:p>
        </w:tc>
      </w:tr>
      <w:tr w:rsidR="00C07D07" w:rsidRPr="001F1C6D" w14:paraId="17E2E271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71CC3B3" w14:textId="77777777" w:rsidR="00C07D07" w:rsidRPr="001F1C6D" w:rsidRDefault="00000000">
            <w:pPr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 w:val="0"/>
                <w:sz w:val="16"/>
              </w:rPr>
              <w:t>Discussion</w:t>
            </w:r>
          </w:p>
        </w:tc>
        <w:tc>
          <w:tcPr>
            <w:tcW w:w="650" w:type="dxa"/>
          </w:tcPr>
          <w:p w14:paraId="758C55DC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18</w:t>
            </w:r>
          </w:p>
        </w:tc>
        <w:tc>
          <w:tcPr>
            <w:tcW w:w="4750" w:type="dxa"/>
          </w:tcPr>
          <w:p w14:paraId="23C6BCBA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Summarise key results with reference to study objectives.</w:t>
            </w:r>
          </w:p>
        </w:tc>
        <w:tc>
          <w:tcPr>
            <w:tcW w:w="6800" w:type="dxa"/>
          </w:tcPr>
          <w:p w14:paraId="1A430350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Discussion, p. 12. Summarizes indication- and exposure-dependent safety, concentration of AEs in infectious cases, and the pragmatic exposure-based safety signal.</w:t>
            </w:r>
          </w:p>
        </w:tc>
      </w:tr>
      <w:tr w:rsidR="00C07D07" w:rsidRPr="001F1C6D" w14:paraId="360BDB2D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615BC60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3AE898F9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19</w:t>
            </w:r>
          </w:p>
        </w:tc>
        <w:tc>
          <w:tcPr>
            <w:tcW w:w="4750" w:type="dxa"/>
          </w:tcPr>
          <w:p w14:paraId="08416A18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Discuss limitations, taking into account sources of potential bias or imprecision. Discuss both direction and magnitude of potential bias.</w:t>
            </w:r>
          </w:p>
        </w:tc>
        <w:tc>
          <w:tcPr>
            <w:tcW w:w="6800" w:type="dxa"/>
          </w:tcPr>
          <w:p w14:paraId="508FC1D5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Discussion/Limitations, p. 13. Discusses retrospective design, incomplete documentation, residual confounding, heterogeneity, no control group, non-standardized settings/handling protocols, retrospective AE adjudication, and sparse events limiting adjusted analyses. Direction/magnitude of bias are discussed qualitatively, not quantitatively.</w:t>
            </w:r>
          </w:p>
        </w:tc>
      </w:tr>
      <w:tr w:rsidR="00C07D07" w:rsidRPr="001F1C6D" w14:paraId="734A3B67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7FE41C2B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6D19A11E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20</w:t>
            </w:r>
          </w:p>
        </w:tc>
        <w:tc>
          <w:tcPr>
            <w:tcW w:w="4750" w:type="dxa"/>
          </w:tcPr>
          <w:p w14:paraId="0B46F3B6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Give a cautious overall interpretation considering objectives, limitations, multiplicity of analyses, results from similar studies, and other relevant evidence.</w:t>
            </w:r>
          </w:p>
        </w:tc>
        <w:tc>
          <w:tcPr>
            <w:tcW w:w="6800" w:type="dxa"/>
          </w:tcPr>
          <w:p w14:paraId="3C0051AD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Discussion, pp. 12-13; Conclusions, pp. 14-15. Interpretation is cautious, emphasizing feasibility/safety signal, context-by-exposure framework, descriptive nature, and need for prospective indication-specific evaluation.</w:t>
            </w:r>
          </w:p>
        </w:tc>
      </w:tr>
      <w:tr w:rsidR="00C07D07" w:rsidRPr="001F1C6D" w14:paraId="108694CD" w14:textId="77777777" w:rsidTr="00A120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01D5CB4B" w14:textId="77777777" w:rsidR="00C07D07" w:rsidRPr="001F1C6D" w:rsidRDefault="00C07D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</w:tcPr>
          <w:p w14:paraId="01E4ACE1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21</w:t>
            </w:r>
          </w:p>
        </w:tc>
        <w:tc>
          <w:tcPr>
            <w:tcW w:w="4750" w:type="dxa"/>
          </w:tcPr>
          <w:p w14:paraId="3CC8E2CC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Discuss the generalisability/external validity of the study results.</w:t>
            </w:r>
          </w:p>
        </w:tc>
        <w:tc>
          <w:tcPr>
            <w:tcW w:w="6800" w:type="dxa"/>
          </w:tcPr>
          <w:p w14:paraId="01B17949" w14:textId="77777777" w:rsidR="00C07D07" w:rsidRPr="001F1C6D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Partly addressed. Discussion, pp. 12-13, frames the findings as real-world multicenter evidence but notes heterogeneous populations, selection bias, and lack of standardized protocols. Consider adding an explicit sentence using the term "generalizability" or "external validity" if desired.</w:t>
            </w:r>
          </w:p>
        </w:tc>
      </w:tr>
      <w:tr w:rsidR="00C07D07" w:rsidRPr="001F1C6D" w14:paraId="5CCA6891" w14:textId="77777777" w:rsidTr="00A120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" w:type="dxa"/>
          </w:tcPr>
          <w:p w14:paraId="1607478E" w14:textId="77777777" w:rsidR="00C07D07" w:rsidRPr="001F1C6D" w:rsidRDefault="00000000">
            <w:pPr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 w:val="0"/>
                <w:sz w:val="16"/>
              </w:rPr>
              <w:t>Other information</w:t>
            </w:r>
          </w:p>
        </w:tc>
        <w:tc>
          <w:tcPr>
            <w:tcW w:w="650" w:type="dxa"/>
          </w:tcPr>
          <w:p w14:paraId="3050DD37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b/>
                <w:sz w:val="16"/>
              </w:rPr>
              <w:t>22</w:t>
            </w:r>
          </w:p>
        </w:tc>
        <w:tc>
          <w:tcPr>
            <w:tcW w:w="4750" w:type="dxa"/>
          </w:tcPr>
          <w:p w14:paraId="29435D86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Give the source of funding and the role of funders for the present study and, if applicable, for the original study on which the present article is based.</w:t>
            </w:r>
          </w:p>
        </w:tc>
        <w:tc>
          <w:tcPr>
            <w:tcW w:w="6800" w:type="dxa"/>
          </w:tcPr>
          <w:p w14:paraId="1867AFA7" w14:textId="77777777" w:rsidR="00C07D07" w:rsidRPr="001F1C6D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F1C6D">
              <w:rPr>
                <w:rFonts w:ascii="Times New Roman" w:hAnsi="Times New Roman" w:cs="Times New Roman"/>
                <w:sz w:val="16"/>
              </w:rPr>
              <w:t>Details Page, p. 3. Funding is reported as "None." No funder role applies.</w:t>
            </w:r>
          </w:p>
        </w:tc>
      </w:tr>
    </w:tbl>
    <w:p w14:paraId="5C1A66C7" w14:textId="7A723F45" w:rsidR="00C07D07" w:rsidRPr="001F1C6D" w:rsidRDefault="00C07D07">
      <w:pPr>
        <w:spacing w:before="120"/>
        <w:rPr>
          <w:rFonts w:ascii="Times New Roman" w:hAnsi="Times New Roman" w:cs="Times New Roman"/>
        </w:rPr>
      </w:pPr>
    </w:p>
    <w:sectPr w:rsidR="00C07D07" w:rsidRPr="001F1C6D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1606395">
    <w:abstractNumId w:val="8"/>
  </w:num>
  <w:num w:numId="2" w16cid:durableId="1089812982">
    <w:abstractNumId w:val="6"/>
  </w:num>
  <w:num w:numId="3" w16cid:durableId="272905238">
    <w:abstractNumId w:val="5"/>
  </w:num>
  <w:num w:numId="4" w16cid:durableId="1450322262">
    <w:abstractNumId w:val="4"/>
  </w:num>
  <w:num w:numId="5" w16cid:durableId="434717501">
    <w:abstractNumId w:val="7"/>
  </w:num>
  <w:num w:numId="6" w16cid:durableId="1247887767">
    <w:abstractNumId w:val="3"/>
  </w:num>
  <w:num w:numId="7" w16cid:durableId="1082877131">
    <w:abstractNumId w:val="2"/>
  </w:num>
  <w:num w:numId="8" w16cid:durableId="1711496043">
    <w:abstractNumId w:val="1"/>
  </w:num>
  <w:num w:numId="9" w16cid:durableId="103411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1C6D"/>
    <w:rsid w:val="0029639D"/>
    <w:rsid w:val="00326F90"/>
    <w:rsid w:val="00A1209A"/>
    <w:rsid w:val="00AA1D8D"/>
    <w:rsid w:val="00B47730"/>
    <w:rsid w:val="00C07D07"/>
    <w:rsid w:val="00CB010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63404"/>
  <w14:defaultImageDpi w14:val="300"/>
  <w15:docId w15:val="{827723A0-BBBF-8F4B-A309-DD40616E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17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rPr>
      <w:rFonts w:ascii="Arial" w:hAnsi="Arial"/>
      <w:sz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lasemplice-2">
    <w:name w:val="Plain Table 2"/>
    <w:basedOn w:val="Tabellanormale"/>
    <w:uiPriority w:val="99"/>
    <w:rsid w:val="00A1209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 completed checklist - IRRAflow manuscript</dc:title>
  <dc:subject>Completed STROBE checklist</dc:subject>
  <dc:creator>OpenAI</dc:creator>
  <cp:keywords>STROBE, checklist, observational study, cohort, IRRAflow</cp:keywords>
  <dc:description>generated by python-docx</dc:description>
  <cp:lastModifiedBy>arsiskendaj@outlook.it</cp:lastModifiedBy>
  <cp:revision>3</cp:revision>
  <dcterms:created xsi:type="dcterms:W3CDTF">2013-12-23T23:15:00Z</dcterms:created>
  <dcterms:modified xsi:type="dcterms:W3CDTF">2026-05-07T08:11:00Z</dcterms:modified>
  <cp:category/>
</cp:coreProperties>
</file>