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66237" w14:textId="053963FA" w:rsidR="005149FF" w:rsidRPr="005149FF" w:rsidRDefault="005149FF" w:rsidP="005149FF">
      <w:pPr>
        <w:autoSpaceDE w:val="0"/>
        <w:autoSpaceDN w:val="0"/>
        <w:adjustRightInd w:val="0"/>
        <w:spacing w:line="360" w:lineRule="auto"/>
        <w:jc w:val="center"/>
        <w:rPr>
          <w:rFonts w:ascii="Times New Roman" w:hAnsi="Times New Roman" w:cs="Times New Roman"/>
          <w:color w:val="000000" w:themeColor="text1"/>
          <w:sz w:val="26"/>
          <w:szCs w:val="24"/>
        </w:rPr>
      </w:pPr>
      <w:bookmarkStart w:id="0" w:name="_Hlk54205360"/>
      <w:bookmarkStart w:id="1" w:name="OLE_LINK1"/>
      <w:bookmarkStart w:id="2" w:name="_Hlk136985250"/>
      <w:bookmarkStart w:id="3" w:name="_Hlk137071911"/>
      <w:r>
        <w:rPr>
          <w:rFonts w:ascii="Times New Roman" w:hAnsi="Times New Roman" w:cs="Times New Roman"/>
          <w:color w:val="000000" w:themeColor="text1"/>
          <w:sz w:val="26"/>
          <w:szCs w:val="24"/>
        </w:rPr>
        <w:t xml:space="preserve">Supplementary </w:t>
      </w:r>
      <w:bookmarkEnd w:id="0"/>
      <w:r>
        <w:rPr>
          <w:rFonts w:ascii="Times New Roman" w:hAnsi="Times New Roman" w:cs="Times New Roman"/>
          <w:color w:val="000000" w:themeColor="text1"/>
          <w:sz w:val="26"/>
          <w:szCs w:val="24"/>
        </w:rPr>
        <w:t>Material</w:t>
      </w:r>
      <w:bookmarkEnd w:id="1"/>
      <w:r>
        <w:rPr>
          <w:rFonts w:ascii="Times New Roman" w:hAnsi="Times New Roman" w:cs="Times New Roman"/>
          <w:color w:val="000000" w:themeColor="text1"/>
          <w:sz w:val="26"/>
          <w:szCs w:val="24"/>
        </w:rPr>
        <w:t>:</w:t>
      </w:r>
    </w:p>
    <w:p w14:paraId="347F45AC" w14:textId="77777777" w:rsidR="00713376" w:rsidRDefault="00713376" w:rsidP="005149FF">
      <w:pPr>
        <w:widowControl/>
        <w:spacing w:before="240" w:after="240" w:line="480" w:lineRule="auto"/>
        <w:jc w:val="left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Hlk137071936"/>
      <w:bookmarkEnd w:id="2"/>
      <w:bookmarkEnd w:id="3"/>
      <w:r w:rsidRPr="00713376">
        <w:rPr>
          <w:rFonts w:ascii="Times New Roman" w:hAnsi="Times New Roman" w:cs="Times New Roman" w:hint="eastAsia"/>
          <w:b/>
          <w:bCs/>
          <w:sz w:val="28"/>
          <w:szCs w:val="28"/>
        </w:rPr>
        <w:t xml:space="preserve">Tenecteplase Versus Alteplase in Mild Noncardioembolic Acute Ischemic Stroke: A Retrospective Cohort Study </w:t>
      </w:r>
    </w:p>
    <w:p w14:paraId="70EF7739" w14:textId="77777777" w:rsidR="00EF26EE" w:rsidRDefault="005149FF" w:rsidP="00EF26EE">
      <w:pPr>
        <w:widowControl/>
        <w:spacing w:before="240" w:after="240" w:line="480" w:lineRule="auto"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</w:pPr>
      <w:r w:rsidRPr="005149FF">
        <w:rPr>
          <w:rFonts w:ascii="Times New Roman" w:hAnsi="Times New Roman" w:cs="Times New Roman"/>
          <w:b/>
          <w:bCs/>
          <w:kern w:val="0"/>
          <w:sz w:val="22"/>
        </w:rPr>
        <w:t>Authors:</w:t>
      </w:r>
      <w:bookmarkEnd w:id="4"/>
      <w:r w:rsidRPr="005149FF">
        <w:rPr>
          <w:rFonts w:ascii="Times New Roman" w:eastAsia="等线" w:hAnsi="Times New Roman" w:cs="Times New Roman"/>
          <w:b/>
          <w:bCs/>
          <w:kern w:val="0"/>
          <w:sz w:val="24"/>
          <w:szCs w:val="24"/>
          <w:lang w:eastAsia="en-US"/>
        </w:rPr>
        <w:t xml:space="preserve"> 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Zongjie Shi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  <w:t>†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 xml:space="preserve">, 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Zhimin Yu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b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  <w:t>†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, Fang Liu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 xml:space="preserve">, 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Ruozhen Yuan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 xml:space="preserve">, </w:t>
      </w:r>
      <w:r w:rsidR="00EF26EE">
        <w:rPr>
          <w:rFonts w:ascii="Times New Roman" w:eastAsia="等线" w:hAnsi="Times New Roman" w:cs="Times New Roman" w:hint="eastAsia"/>
          <w:bCs/>
          <w:color w:val="000000" w:themeColor="text1"/>
          <w:kern w:val="0"/>
          <w:sz w:val="24"/>
          <w:szCs w:val="24"/>
        </w:rPr>
        <w:t>Yongmei Fan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 xml:space="preserve">, </w:t>
      </w:r>
      <w:bookmarkStart w:id="5" w:name="_Hlk110324887"/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</w:rPr>
        <w:t>Shunyuan Guo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  <w:t>*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,</w:t>
      </w:r>
      <w:bookmarkEnd w:id="5"/>
      <w:r w:rsidR="00EF26EE" w:rsidRPr="005149FF">
        <w:rPr>
          <w:rFonts w:ascii="Times New Roman" w:eastAsia="等线" w:hAnsi="Times New Roman" w:cs="Times New Roman" w:hint="eastAsia"/>
          <w:bCs/>
          <w:color w:val="FF0000"/>
          <w:kern w:val="0"/>
          <w:sz w:val="24"/>
          <w:szCs w:val="24"/>
        </w:rPr>
        <w:t xml:space="preserve"> 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lang w:eastAsia="en-US"/>
        </w:rPr>
        <w:t>Xinzhao Jiang</w:t>
      </w:r>
      <w:r w:rsidR="00EF26EE">
        <w:rPr>
          <w:rFonts w:ascii="Times New Roman" w:eastAsia="等线" w:hAnsi="Times New Roman" w:cs="Times New Roman" w:hint="eastAsia"/>
          <w:bCs/>
          <w:kern w:val="0"/>
          <w:sz w:val="24"/>
          <w:szCs w:val="24"/>
          <w:vertAlign w:val="superscript"/>
        </w:rPr>
        <w:t>a</w:t>
      </w:r>
      <w:r w:rsidR="00EF26EE" w:rsidRPr="005149FF"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  <w:lang w:eastAsia="en-US"/>
        </w:rPr>
        <w:t>*</w:t>
      </w:r>
    </w:p>
    <w:p w14:paraId="372E3E21" w14:textId="2DBDB3EE" w:rsidR="00F97A94" w:rsidRPr="00EF26EE" w:rsidRDefault="00F97A94" w:rsidP="005149FF">
      <w:pPr>
        <w:widowControl/>
        <w:spacing w:before="240" w:after="240" w:line="480" w:lineRule="auto"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</w:rPr>
      </w:pPr>
    </w:p>
    <w:p w14:paraId="5FA0A824" w14:textId="315F4A11" w:rsidR="00695B03" w:rsidRDefault="00695B03" w:rsidP="005149FF">
      <w:pPr>
        <w:widowControl/>
        <w:spacing w:before="240" w:after="240" w:line="480" w:lineRule="auto"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</w:rPr>
      </w:pPr>
      <w:r>
        <w:rPr>
          <w:noProof/>
        </w:rPr>
        <w:drawing>
          <wp:inline distT="0" distB="0" distL="0" distR="0" wp14:anchorId="2FA9319D" wp14:editId="5AEDEE14">
            <wp:extent cx="5274310" cy="4676115"/>
            <wp:effectExtent l="0" t="0" r="2540" b="0"/>
            <wp:docPr id="221886054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02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4676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E5DD15F" w14:textId="5E16D3DC" w:rsidR="00695B03" w:rsidRDefault="00695B03" w:rsidP="00695B03">
      <w:pPr>
        <w:rPr>
          <w:rFonts w:ascii="Times New Roman" w:hAnsi="Times New Roman" w:cs="Times New Roman"/>
          <w:sz w:val="24"/>
          <w:szCs w:val="24"/>
        </w:rPr>
      </w:pPr>
      <w:r w:rsidRPr="00D40181">
        <w:rPr>
          <w:rFonts w:ascii="Times New Roman" w:hAnsi="Times New Roman" w:cs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 w:cs="Times New Roman"/>
          <w:b/>
          <w:bCs/>
          <w:sz w:val="24"/>
          <w:szCs w:val="24"/>
        </w:rPr>
        <w:t>S</w:t>
      </w:r>
      <w:r w:rsidRPr="00D40181">
        <w:rPr>
          <w:rFonts w:ascii="Times New Roman" w:hAnsi="Times New Roman" w:cs="Times New Roman"/>
          <w:b/>
          <w:bCs/>
          <w:sz w:val="24"/>
          <w:szCs w:val="24"/>
        </w:rPr>
        <w:t>1</w:t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Pr="00FE695A">
        <w:rPr>
          <w:rFonts w:ascii="Times New Roman" w:hAnsi="Times New Roman" w:cs="Times New Roman"/>
          <w:sz w:val="24"/>
          <w:szCs w:val="24"/>
        </w:rPr>
        <w:t xml:space="preserve"> Subgroup</w:t>
      </w:r>
      <w:r w:rsidRPr="00FE695A">
        <w:rPr>
          <w:rFonts w:ascii="Times New Roman" w:hAnsi="Times New Roman" w:cs="Times New Roman" w:hint="eastAsia"/>
          <w:sz w:val="24"/>
          <w:szCs w:val="24"/>
        </w:rPr>
        <w:t xml:space="preserve"> analysis of early neurological deterioration within 24 hours after thrombolysis.</w:t>
      </w:r>
    </w:p>
    <w:p w14:paraId="20D6E00B" w14:textId="77777777" w:rsidR="00695B03" w:rsidRPr="00695B03" w:rsidRDefault="00695B03" w:rsidP="005149FF">
      <w:pPr>
        <w:widowControl/>
        <w:spacing w:before="240" w:after="240" w:line="480" w:lineRule="auto"/>
        <w:jc w:val="left"/>
        <w:rPr>
          <w:rFonts w:ascii="Times New Roman" w:eastAsia="等线" w:hAnsi="Times New Roman" w:cs="Times New Roman"/>
          <w:bCs/>
          <w:kern w:val="0"/>
          <w:sz w:val="24"/>
          <w:szCs w:val="24"/>
          <w:vertAlign w:val="superscript"/>
        </w:rPr>
      </w:pPr>
    </w:p>
    <w:p w14:paraId="06FB4906" w14:textId="77777777" w:rsidR="00695B03" w:rsidRDefault="00695B03" w:rsidP="00695B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BEF59D6" w14:textId="77777777" w:rsidR="00695B03" w:rsidRDefault="00695B03" w:rsidP="00695B03">
      <w:pPr>
        <w:rPr>
          <w:rFonts w:ascii="Times New Roman" w:eastAsia="宋体" w:hAnsi="Times New Roman" w:cs="Times New Roman"/>
          <w:b/>
          <w:bCs/>
          <w:sz w:val="24"/>
          <w:szCs w:val="24"/>
        </w:rPr>
      </w:pPr>
    </w:p>
    <w:p w14:paraId="625FBF7D" w14:textId="712D24F2" w:rsidR="00695B03" w:rsidRDefault="00695B03" w:rsidP="00695B03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71B88">
        <w:rPr>
          <w:rFonts w:ascii="Times New Roman" w:eastAsia="宋体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eastAsia="宋体" w:hAnsi="Times New Roman" w:cs="Times New Roman"/>
          <w:b/>
          <w:bCs/>
          <w:sz w:val="24"/>
          <w:szCs w:val="24"/>
        </w:rPr>
        <w:t>S</w:t>
      </w:r>
      <w:r w:rsidRPr="00E71B88">
        <w:rPr>
          <w:rFonts w:ascii="Times New Roman" w:eastAsia="宋体" w:hAnsi="Times New Roman" w:cs="Times New Roman"/>
          <w:b/>
          <w:bCs/>
          <w:sz w:val="24"/>
          <w:szCs w:val="24"/>
        </w:rPr>
        <w:t>1</w:t>
      </w:r>
      <w:r w:rsidRPr="00806940">
        <w:rPr>
          <w:rFonts w:ascii="Times New Roman" w:hAnsi="Times New Roman" w:cs="Times New Roman"/>
          <w:b/>
          <w:bCs/>
          <w:sz w:val="24"/>
          <w:szCs w:val="24"/>
        </w:rPr>
        <w:t>. Multivariable-Adjusted Regression Analyses</w:t>
      </w:r>
    </w:p>
    <w:p w14:paraId="0E41F867" w14:textId="77777777" w:rsidR="00695B03" w:rsidRPr="00806940" w:rsidRDefault="00695B03" w:rsidP="00695B03">
      <w:pPr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W w:w="0" w:type="auto"/>
        <w:tblCellSpacing w:w="15" w:type="dxa"/>
        <w:tblBorders>
          <w:top w:val="single" w:sz="4" w:space="0" w:color="auto"/>
          <w:bottom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1715"/>
        <w:gridCol w:w="1220"/>
        <w:gridCol w:w="835"/>
      </w:tblGrid>
      <w:tr w:rsidR="00695B03" w:rsidRPr="00806940" w14:paraId="0F0A4E12" w14:textId="77777777" w:rsidTr="00695B03">
        <w:trPr>
          <w:tblHeader/>
          <w:tblCellSpacing w:w="15" w:type="dxa"/>
        </w:trPr>
        <w:tc>
          <w:tcPr>
            <w:tcW w:w="4491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3E340AB" w14:textId="77777777" w:rsidR="00695B03" w:rsidRPr="00806940" w:rsidRDefault="00695B03" w:rsidP="0059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Variable</w:t>
            </w:r>
          </w:p>
        </w:tc>
        <w:tc>
          <w:tcPr>
            <w:tcW w:w="1685" w:type="dxa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10348AE9" w14:textId="77777777" w:rsidR="00695B03" w:rsidRPr="00806940" w:rsidRDefault="00695B03" w:rsidP="0059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Adjusted OR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C1B541" w14:textId="77777777" w:rsidR="00695B03" w:rsidRPr="00806940" w:rsidRDefault="00695B03" w:rsidP="0059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95% CI</w:t>
            </w:r>
          </w:p>
        </w:tc>
        <w:tc>
          <w:tcPr>
            <w:tcW w:w="0" w:type="auto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045369B1" w14:textId="77777777" w:rsidR="00695B03" w:rsidRPr="00806940" w:rsidRDefault="00695B03" w:rsidP="00597565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 Value</w:t>
            </w:r>
          </w:p>
        </w:tc>
      </w:tr>
      <w:tr w:rsidR="00695B03" w:rsidRPr="00806940" w14:paraId="48BD8F19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1961C6CF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Binary Logistic Model (mRS 0–1 vs 2–6)</w:t>
            </w:r>
          </w:p>
        </w:tc>
        <w:tc>
          <w:tcPr>
            <w:tcW w:w="1685" w:type="dxa"/>
            <w:vAlign w:val="center"/>
            <w:hideMark/>
          </w:tcPr>
          <w:p w14:paraId="5714A480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4DF7B045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23224E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03" w:rsidRPr="00806940" w14:paraId="4148872A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2B27973D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Tenecteplase vs Alteplase</w:t>
            </w:r>
          </w:p>
        </w:tc>
        <w:tc>
          <w:tcPr>
            <w:tcW w:w="1685" w:type="dxa"/>
            <w:vAlign w:val="center"/>
            <w:hideMark/>
          </w:tcPr>
          <w:p w14:paraId="28E1BAE1" w14:textId="37AC0524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177464">
              <w:rPr>
                <w:rFonts w:ascii="Times New Roman" w:hAnsi="Times New Roman" w:cs="Times New Roman" w:hint="eastAsia"/>
                <w:sz w:val="24"/>
                <w:szCs w:val="24"/>
              </w:rPr>
              <w:t>64</w:t>
            </w:r>
          </w:p>
        </w:tc>
        <w:tc>
          <w:tcPr>
            <w:tcW w:w="0" w:type="auto"/>
            <w:vAlign w:val="center"/>
            <w:hideMark/>
          </w:tcPr>
          <w:p w14:paraId="76CB1AA8" w14:textId="62AAD3FB" w:rsidR="00695B03" w:rsidRPr="00806940" w:rsidRDefault="00177464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 w:hint="eastAsia"/>
                <w:sz w:val="24"/>
                <w:szCs w:val="24"/>
              </w:rPr>
              <w:t>1.05</w:t>
            </w:r>
            <w:r w:rsidR="00695B03" w:rsidRPr="0080694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 w:hint="eastAsia"/>
                <w:sz w:val="24"/>
                <w:szCs w:val="24"/>
              </w:rPr>
              <w:t>6.64</w:t>
            </w:r>
          </w:p>
        </w:tc>
        <w:tc>
          <w:tcPr>
            <w:tcW w:w="0" w:type="auto"/>
            <w:vAlign w:val="center"/>
            <w:hideMark/>
          </w:tcPr>
          <w:p w14:paraId="68CAA5D3" w14:textId="69122A58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</w:t>
            </w:r>
            <w:r w:rsidR="00177464">
              <w:rPr>
                <w:rFonts w:ascii="Times New Roman" w:hAnsi="Times New Roman" w:cs="Times New Roman" w:hint="eastAsia"/>
                <w:sz w:val="24"/>
                <w:szCs w:val="24"/>
              </w:rPr>
              <w:t>39</w:t>
            </w:r>
          </w:p>
        </w:tc>
      </w:tr>
      <w:tr w:rsidR="00695B03" w:rsidRPr="00806940" w14:paraId="2AB1A59B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1676253C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Age (per year increase)</w:t>
            </w:r>
          </w:p>
        </w:tc>
        <w:tc>
          <w:tcPr>
            <w:tcW w:w="1685" w:type="dxa"/>
            <w:vAlign w:val="center"/>
            <w:hideMark/>
          </w:tcPr>
          <w:p w14:paraId="4D7F338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0.99</w:t>
            </w:r>
          </w:p>
        </w:tc>
        <w:tc>
          <w:tcPr>
            <w:tcW w:w="0" w:type="auto"/>
            <w:vAlign w:val="center"/>
            <w:hideMark/>
          </w:tcPr>
          <w:p w14:paraId="23E7CB5C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0.95–1.02</w:t>
            </w:r>
          </w:p>
        </w:tc>
        <w:tc>
          <w:tcPr>
            <w:tcW w:w="0" w:type="auto"/>
            <w:vAlign w:val="center"/>
            <w:hideMark/>
          </w:tcPr>
          <w:p w14:paraId="0E7146B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0.362</w:t>
            </w:r>
          </w:p>
        </w:tc>
      </w:tr>
      <w:tr w:rsidR="00695B03" w:rsidRPr="00806940" w14:paraId="37B6D7F3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C2AF2B6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Baseline NIHSS (per point increase)</w:t>
            </w:r>
          </w:p>
        </w:tc>
        <w:tc>
          <w:tcPr>
            <w:tcW w:w="1685" w:type="dxa"/>
            <w:vAlign w:val="center"/>
            <w:hideMark/>
          </w:tcPr>
          <w:p w14:paraId="16AE344B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0.83</w:t>
            </w:r>
          </w:p>
        </w:tc>
        <w:tc>
          <w:tcPr>
            <w:tcW w:w="0" w:type="auto"/>
            <w:vAlign w:val="center"/>
            <w:hideMark/>
          </w:tcPr>
          <w:p w14:paraId="3418E49C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0.68–1.01</w:t>
            </w:r>
          </w:p>
        </w:tc>
        <w:tc>
          <w:tcPr>
            <w:tcW w:w="0" w:type="auto"/>
            <w:vAlign w:val="center"/>
            <w:hideMark/>
          </w:tcPr>
          <w:p w14:paraId="3A06F376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0.065</w:t>
            </w:r>
          </w:p>
        </w:tc>
      </w:tr>
      <w:tr w:rsidR="00695B03" w:rsidRPr="00806940" w14:paraId="5E63350A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C875632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Admission Glucose (per mmol/L increase)</w:t>
            </w:r>
          </w:p>
        </w:tc>
        <w:tc>
          <w:tcPr>
            <w:tcW w:w="1685" w:type="dxa"/>
            <w:vAlign w:val="center"/>
            <w:hideMark/>
          </w:tcPr>
          <w:p w14:paraId="6F02C2F5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0.92</w:t>
            </w:r>
          </w:p>
        </w:tc>
        <w:tc>
          <w:tcPr>
            <w:tcW w:w="0" w:type="auto"/>
            <w:vAlign w:val="center"/>
            <w:hideMark/>
          </w:tcPr>
          <w:p w14:paraId="57FE2883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0.82–1.03</w:t>
            </w:r>
          </w:p>
        </w:tc>
        <w:tc>
          <w:tcPr>
            <w:tcW w:w="0" w:type="auto"/>
            <w:vAlign w:val="center"/>
            <w:hideMark/>
          </w:tcPr>
          <w:p w14:paraId="4C651F0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0.145</w:t>
            </w:r>
          </w:p>
        </w:tc>
      </w:tr>
      <w:tr w:rsidR="00695B03" w:rsidRPr="00806940" w14:paraId="1276D6B4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1EF6AC02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5" w:type="dxa"/>
            <w:vAlign w:val="center"/>
            <w:hideMark/>
          </w:tcPr>
          <w:p w14:paraId="7831875D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F22F54C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1B29177D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03" w:rsidRPr="00806940" w14:paraId="69304128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4176505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Ordinal Logistic Model (Shift Analysis, mRS 0–6)</w:t>
            </w:r>
          </w:p>
        </w:tc>
        <w:tc>
          <w:tcPr>
            <w:tcW w:w="1685" w:type="dxa"/>
            <w:vAlign w:val="center"/>
            <w:hideMark/>
          </w:tcPr>
          <w:p w14:paraId="408B6268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3E4B17B5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61D9521E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95B03" w:rsidRPr="00806940" w14:paraId="725C4FC0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7B4089D3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Tenecteplase vs Alteplase</w:t>
            </w:r>
          </w:p>
        </w:tc>
        <w:tc>
          <w:tcPr>
            <w:tcW w:w="1685" w:type="dxa"/>
            <w:vAlign w:val="center"/>
            <w:hideMark/>
          </w:tcPr>
          <w:p w14:paraId="75F44BE0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0.216</w:t>
            </w:r>
          </w:p>
        </w:tc>
        <w:tc>
          <w:tcPr>
            <w:tcW w:w="0" w:type="auto"/>
            <w:vAlign w:val="center"/>
            <w:hideMark/>
          </w:tcPr>
          <w:p w14:paraId="380FC3B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0.099–0.455</w:t>
            </w:r>
          </w:p>
        </w:tc>
        <w:tc>
          <w:tcPr>
            <w:tcW w:w="0" w:type="auto"/>
            <w:vAlign w:val="center"/>
            <w:hideMark/>
          </w:tcPr>
          <w:p w14:paraId="4FD325C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&lt;0.001</w:t>
            </w:r>
          </w:p>
        </w:tc>
      </w:tr>
      <w:tr w:rsidR="00695B03" w:rsidRPr="00806940" w14:paraId="6272D721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5A6C758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Age (per year increase)</w:t>
            </w:r>
          </w:p>
        </w:tc>
        <w:tc>
          <w:tcPr>
            <w:tcW w:w="1685" w:type="dxa"/>
            <w:vAlign w:val="center"/>
            <w:hideMark/>
          </w:tcPr>
          <w:p w14:paraId="0DE4C057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1.04</w:t>
            </w:r>
          </w:p>
        </w:tc>
        <w:tc>
          <w:tcPr>
            <w:tcW w:w="0" w:type="auto"/>
            <w:vAlign w:val="center"/>
            <w:hideMark/>
          </w:tcPr>
          <w:p w14:paraId="1BB3815B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1.01–1.07</w:t>
            </w:r>
          </w:p>
        </w:tc>
        <w:tc>
          <w:tcPr>
            <w:tcW w:w="0" w:type="auto"/>
            <w:vAlign w:val="center"/>
            <w:hideMark/>
          </w:tcPr>
          <w:p w14:paraId="507638EE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0.014</w:t>
            </w:r>
          </w:p>
        </w:tc>
      </w:tr>
      <w:tr w:rsidR="00695B03" w:rsidRPr="00806940" w14:paraId="21406BBF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6AB3F09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Baseline NIHSS (per point increase)</w:t>
            </w:r>
          </w:p>
        </w:tc>
        <w:tc>
          <w:tcPr>
            <w:tcW w:w="1685" w:type="dxa"/>
            <w:vAlign w:val="center"/>
            <w:hideMark/>
          </w:tcPr>
          <w:p w14:paraId="1420D3E1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1.46</w:t>
            </w:r>
          </w:p>
        </w:tc>
        <w:tc>
          <w:tcPr>
            <w:tcW w:w="0" w:type="auto"/>
            <w:vAlign w:val="center"/>
            <w:hideMark/>
          </w:tcPr>
          <w:p w14:paraId="4A6D131D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1.14–1.88</w:t>
            </w:r>
          </w:p>
        </w:tc>
        <w:tc>
          <w:tcPr>
            <w:tcW w:w="0" w:type="auto"/>
            <w:vAlign w:val="center"/>
            <w:hideMark/>
          </w:tcPr>
          <w:p w14:paraId="55831819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0.003</w:t>
            </w:r>
          </w:p>
        </w:tc>
      </w:tr>
      <w:tr w:rsidR="00695B03" w:rsidRPr="00806940" w14:paraId="0CBDC000" w14:textId="77777777" w:rsidTr="00695B03">
        <w:trPr>
          <w:tblCellSpacing w:w="15" w:type="dxa"/>
        </w:trPr>
        <w:tc>
          <w:tcPr>
            <w:tcW w:w="4491" w:type="dxa"/>
            <w:vAlign w:val="center"/>
            <w:hideMark/>
          </w:tcPr>
          <w:p w14:paraId="3F72511C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Admission Glucose (per mmol/L increase)</w:t>
            </w:r>
          </w:p>
        </w:tc>
        <w:tc>
          <w:tcPr>
            <w:tcW w:w="1685" w:type="dxa"/>
            <w:vAlign w:val="center"/>
            <w:hideMark/>
          </w:tcPr>
          <w:p w14:paraId="1F9E6708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1.09</w:t>
            </w:r>
          </w:p>
        </w:tc>
        <w:tc>
          <w:tcPr>
            <w:tcW w:w="0" w:type="auto"/>
            <w:vAlign w:val="center"/>
            <w:hideMark/>
          </w:tcPr>
          <w:p w14:paraId="1AE358CD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1.01–1.18</w:t>
            </w:r>
          </w:p>
        </w:tc>
        <w:tc>
          <w:tcPr>
            <w:tcW w:w="0" w:type="auto"/>
            <w:vAlign w:val="center"/>
            <w:hideMark/>
          </w:tcPr>
          <w:p w14:paraId="1ED28179" w14:textId="77777777" w:rsidR="00695B03" w:rsidRPr="00806940" w:rsidRDefault="00695B03" w:rsidP="0059756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6940">
              <w:rPr>
                <w:rFonts w:ascii="Times New Roman" w:hAnsi="Times New Roman" w:cs="Times New Roman"/>
                <w:sz w:val="24"/>
                <w:szCs w:val="24"/>
              </w:rPr>
              <w:t>0.028</w:t>
            </w:r>
          </w:p>
        </w:tc>
      </w:tr>
    </w:tbl>
    <w:p w14:paraId="47A59F29" w14:textId="77777777" w:rsidR="005149FF" w:rsidRDefault="005149FF" w:rsidP="005149FF">
      <w:pPr>
        <w:rPr>
          <w:rFonts w:ascii="Times New Roman" w:eastAsia="宋体" w:hAnsi="Times New Roman" w:cs="Times New Roman"/>
          <w:sz w:val="22"/>
        </w:rPr>
      </w:pPr>
    </w:p>
    <w:p w14:paraId="3CF59826" w14:textId="77777777" w:rsidR="005149FF" w:rsidRPr="00E12B61" w:rsidRDefault="005149FF" w:rsidP="005149FF">
      <w:pPr>
        <w:widowControl/>
        <w:spacing w:before="240" w:after="240" w:line="480" w:lineRule="auto"/>
        <w:jc w:val="left"/>
        <w:rPr>
          <w:rFonts w:ascii="Times New Roman" w:eastAsia="等线" w:hAnsi="Times New Roman" w:cs="Times New Roman"/>
          <w:b/>
          <w:kern w:val="0"/>
          <w:sz w:val="24"/>
          <w:szCs w:val="24"/>
          <w:lang w:eastAsia="en-US"/>
        </w:rPr>
      </w:pPr>
    </w:p>
    <w:p w14:paraId="251A313D" w14:textId="6ACD8F56" w:rsidR="006A5943" w:rsidRPr="005149FF" w:rsidRDefault="006A5943">
      <w:pPr>
        <w:rPr>
          <w:rFonts w:hint="eastAsia"/>
        </w:rPr>
      </w:pPr>
    </w:p>
    <w:sectPr w:rsidR="006A5943" w:rsidRPr="005149F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C0CD0" w14:textId="77777777" w:rsidR="00644CB8" w:rsidRDefault="00644CB8" w:rsidP="005149FF">
      <w:pPr>
        <w:rPr>
          <w:rFonts w:hint="eastAsia"/>
        </w:rPr>
      </w:pPr>
      <w:r>
        <w:separator/>
      </w:r>
    </w:p>
  </w:endnote>
  <w:endnote w:type="continuationSeparator" w:id="0">
    <w:p w14:paraId="3EDA40EF" w14:textId="77777777" w:rsidR="00644CB8" w:rsidRDefault="00644CB8" w:rsidP="005149FF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5AAF66" w14:textId="77777777" w:rsidR="00644CB8" w:rsidRDefault="00644CB8" w:rsidP="005149FF">
      <w:pPr>
        <w:rPr>
          <w:rFonts w:hint="eastAsia"/>
        </w:rPr>
      </w:pPr>
      <w:r>
        <w:separator/>
      </w:r>
    </w:p>
  </w:footnote>
  <w:footnote w:type="continuationSeparator" w:id="0">
    <w:p w14:paraId="53E94847" w14:textId="77777777" w:rsidR="00644CB8" w:rsidRDefault="00644CB8" w:rsidP="005149FF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811"/>
    <w:rsid w:val="000604CE"/>
    <w:rsid w:val="000F3A75"/>
    <w:rsid w:val="001045CE"/>
    <w:rsid w:val="00177464"/>
    <w:rsid w:val="001E4169"/>
    <w:rsid w:val="0023174E"/>
    <w:rsid w:val="002C19E5"/>
    <w:rsid w:val="003852D0"/>
    <w:rsid w:val="004F4923"/>
    <w:rsid w:val="005149FF"/>
    <w:rsid w:val="005640CA"/>
    <w:rsid w:val="005B5DB4"/>
    <w:rsid w:val="00644CB8"/>
    <w:rsid w:val="00695B03"/>
    <w:rsid w:val="006A5943"/>
    <w:rsid w:val="00713376"/>
    <w:rsid w:val="0074202B"/>
    <w:rsid w:val="00757112"/>
    <w:rsid w:val="00800B04"/>
    <w:rsid w:val="009E350B"/>
    <w:rsid w:val="00AA65B4"/>
    <w:rsid w:val="00AF254B"/>
    <w:rsid w:val="00B63806"/>
    <w:rsid w:val="00CE6282"/>
    <w:rsid w:val="00DE3811"/>
    <w:rsid w:val="00E440A0"/>
    <w:rsid w:val="00EF26EE"/>
    <w:rsid w:val="00F97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68D49F5"/>
  <w15:chartTrackingRefBased/>
  <w15:docId w15:val="{519C2285-83BE-457A-96B7-586224039B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9F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49FF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149F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149F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149FF"/>
    <w:rPr>
      <w:sz w:val="18"/>
      <w:szCs w:val="18"/>
    </w:rPr>
  </w:style>
  <w:style w:type="table" w:styleId="a7">
    <w:name w:val="Table Grid"/>
    <w:basedOn w:val="a1"/>
    <w:uiPriority w:val="39"/>
    <w:rsid w:val="005149FF"/>
    <w:rPr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145</Words>
  <Characters>829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鑫钊 姜</dc:creator>
  <cp:keywords/>
  <dc:description/>
  <cp:lastModifiedBy>鑫钊 姜</cp:lastModifiedBy>
  <cp:revision>4</cp:revision>
  <dcterms:created xsi:type="dcterms:W3CDTF">2026-03-09T07:29:00Z</dcterms:created>
  <dcterms:modified xsi:type="dcterms:W3CDTF">2026-04-26T12:57:00Z</dcterms:modified>
</cp:coreProperties>
</file>