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823DE" w14:textId="54163832" w:rsidR="00A14987" w:rsidRDefault="00306E69">
      <w:r>
        <w:rPr>
          <w:noProof/>
        </w:rPr>
        <w:drawing>
          <wp:inline distT="0" distB="0" distL="0" distR="0" wp14:anchorId="7376BCF6" wp14:editId="28678692">
            <wp:extent cx="5943600" cy="78320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7832090"/>
                    </a:xfrm>
                    <a:prstGeom prst="rect">
                      <a:avLst/>
                    </a:prstGeom>
                  </pic:spPr>
                </pic:pic>
              </a:graphicData>
            </a:graphic>
          </wp:inline>
        </w:drawing>
      </w:r>
    </w:p>
    <w:p w14:paraId="731D0575" w14:textId="77777777" w:rsidR="00C63C43" w:rsidRDefault="00C63C43">
      <w:pPr>
        <w:spacing w:line="240" w:lineRule="auto"/>
      </w:pPr>
    </w:p>
    <w:p w14:paraId="07DD9B70" w14:textId="77777777" w:rsidR="00C63C43" w:rsidRDefault="00C63C43">
      <w:pPr>
        <w:spacing w:line="240" w:lineRule="auto"/>
      </w:pPr>
    </w:p>
    <w:p w14:paraId="205D3DBC" w14:textId="66068C55" w:rsidR="00C63C43" w:rsidRDefault="00C63C43">
      <w:pPr>
        <w:spacing w:line="240" w:lineRule="auto"/>
      </w:pPr>
      <w:r>
        <w:rPr>
          <w:noProof/>
        </w:rPr>
        <w:lastRenderedPageBreak/>
        <mc:AlternateContent>
          <mc:Choice Requires="wps">
            <w:drawing>
              <wp:anchor distT="0" distB="0" distL="114300" distR="114300" simplePos="0" relativeHeight="251665408" behindDoc="0" locked="0" layoutInCell="1" allowOverlap="1" wp14:anchorId="221F380D" wp14:editId="013066FB">
                <wp:simplePos x="0" y="0"/>
                <wp:positionH relativeFrom="column">
                  <wp:posOffset>-50165</wp:posOffset>
                </wp:positionH>
                <wp:positionV relativeFrom="paragraph">
                  <wp:posOffset>0</wp:posOffset>
                </wp:positionV>
                <wp:extent cx="5892165" cy="1625600"/>
                <wp:effectExtent l="0" t="0" r="635" b="0"/>
                <wp:wrapSquare wrapText="bothSides"/>
                <wp:docPr id="12" name="Text Box 12"/>
                <wp:cNvGraphicFramePr/>
                <a:graphic xmlns:a="http://schemas.openxmlformats.org/drawingml/2006/main">
                  <a:graphicData uri="http://schemas.microsoft.com/office/word/2010/wordprocessingShape">
                    <wps:wsp>
                      <wps:cNvSpPr txBox="1"/>
                      <wps:spPr>
                        <a:xfrm>
                          <a:off x="0" y="0"/>
                          <a:ext cx="5892165" cy="1625600"/>
                        </a:xfrm>
                        <a:prstGeom prst="rect">
                          <a:avLst/>
                        </a:prstGeom>
                        <a:solidFill>
                          <a:schemeClr val="lt1"/>
                        </a:solidFill>
                        <a:ln w="6350">
                          <a:noFill/>
                        </a:ln>
                      </wps:spPr>
                      <wps:txbx>
                        <w:txbxContent>
                          <w:p w14:paraId="09A761AA" w14:textId="77777777" w:rsidR="00C63C43" w:rsidRDefault="00C63C43" w:rsidP="00C63C43">
                            <w:pPr>
                              <w:widowControl w:val="0"/>
                              <w:autoSpaceDE w:val="0"/>
                              <w:autoSpaceDN w:val="0"/>
                              <w:adjustRightInd w:val="0"/>
                              <w:spacing w:line="240" w:lineRule="auto"/>
                              <w:jc w:val="both"/>
                              <w:rPr>
                                <w:lang w:val="en-US"/>
                              </w:rPr>
                            </w:pPr>
                            <w:r>
                              <w:rPr>
                                <w:lang w:val="en-US"/>
                              </w:rPr>
                              <w:t xml:space="preserve">Supplementary Figure 1: Characterization of ARID1B deficient iPSC lines. (a) Sequencing results of exon 9. (b) Relative ARID1B mRNA level in the derived cell lines measured by qPCR. (c) Western blot quantifying ARID1B protein level in the ARID1B WT and HET iPSCs. (d) Microscopic image of WT and KO ARID1B NPCs. (e) Growth rates of ARID1B WT, HET and KO NPCs. (f) MA plot showing gene expression changes between ARID1B HET and KO datasets. Genes with </w:t>
                            </w:r>
                            <w:r w:rsidRPr="005657B4">
                              <w:rPr>
                                <w:i/>
                                <w:iCs/>
                                <w:lang w:val="en-US"/>
                              </w:rPr>
                              <w:t xml:space="preserve">|log2 (Fold </w:t>
                            </w:r>
                            <w:proofErr w:type="gramStart"/>
                            <w:r w:rsidRPr="005657B4">
                              <w:rPr>
                                <w:i/>
                                <w:iCs/>
                                <w:lang w:val="en-US"/>
                              </w:rPr>
                              <w:t>Change)|</w:t>
                            </w:r>
                            <w:proofErr w:type="gramEnd"/>
                            <w:r>
                              <w:rPr>
                                <w:i/>
                                <w:iCs/>
                                <w:lang w:val="en-US"/>
                              </w:rPr>
                              <w:t>&gt;0.5</w:t>
                            </w:r>
                            <w:r>
                              <w:rPr>
                                <w:lang w:val="en-US"/>
                              </w:rPr>
                              <w:t xml:space="preserve"> and </w:t>
                            </w:r>
                            <w:r w:rsidRPr="005657B4">
                              <w:rPr>
                                <w:i/>
                                <w:iCs/>
                                <w:lang w:val="en-US"/>
                              </w:rPr>
                              <w:t>adjusted p-value &lt; 0.05</w:t>
                            </w:r>
                            <w:r>
                              <w:rPr>
                                <w:lang w:val="en-US"/>
                              </w:rPr>
                              <w:t xml:space="preserve"> are colored in red. (g) PANTHER Pathways enrichment analysis for upregulated </w:t>
                            </w:r>
                            <w:r w:rsidRPr="008E652E">
                              <w:rPr>
                                <w:i/>
                                <w:iCs/>
                                <w:lang w:val="en-US"/>
                              </w:rPr>
                              <w:t>(top)</w:t>
                            </w:r>
                            <w:r>
                              <w:rPr>
                                <w:lang w:val="en-US"/>
                              </w:rPr>
                              <w:t xml:space="preserve"> and downregulated </w:t>
                            </w:r>
                            <w:r w:rsidRPr="008E652E">
                              <w:rPr>
                                <w:i/>
                                <w:iCs/>
                                <w:lang w:val="en-US"/>
                              </w:rPr>
                              <w:t>(bottom)</w:t>
                            </w:r>
                            <w:r>
                              <w:rPr>
                                <w:lang w:val="en-US"/>
                              </w:rPr>
                              <w:t xml:space="preserve"> genes in ARID1B KO NPCs relatively to the WT at Day 40 </w:t>
                            </w:r>
                            <w:r w:rsidRPr="003A537D">
                              <w:rPr>
                                <w:lang w:val="en-US"/>
                              </w:rPr>
                              <w:t xml:space="preserve">after start of </w:t>
                            </w:r>
                            <w:proofErr w:type="spellStart"/>
                            <w:r w:rsidRPr="003A537D">
                              <w:rPr>
                                <w:lang w:val="en-US"/>
                              </w:rPr>
                              <w:t>hESCs</w:t>
                            </w:r>
                            <w:proofErr w:type="spellEnd"/>
                            <w:r w:rsidRPr="003A537D">
                              <w:rPr>
                                <w:lang w:val="en-US"/>
                              </w:rPr>
                              <w:t xml:space="preserve"> differentiation to NPCs</w:t>
                            </w:r>
                            <w:r>
                              <w:rPr>
                                <w:lang w:val="en-US"/>
                              </w:rPr>
                              <w:t xml:space="preserve">. Genes for </w:t>
                            </w:r>
                            <w:proofErr w:type="spellStart"/>
                            <w:r>
                              <w:rPr>
                                <w:lang w:val="en-US"/>
                              </w:rPr>
                              <w:t>Wnt</w:t>
                            </w:r>
                            <w:proofErr w:type="spellEnd"/>
                            <w:r>
                              <w:rPr>
                                <w:lang w:val="en-US"/>
                              </w:rPr>
                              <w:t xml:space="preserve"> and TGF-beta signaling pathways are labeled.</w:t>
                            </w:r>
                          </w:p>
                          <w:p w14:paraId="5EFC9F83" w14:textId="77777777" w:rsidR="00C63C43" w:rsidRPr="00C63C43" w:rsidRDefault="00C63C43" w:rsidP="00C63C43">
                            <w:pPr>
                              <w:jc w:val="both"/>
                              <w:rPr>
                                <w:sz w:val="20"/>
                                <w:lang w:val="en-US"/>
                              </w:rP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1F380D" id="_x0000_t202" coordsize="21600,21600" o:spt="202" path="m,l,21600r21600,l21600,xe">
                <v:stroke joinstyle="miter"/>
                <v:path gradientshapeok="t" o:connecttype="rect"/>
              </v:shapetype>
              <v:shape id="Text Box 12" o:spid="_x0000_s1026" type="#_x0000_t202" style="position:absolute;margin-left:-3.95pt;margin-top:0;width:463.95pt;height:12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v8tNPwIAAHQEAAAOAAAAZHJzL2Uyb0RvYy54bWysVE2P2jAQvVfqf7B8LwFa6C4irCgrqkpo&#13;&#10;dyWo9mwcByI5Htc2JPTX99kBdrvtqerFGc88z8ebmUzv2lqzo3K+IpPzQa/PmTKSisrscv59s/xw&#13;&#10;w5kPwhRCk1E5PynP72bv300bO1FD2pMulGNwYvyksTnfh2AnWeblXtXC98gqA2NJrhYBV7fLCica&#13;&#10;eK91Nuz3x1lDrrCOpPIe2vvOyGfJf1kqGR7L0qvAdM6RW0inS+c2ntlsKiY7J+y+kuc0xD9kUYvK&#13;&#10;IOjV1b0Igh1c9YerupKOPJWhJ6nOqCwrqVINqGbQf1PNei+sSrWAHG+vNPn/51Y+HJ8cqwr0bsiZ&#13;&#10;ETV6tFFtYF+oZVCBn8b6CWBrC2BooQf2ovdQxrLb0tXxi4IY7GD6dGU3epNQjm5uh4PxiDMJ22A8&#13;&#10;HI37if/s5bl1PnxVVLMo5NyhfYlVcVz5gFQAvUBiNE+6KpaV1ukSR0YttGNHgWbrkJLEi99Q2rAm&#13;&#10;5+OPo35ybCg+7zxrgwCx2K6oKIV2254Z2FJxAgGOuhHyVi4rJLkSPjwJh5lBzdiD8Iij1IQgdJY4&#13;&#10;25P7+Td9xKOVsHLWYAZz7n8chFOc6W8GTY4Dm4RPo89DXNxFu32tNYd6Qah4gE2zMokRG/RFLB3V&#13;&#10;z1iTeYwGkzASMXMeLuIidBuBNZNqPk8gjKcVYWXWVkbXkeFI/aZ9Fs6e+xPQ2ge6TKmYvGlTh40v&#13;&#10;Dc0Pgcoq9TAS27F55hujnVp7XsO4O6/vCfXys5j9AgAA//8DAFBLAwQUAAYACAAAACEAtPHuj+IA&#13;&#10;AAAMAQAADwAAAGRycy9kb3ducmV2LnhtbEyPzU7DQAyE70i8w8pI3NoNQfQnjVNREDdAtKWoRzdx&#13;&#10;k4jsbpTdpunbY05wsWSNPTNfuhxMo3rufO0swt04AsU2d0VtS4TP7ctoBsoHsgU1zjLChT0ss+ur&#13;&#10;lJLCne2a+00olZhYnxBCFUKbaO3zig35sWvZinZ0naEga1fqoqOzmJtGx1E00YZqKwkVtfxUcf69&#13;&#10;ORmE/dclvn/vd6sPvztOaeVm/LZ/Rby9GZ4XMh4XoAIP4e8DfhmkP2RS7OBOtvCqQRhN53KJIFSi&#13;&#10;ziUR1AEhfphEoLNU/4fIfgAAAP//AwBQSwECLQAUAAYACAAAACEAtoM4kv4AAADhAQAAEwAAAAAA&#13;&#10;AAAAAAAAAAAAAAAAW0NvbnRlbnRfVHlwZXNdLnhtbFBLAQItABQABgAIAAAAIQA4/SH/1gAAAJQB&#13;&#10;AAALAAAAAAAAAAAAAAAAAC8BAABfcmVscy8ucmVsc1BLAQItABQABgAIAAAAIQAZv8tNPwIAAHQE&#13;&#10;AAAOAAAAAAAAAAAAAAAAAC4CAABkcnMvZTJvRG9jLnhtbFBLAQItABQABgAIAAAAIQC08e6P4gAA&#13;&#10;AAwBAAAPAAAAAAAAAAAAAAAAAJkEAABkcnMvZG93bnJldi54bWxQSwUGAAAAAAQABADzAAAAqAUA&#13;&#10;AAAA&#13;&#10;" fillcolor="white [3201]" stroked="f" strokeweight=".5pt">
                <v:textbox inset="0,,0">
                  <w:txbxContent>
                    <w:p w14:paraId="09A761AA" w14:textId="77777777" w:rsidR="00C63C43" w:rsidRDefault="00C63C43" w:rsidP="00C63C43">
                      <w:pPr>
                        <w:widowControl w:val="0"/>
                        <w:autoSpaceDE w:val="0"/>
                        <w:autoSpaceDN w:val="0"/>
                        <w:adjustRightInd w:val="0"/>
                        <w:spacing w:line="240" w:lineRule="auto"/>
                        <w:jc w:val="both"/>
                        <w:rPr>
                          <w:lang w:val="en-US"/>
                        </w:rPr>
                      </w:pPr>
                      <w:r>
                        <w:rPr>
                          <w:lang w:val="en-US"/>
                        </w:rPr>
                        <w:t xml:space="preserve">Supplementary Figure 1: Characterization of ARID1B deficient iPSC lines. (a) Sequencing results of exon 9. (b) Relative ARID1B mRNA level in the derived cell lines measured by qPCR. (c) Western blot quantifying ARID1B protein level in the ARID1B WT and HET iPSCs. (d) Microscopic image of WT and KO ARID1B NPCs. (e) Growth rates of ARID1B WT, HET and KO NPCs. (f) MA plot showing gene expression changes between ARID1B HET and KO datasets. Genes with </w:t>
                      </w:r>
                      <w:r w:rsidRPr="005657B4">
                        <w:rPr>
                          <w:i/>
                          <w:iCs/>
                          <w:lang w:val="en-US"/>
                        </w:rPr>
                        <w:t xml:space="preserve">|log2 (Fold </w:t>
                      </w:r>
                      <w:proofErr w:type="gramStart"/>
                      <w:r w:rsidRPr="005657B4">
                        <w:rPr>
                          <w:i/>
                          <w:iCs/>
                          <w:lang w:val="en-US"/>
                        </w:rPr>
                        <w:t>Change)|</w:t>
                      </w:r>
                      <w:proofErr w:type="gramEnd"/>
                      <w:r>
                        <w:rPr>
                          <w:i/>
                          <w:iCs/>
                          <w:lang w:val="en-US"/>
                        </w:rPr>
                        <w:t>&gt;0.5</w:t>
                      </w:r>
                      <w:r>
                        <w:rPr>
                          <w:lang w:val="en-US"/>
                        </w:rPr>
                        <w:t xml:space="preserve"> and </w:t>
                      </w:r>
                      <w:r w:rsidRPr="005657B4">
                        <w:rPr>
                          <w:i/>
                          <w:iCs/>
                          <w:lang w:val="en-US"/>
                        </w:rPr>
                        <w:t>adjusted p-value &lt; 0.05</w:t>
                      </w:r>
                      <w:r>
                        <w:rPr>
                          <w:lang w:val="en-US"/>
                        </w:rPr>
                        <w:t xml:space="preserve"> are colored in red. (g) PANTHER Pathways enrichment analysis for upregulated </w:t>
                      </w:r>
                      <w:r w:rsidRPr="008E652E">
                        <w:rPr>
                          <w:i/>
                          <w:iCs/>
                          <w:lang w:val="en-US"/>
                        </w:rPr>
                        <w:t>(top)</w:t>
                      </w:r>
                      <w:r>
                        <w:rPr>
                          <w:lang w:val="en-US"/>
                        </w:rPr>
                        <w:t xml:space="preserve"> and downregulated </w:t>
                      </w:r>
                      <w:r w:rsidRPr="008E652E">
                        <w:rPr>
                          <w:i/>
                          <w:iCs/>
                          <w:lang w:val="en-US"/>
                        </w:rPr>
                        <w:t>(bottom)</w:t>
                      </w:r>
                      <w:r>
                        <w:rPr>
                          <w:lang w:val="en-US"/>
                        </w:rPr>
                        <w:t xml:space="preserve"> genes in ARID1B KO NPCs relatively to the WT at Day 40 </w:t>
                      </w:r>
                      <w:r w:rsidRPr="003A537D">
                        <w:rPr>
                          <w:lang w:val="en-US"/>
                        </w:rPr>
                        <w:t xml:space="preserve">after start of </w:t>
                      </w:r>
                      <w:proofErr w:type="spellStart"/>
                      <w:r w:rsidRPr="003A537D">
                        <w:rPr>
                          <w:lang w:val="en-US"/>
                        </w:rPr>
                        <w:t>hESCs</w:t>
                      </w:r>
                      <w:proofErr w:type="spellEnd"/>
                      <w:r w:rsidRPr="003A537D">
                        <w:rPr>
                          <w:lang w:val="en-US"/>
                        </w:rPr>
                        <w:t xml:space="preserve"> differentiation to NPCs</w:t>
                      </w:r>
                      <w:r>
                        <w:rPr>
                          <w:lang w:val="en-US"/>
                        </w:rPr>
                        <w:t xml:space="preserve">. Genes for </w:t>
                      </w:r>
                      <w:proofErr w:type="spellStart"/>
                      <w:r>
                        <w:rPr>
                          <w:lang w:val="en-US"/>
                        </w:rPr>
                        <w:t>Wnt</w:t>
                      </w:r>
                      <w:proofErr w:type="spellEnd"/>
                      <w:r>
                        <w:rPr>
                          <w:lang w:val="en-US"/>
                        </w:rPr>
                        <w:t xml:space="preserve"> and TGF-beta signaling pathways are labeled.</w:t>
                      </w:r>
                    </w:p>
                    <w:p w14:paraId="5EFC9F83" w14:textId="77777777" w:rsidR="00C63C43" w:rsidRPr="00C63C43" w:rsidRDefault="00C63C43" w:rsidP="00C63C43">
                      <w:pPr>
                        <w:jc w:val="both"/>
                        <w:rPr>
                          <w:sz w:val="20"/>
                          <w:lang w:val="en-US"/>
                        </w:rPr>
                      </w:pPr>
                    </w:p>
                  </w:txbxContent>
                </v:textbox>
                <w10:wrap type="square"/>
              </v:shape>
            </w:pict>
          </mc:Fallback>
        </mc:AlternateContent>
      </w:r>
    </w:p>
    <w:p w14:paraId="0A1933AA" w14:textId="7057BDF7" w:rsidR="00C63C43" w:rsidRDefault="00C63C43">
      <w:pPr>
        <w:spacing w:line="240" w:lineRule="auto"/>
      </w:pPr>
      <w:r>
        <w:br w:type="page"/>
      </w:r>
    </w:p>
    <w:p w14:paraId="388D9A36" w14:textId="20025B5A" w:rsidR="007C3B98" w:rsidRDefault="008B0F3F">
      <w:r>
        <w:rPr>
          <w:noProof/>
        </w:rPr>
        <w:lastRenderedPageBreak/>
        <mc:AlternateContent>
          <mc:Choice Requires="wps">
            <w:drawing>
              <wp:anchor distT="0" distB="0" distL="114300" distR="114300" simplePos="0" relativeHeight="251667456" behindDoc="0" locked="0" layoutInCell="1" allowOverlap="1" wp14:anchorId="2DC615EB" wp14:editId="00FCA3B8">
                <wp:simplePos x="0" y="0"/>
                <wp:positionH relativeFrom="column">
                  <wp:posOffset>51435</wp:posOffset>
                </wp:positionH>
                <wp:positionV relativeFrom="paragraph">
                  <wp:posOffset>6207295</wp:posOffset>
                </wp:positionV>
                <wp:extent cx="5892165" cy="1506220"/>
                <wp:effectExtent l="0" t="0" r="635" b="5080"/>
                <wp:wrapSquare wrapText="bothSides"/>
                <wp:docPr id="7" name="Text Box 7"/>
                <wp:cNvGraphicFramePr/>
                <a:graphic xmlns:a="http://schemas.openxmlformats.org/drawingml/2006/main">
                  <a:graphicData uri="http://schemas.microsoft.com/office/word/2010/wordprocessingShape">
                    <wps:wsp>
                      <wps:cNvSpPr txBox="1"/>
                      <wps:spPr>
                        <a:xfrm>
                          <a:off x="0" y="0"/>
                          <a:ext cx="5892165" cy="1506220"/>
                        </a:xfrm>
                        <a:prstGeom prst="rect">
                          <a:avLst/>
                        </a:prstGeom>
                        <a:solidFill>
                          <a:schemeClr val="lt1"/>
                        </a:solidFill>
                        <a:ln w="6350">
                          <a:noFill/>
                        </a:ln>
                      </wps:spPr>
                      <wps:txbx>
                        <w:txbxContent>
                          <w:p w14:paraId="1355FD74" w14:textId="77777777" w:rsidR="008B0F3F" w:rsidRDefault="008B0F3F" w:rsidP="008B0F3F">
                            <w:pPr>
                              <w:widowControl w:val="0"/>
                              <w:autoSpaceDE w:val="0"/>
                              <w:autoSpaceDN w:val="0"/>
                              <w:adjustRightInd w:val="0"/>
                              <w:spacing w:line="240" w:lineRule="auto"/>
                              <w:jc w:val="both"/>
                              <w:rPr>
                                <w:lang w:val="en-US"/>
                              </w:rPr>
                            </w:pPr>
                            <w:r>
                              <w:rPr>
                                <w:lang w:val="en-US"/>
                              </w:rPr>
                              <w:t xml:space="preserve">Supplementary Figure 2: ATAC-seq data. (a) MA plot showing changes of accessibility between ARID1B WT and HET datasets at Day 40 </w:t>
                            </w:r>
                            <w:r w:rsidRPr="003A537D">
                              <w:rPr>
                                <w:lang w:val="en-US"/>
                              </w:rPr>
                              <w:t xml:space="preserve">after start of </w:t>
                            </w:r>
                            <w:proofErr w:type="spellStart"/>
                            <w:r w:rsidRPr="003A537D">
                              <w:rPr>
                                <w:lang w:val="en-US"/>
                              </w:rPr>
                              <w:t>hESCs</w:t>
                            </w:r>
                            <w:proofErr w:type="spellEnd"/>
                            <w:r w:rsidRPr="003A537D">
                              <w:rPr>
                                <w:lang w:val="en-US"/>
                              </w:rPr>
                              <w:t xml:space="preserve"> differentiation to NPCs</w:t>
                            </w:r>
                            <w:r>
                              <w:rPr>
                                <w:lang w:val="en-US"/>
                              </w:rPr>
                              <w:t xml:space="preserve">. Peaks with </w:t>
                            </w:r>
                            <w:r w:rsidRPr="005657B4">
                              <w:rPr>
                                <w:i/>
                                <w:iCs/>
                                <w:lang w:val="en-US"/>
                              </w:rPr>
                              <w:t xml:space="preserve">|log2 (Fold </w:t>
                            </w:r>
                            <w:proofErr w:type="gramStart"/>
                            <w:r w:rsidRPr="005657B4">
                              <w:rPr>
                                <w:i/>
                                <w:iCs/>
                                <w:lang w:val="en-US"/>
                              </w:rPr>
                              <w:t>Change)|</w:t>
                            </w:r>
                            <w:proofErr w:type="gramEnd"/>
                            <w:r>
                              <w:rPr>
                                <w:i/>
                                <w:iCs/>
                                <w:lang w:val="en-US"/>
                              </w:rPr>
                              <w:t>&gt;0.5</w:t>
                            </w:r>
                            <w:r>
                              <w:rPr>
                                <w:lang w:val="en-US"/>
                              </w:rPr>
                              <w:t xml:space="preserve"> and </w:t>
                            </w:r>
                            <w:r w:rsidRPr="005657B4">
                              <w:rPr>
                                <w:i/>
                                <w:iCs/>
                                <w:lang w:val="en-US"/>
                              </w:rPr>
                              <w:t>adjusted p-value &lt; 0.05</w:t>
                            </w:r>
                            <w:r>
                              <w:rPr>
                                <w:lang w:val="en-US"/>
                              </w:rPr>
                              <w:t xml:space="preserve"> are colored in red. (b) Changes of Flanking Accessibility and Footprint Depth between ARID1B WT and HET NPCs at Day 40. Motifs with adjusted </w:t>
                            </w:r>
                            <w:r w:rsidRPr="00345E95">
                              <w:rPr>
                                <w:i/>
                                <w:iCs/>
                                <w:lang w:val="en-US"/>
                              </w:rPr>
                              <w:t>p-value &lt; 0.05</w:t>
                            </w:r>
                            <w:r>
                              <w:rPr>
                                <w:lang w:val="en-US"/>
                              </w:rPr>
                              <w:t xml:space="preserve"> corresponding to genes with at least minimal expression at NPCs are colored in red. The minimal expression is defined from RNA-seq data as expression exceeding a random threshold in 50 normalized counts calculated by DESeq2 </w:t>
                            </w:r>
                            <w:r>
                              <w:rPr>
                                <w:lang w:val="en-US"/>
                              </w:rPr>
                              <w:fldChar w:fldCharType="begin" w:fldLock="1"/>
                            </w:r>
                            <w:r>
                              <w:rPr>
                                <w:lang w:val="en-US"/>
                              </w:rPr>
                              <w:instrText>ADDIN CSL_CITATION {"citationItems":[{"id":"ITEM-1","itemData":{"DOI":"10.1186/s13059-014-0550-8","ISBN":"1465-6906","ISSN":"1474-760X","PMID":"25516281","abstract":"In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 webcite.","author":[{"dropping-particle":"","family":"Love","given":"Michael I","non-dropping-particle":"","parse-names":false,"suffix":""},{"dropping-particle":"","family":"Huber","given":"Wolfgang","non-dropping-particle":"","parse-names":false,"suffix":""},{"dropping-particle":"","family":"Anders","given":"Simon","non-dropping-particle":"","parse-names":false,"suffix":""}],"container-title":"Genome Biology","id":"ITEM-1","issue":"12","issued":{"date-parts":[["2014"]]},"page":"550","title":"Moderated estimation of fold change and dispersion for RNA-seq data with DESeq2","type":"article-journal","volume":"15"},"uris":["http://www.mendeley.com/documents/?uuid=21014033-dda7-44b8-858b-cb5be548ca8d"]}],"mendeley":{"formattedCitation":"(Love et al., 2014)","plainTextFormattedCitation":"(Love et al., 2014)","previouslyFormattedCitation":"(Love et al., 2014)"},"properties":{"noteIndex":0},"schema":"https://github.com/citation-style-language/schema/raw/master/csl-citation.json"}</w:instrText>
                            </w:r>
                            <w:r>
                              <w:rPr>
                                <w:lang w:val="en-US"/>
                              </w:rPr>
                              <w:fldChar w:fldCharType="separate"/>
                            </w:r>
                            <w:r w:rsidRPr="00DB58B8">
                              <w:rPr>
                                <w:noProof/>
                                <w:lang w:val="en-US"/>
                              </w:rPr>
                              <w:t>(Love et al., 2014)</w:t>
                            </w:r>
                            <w:r>
                              <w:rPr>
                                <w:lang w:val="en-US"/>
                              </w:rPr>
                              <w:fldChar w:fldCharType="end"/>
                            </w:r>
                            <w:r>
                              <w:rPr>
                                <w:lang w:val="en-US"/>
                              </w:rPr>
                              <w:t xml:space="preserve">. (c) Accessibility profile of SOX3, (d) NR2F6, (e) NR4A2, (f) RXRA, (g) NR2C1, and (h) MEIS2. </w:t>
                            </w:r>
                          </w:p>
                          <w:p w14:paraId="33F63423" w14:textId="77777777" w:rsidR="008B0F3F" w:rsidRPr="00C63C43" w:rsidRDefault="008B0F3F" w:rsidP="008B0F3F">
                            <w:pPr>
                              <w:jc w:val="both"/>
                              <w:rPr>
                                <w:sz w:val="20"/>
                                <w:lang w:val="en-US"/>
                              </w:rP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C615EB" id="Text Box 7" o:spid="_x0000_s1027" type="#_x0000_t202" style="position:absolute;margin-left:4.05pt;margin-top:488.75pt;width:463.95pt;height:118.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1jE9QQIAAHkEAAAOAAAAZHJzL2Uyb0RvYy54bWysVN9v2jAQfp+0/8Hy+0hgg3YRoWJUTJNQ&#13;&#10;WwmmPhvHIZZsn2cbEvbX7+wQ2nV7mvbinO/O9+P77jK/67QiJ+G8BFPS8SinRBgOlTSHkn7frT/c&#13;&#10;UuIDMxVTYERJz8LTu8X7d/PWFmICDahKOIJBjC9aW9ImBFtkmeeN0MyPwAqDxhqcZgGv7pBVjrUY&#13;&#10;XatskuezrAVXWQdceI/a+95IFyl+XQseHuvai0BUSbG2kE6Xzn08s8WcFQfHbCP5pQz2D1VoJg0m&#13;&#10;vYa6Z4GRo5N/hNKSO/BQhxEHnUFdSy5SD9jNOH/TzbZhVqReEBxvrzD5/xeWP5yeHJFVSW8oMUwj&#13;&#10;RTvRBfIFOnIT0WmtL9Bpa9EtdKhGlge9R2Vsuqudjl9sh6AdcT5fsY3BOCqnt58n49mUEo628TSf&#13;&#10;TSYJ/ezluXU+fBWgSRRK6pC8hCk7bXzAUtB1cInZPChZraVS6RIHRqyUIyeGVKuQisQXv3kpQ9qS&#13;&#10;zj5O8xTYQHzeR1YGE8Rm+6aiFLp9l6C5NryH6ow4OOjnyFu+lljrhvnwxBwODraOyxAe8agVYC64&#13;&#10;SJQ04H7+TR/9kU+0UtLiIJbU/zgyJyhR3wwyHac2CZ+mNwgZcYN2/1prjnoF2PgY183yJEbfoAax&#13;&#10;dqCfcVeWMRuamOGYs6RhEFehXwvcNS6Wy+SEM2pZ2Jit5TF0BDoysOuembMXmgIy/ADDqLLiDVu9&#13;&#10;b3xpYHkMUMtEZcS3R/MCO853Yviyi3GBXt+T18sfY/ELAAD//wMAUEsDBBQABgAIAAAAIQBIG2HY&#13;&#10;5QAAAA8BAAAPAAAAZHJzL2Rvd25yZXYueG1sTI9PT4NAEMXvJn6HzZh4swtUC6UsjdV4U6P9Y3rc&#13;&#10;whSI7Cxht5R+e8eTXiaZvDdv3i9bjqYVA/ausaQgnAQgkApbNlQp2G5e7hIQzmsqdWsJFVzQwTK/&#13;&#10;vsp0WtozfeKw9pXgEHKpVlB736VSuqJGo93EdkisHW1vtOe1r2TZ6zOHm1ZGQTCTRjfEH2rd4VON&#13;&#10;xff6ZBTsvy7R9H3YrT7c7hjrlU3wbf+q1O3N+Lzg8bgA4XH0fxfwy8D9IediB3ui0olWQRKyUcE8&#13;&#10;jh9AsD6fzhjwwMYovI9B5pn8z5H/AAAA//8DAFBLAQItABQABgAIAAAAIQC2gziS/gAAAOEBAAAT&#13;&#10;AAAAAAAAAAAAAAAAAAAAAABbQ29udGVudF9UeXBlc10ueG1sUEsBAi0AFAAGAAgAAAAhADj9If/W&#13;&#10;AAAAlAEAAAsAAAAAAAAAAAAAAAAALwEAAF9yZWxzLy5yZWxzUEsBAi0AFAAGAAgAAAAhAJ3WMT1B&#13;&#10;AgAAeQQAAA4AAAAAAAAAAAAAAAAALgIAAGRycy9lMm9Eb2MueG1sUEsBAi0AFAAGAAgAAAAhAEgb&#13;&#10;YdjlAAAADwEAAA8AAAAAAAAAAAAAAAAAmwQAAGRycy9kb3ducmV2LnhtbFBLBQYAAAAABAAEAPMA&#13;&#10;AACtBQAAAAA=&#13;&#10;" fillcolor="white [3201]" stroked="f" strokeweight=".5pt">
                <v:textbox inset="0,,0">
                  <w:txbxContent>
                    <w:p w14:paraId="1355FD74" w14:textId="77777777" w:rsidR="008B0F3F" w:rsidRDefault="008B0F3F" w:rsidP="008B0F3F">
                      <w:pPr>
                        <w:widowControl w:val="0"/>
                        <w:autoSpaceDE w:val="0"/>
                        <w:autoSpaceDN w:val="0"/>
                        <w:adjustRightInd w:val="0"/>
                        <w:spacing w:line="240" w:lineRule="auto"/>
                        <w:jc w:val="both"/>
                        <w:rPr>
                          <w:lang w:val="en-US"/>
                        </w:rPr>
                      </w:pPr>
                      <w:r>
                        <w:rPr>
                          <w:lang w:val="en-US"/>
                        </w:rPr>
                        <w:t xml:space="preserve">Supplementary Figure 2: ATAC-seq data. (a) MA plot showing changes of accessibility between ARID1B WT and HET datasets at Day 40 </w:t>
                      </w:r>
                      <w:r w:rsidRPr="003A537D">
                        <w:rPr>
                          <w:lang w:val="en-US"/>
                        </w:rPr>
                        <w:t xml:space="preserve">after start of </w:t>
                      </w:r>
                      <w:proofErr w:type="spellStart"/>
                      <w:r w:rsidRPr="003A537D">
                        <w:rPr>
                          <w:lang w:val="en-US"/>
                        </w:rPr>
                        <w:t>hESCs</w:t>
                      </w:r>
                      <w:proofErr w:type="spellEnd"/>
                      <w:r w:rsidRPr="003A537D">
                        <w:rPr>
                          <w:lang w:val="en-US"/>
                        </w:rPr>
                        <w:t xml:space="preserve"> differentiation to NPCs</w:t>
                      </w:r>
                      <w:r>
                        <w:rPr>
                          <w:lang w:val="en-US"/>
                        </w:rPr>
                        <w:t xml:space="preserve">. Peaks with </w:t>
                      </w:r>
                      <w:r w:rsidRPr="005657B4">
                        <w:rPr>
                          <w:i/>
                          <w:iCs/>
                          <w:lang w:val="en-US"/>
                        </w:rPr>
                        <w:t xml:space="preserve">|log2 (Fold </w:t>
                      </w:r>
                      <w:proofErr w:type="gramStart"/>
                      <w:r w:rsidRPr="005657B4">
                        <w:rPr>
                          <w:i/>
                          <w:iCs/>
                          <w:lang w:val="en-US"/>
                        </w:rPr>
                        <w:t>Change)|</w:t>
                      </w:r>
                      <w:proofErr w:type="gramEnd"/>
                      <w:r>
                        <w:rPr>
                          <w:i/>
                          <w:iCs/>
                          <w:lang w:val="en-US"/>
                        </w:rPr>
                        <w:t>&gt;0.5</w:t>
                      </w:r>
                      <w:r>
                        <w:rPr>
                          <w:lang w:val="en-US"/>
                        </w:rPr>
                        <w:t xml:space="preserve"> and </w:t>
                      </w:r>
                      <w:r w:rsidRPr="005657B4">
                        <w:rPr>
                          <w:i/>
                          <w:iCs/>
                          <w:lang w:val="en-US"/>
                        </w:rPr>
                        <w:t>adjusted p-value &lt; 0.05</w:t>
                      </w:r>
                      <w:r>
                        <w:rPr>
                          <w:lang w:val="en-US"/>
                        </w:rPr>
                        <w:t xml:space="preserve"> are colored in red. (b) Changes of Flanking Accessibility and Footprint Depth between ARID1B WT and HET NPCs at Day 40. Motifs with adjusted </w:t>
                      </w:r>
                      <w:r w:rsidRPr="00345E95">
                        <w:rPr>
                          <w:i/>
                          <w:iCs/>
                          <w:lang w:val="en-US"/>
                        </w:rPr>
                        <w:t>p-value &lt; 0.05</w:t>
                      </w:r>
                      <w:r>
                        <w:rPr>
                          <w:lang w:val="en-US"/>
                        </w:rPr>
                        <w:t xml:space="preserve"> corresponding to genes with at least minimal expression at NPCs are colored in red. The minimal expression is defined from RNA-seq data as expression exceeding a random threshold in 50 normalized counts calculated by DESeq2 </w:t>
                      </w:r>
                      <w:r>
                        <w:rPr>
                          <w:lang w:val="en-US"/>
                        </w:rPr>
                        <w:fldChar w:fldCharType="begin" w:fldLock="1"/>
                      </w:r>
                      <w:r>
                        <w:rPr>
                          <w:lang w:val="en-US"/>
                        </w:rPr>
                        <w:instrText>ADDIN CSL_CITATION {"citationItems":[{"id":"ITEM-1","itemData":{"DOI":"10.1186/s13059-014-0550-8","ISBN":"1465-6906","ISSN":"1474-760X","PMID":"25516281","abstract":"In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 webcite.","author":[{"dropping-particle":"","family":"Love","given":"Michael I","non-dropping-particle":"","parse-names":false,"suffix":""},{"dropping-particle":"","family":"Huber","given":"Wolfgang","non-dropping-particle":"","parse-names":false,"suffix":""},{"dropping-particle":"","family":"Anders","given":"Simon","non-dropping-particle":"","parse-names":false,"suffix":""}],"container-title":"Genome Biology","id":"ITEM-1","issue":"12","issued":{"date-parts":[["2014"]]},"page":"550","title":"Moderated estimation of fold change and dispersion for RNA-seq data with DESeq2","type":"article-journal","volume":"15"},"uris":["http://www.mendeley.com/documents/?uuid=21014033-dda7-44b8-858b-cb5be548ca8d"]}],"mendeley":{"formattedCitation":"(Love et al., 2014)","plainTextFormattedCitation":"(Love et al., 2014)","previouslyFormattedCitation":"(Love et al., 2014)"},"properties":{"noteIndex":0},"schema":"https://github.com/citation-style-language/schema/raw/master/csl-citation.json"}</w:instrText>
                      </w:r>
                      <w:r>
                        <w:rPr>
                          <w:lang w:val="en-US"/>
                        </w:rPr>
                        <w:fldChar w:fldCharType="separate"/>
                      </w:r>
                      <w:r w:rsidRPr="00DB58B8">
                        <w:rPr>
                          <w:noProof/>
                          <w:lang w:val="en-US"/>
                        </w:rPr>
                        <w:t>(Love et al., 2014)</w:t>
                      </w:r>
                      <w:r>
                        <w:rPr>
                          <w:lang w:val="en-US"/>
                        </w:rPr>
                        <w:fldChar w:fldCharType="end"/>
                      </w:r>
                      <w:r>
                        <w:rPr>
                          <w:lang w:val="en-US"/>
                        </w:rPr>
                        <w:t xml:space="preserve">. (c) Accessibility profile of SOX3, (d) NR2F6, (e) NR4A2, (f) RXRA, (g) NR2C1, and (h) MEIS2. </w:t>
                      </w:r>
                    </w:p>
                    <w:p w14:paraId="33F63423" w14:textId="77777777" w:rsidR="008B0F3F" w:rsidRPr="00C63C43" w:rsidRDefault="008B0F3F" w:rsidP="008B0F3F">
                      <w:pPr>
                        <w:jc w:val="both"/>
                        <w:rPr>
                          <w:sz w:val="20"/>
                          <w:lang w:val="en-US"/>
                        </w:rPr>
                      </w:pPr>
                    </w:p>
                  </w:txbxContent>
                </v:textbox>
                <w10:wrap type="square"/>
              </v:shape>
            </w:pict>
          </mc:Fallback>
        </mc:AlternateContent>
      </w:r>
      <w:r w:rsidR="0015087C">
        <w:rPr>
          <w:noProof/>
        </w:rPr>
        <w:drawing>
          <wp:anchor distT="0" distB="0" distL="114300" distR="114300" simplePos="0" relativeHeight="251678720" behindDoc="0" locked="0" layoutInCell="1" allowOverlap="1" wp14:anchorId="15774E89" wp14:editId="1945D335">
            <wp:simplePos x="0" y="0"/>
            <wp:positionH relativeFrom="column">
              <wp:posOffset>0</wp:posOffset>
            </wp:positionH>
            <wp:positionV relativeFrom="paragraph">
              <wp:posOffset>0</wp:posOffset>
            </wp:positionV>
            <wp:extent cx="5943600" cy="605853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6058535"/>
                    </a:xfrm>
                    <a:prstGeom prst="rect">
                      <a:avLst/>
                    </a:prstGeom>
                  </pic:spPr>
                </pic:pic>
              </a:graphicData>
            </a:graphic>
            <wp14:sizeRelH relativeFrom="page">
              <wp14:pctWidth>0</wp14:pctWidth>
            </wp14:sizeRelH>
            <wp14:sizeRelV relativeFrom="page">
              <wp14:pctHeight>0</wp14:pctHeight>
            </wp14:sizeRelV>
          </wp:anchor>
        </w:drawing>
      </w:r>
    </w:p>
    <w:p w14:paraId="3D9A4C9C" w14:textId="54F2A5DB" w:rsidR="0011667B" w:rsidRDefault="009958BF">
      <w:r>
        <w:rPr>
          <w:noProof/>
        </w:rPr>
        <w:lastRenderedPageBreak/>
        <mc:AlternateContent>
          <mc:Choice Requires="wps">
            <w:drawing>
              <wp:anchor distT="0" distB="0" distL="114300" distR="114300" simplePos="0" relativeHeight="251669504" behindDoc="0" locked="0" layoutInCell="1" allowOverlap="1" wp14:anchorId="59DD6195" wp14:editId="717FF179">
                <wp:simplePos x="0" y="0"/>
                <wp:positionH relativeFrom="column">
                  <wp:posOffset>0</wp:posOffset>
                </wp:positionH>
                <wp:positionV relativeFrom="paragraph">
                  <wp:posOffset>6863956</wp:posOffset>
                </wp:positionV>
                <wp:extent cx="5892165" cy="1300480"/>
                <wp:effectExtent l="0" t="0" r="635" b="0"/>
                <wp:wrapSquare wrapText="bothSides"/>
                <wp:docPr id="8" name="Text Box 8"/>
                <wp:cNvGraphicFramePr/>
                <a:graphic xmlns:a="http://schemas.openxmlformats.org/drawingml/2006/main">
                  <a:graphicData uri="http://schemas.microsoft.com/office/word/2010/wordprocessingShape">
                    <wps:wsp>
                      <wps:cNvSpPr txBox="1"/>
                      <wps:spPr>
                        <a:xfrm>
                          <a:off x="0" y="0"/>
                          <a:ext cx="5892165" cy="1300480"/>
                        </a:xfrm>
                        <a:prstGeom prst="rect">
                          <a:avLst/>
                        </a:prstGeom>
                        <a:solidFill>
                          <a:schemeClr val="lt1"/>
                        </a:solidFill>
                        <a:ln w="6350">
                          <a:noFill/>
                        </a:ln>
                      </wps:spPr>
                      <wps:txbx>
                        <w:txbxContent>
                          <w:p w14:paraId="60AA5A81" w14:textId="113D8FC3" w:rsidR="009958BF" w:rsidRPr="009958BF" w:rsidRDefault="009958BF" w:rsidP="009958BF">
                            <w:pPr>
                              <w:widowControl w:val="0"/>
                              <w:autoSpaceDE w:val="0"/>
                              <w:autoSpaceDN w:val="0"/>
                              <w:adjustRightInd w:val="0"/>
                              <w:spacing w:line="240" w:lineRule="auto"/>
                              <w:jc w:val="both"/>
                              <w:rPr>
                                <w:lang w:val="en-US"/>
                              </w:rPr>
                            </w:pPr>
                            <w:r>
                              <w:rPr>
                                <w:lang w:val="en-US"/>
                              </w:rPr>
                              <w:t xml:space="preserve">Supplementary Figure 3: H3K27me3 and H2AK119ub data. (a) Correlation between </w:t>
                            </w:r>
                            <w:r>
                              <w:t>H2AK119ub</w:t>
                            </w:r>
                            <w:r>
                              <w:rPr>
                                <w:lang w:val="en-US"/>
                              </w:rPr>
                              <w:t xml:space="preserve"> </w:t>
                            </w:r>
                            <w:proofErr w:type="spellStart"/>
                            <w:r>
                              <w:rPr>
                                <w:lang w:val="en-US"/>
                              </w:rPr>
                              <w:t>Cut&amp;Run</w:t>
                            </w:r>
                            <w:proofErr w:type="spellEnd"/>
                            <w:r>
                              <w:rPr>
                                <w:lang w:val="en-US"/>
                              </w:rPr>
                              <w:t xml:space="preserve"> datasets at Day 40 (b) Principal component analysis of </w:t>
                            </w:r>
                            <w:r>
                              <w:t>H2AK119ub</w:t>
                            </w:r>
                            <w:r>
                              <w:rPr>
                                <w:lang w:val="en-US"/>
                              </w:rPr>
                              <w:t xml:space="preserve"> </w:t>
                            </w:r>
                            <w:proofErr w:type="spellStart"/>
                            <w:r>
                              <w:rPr>
                                <w:lang w:val="en-US"/>
                              </w:rPr>
                              <w:t>Cut&amp;Run</w:t>
                            </w:r>
                            <w:proofErr w:type="spellEnd"/>
                            <w:r>
                              <w:rPr>
                                <w:lang w:val="en-US"/>
                              </w:rPr>
                              <w:t xml:space="preserve"> datasets at Day 40. (c) Gene Ontology Biological Processes associated with H3K27me3 peaks altered upon ARID1B knock out. (d) Genomic tracks of H3K27me3 in ANK2, (e) ARID1B, (f) RBFOX1, (g) FOXP2, and (h) NR2F1 genes exhibiting gain of H3K27me3 level. (</w:t>
                            </w:r>
                            <w:proofErr w:type="spellStart"/>
                            <w:r>
                              <w:rPr>
                                <w:lang w:val="en-US"/>
                              </w:rPr>
                              <w:t>i</w:t>
                            </w:r>
                            <w:proofErr w:type="spellEnd"/>
                            <w:r>
                              <w:rPr>
                                <w:lang w:val="en-US"/>
                              </w:rPr>
                              <w:t>) Genomic tracks of H3K27me3 in LHX2, (j) FOXG1, (k) EMX2, (l) FZD5, and (m) OTX1 genes exhibiting loss of H3K27me3 level. Blue bands highlight regions with altered H3K27me3 peaks.</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DD6195" id="Text Box 8" o:spid="_x0000_s1028" type="#_x0000_t202" style="position:absolute;margin-left:0;margin-top:540.45pt;width:463.95pt;height:10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YvDCQgIAAHkEAAAOAAAAZHJzL2Uyb0RvYy54bWysVN9v2jAQfp+0/8Hy+0ighVFEqBgV0yTU&#13;&#10;VoKpz8axSSTb59mGhP31OzuEdt2epr0457vz/fi+u8zvW63ISThfgynocJBTIgyHsjaHgn7frT9N&#13;&#10;KfGBmZIpMKKgZ+Hp/eLjh3ljZ2IEFahSOIJBjJ81tqBVCHaWZZ5XQjM/ACsMGiU4zQJe3SErHWsw&#13;&#10;ulbZKM8nWQOutA648B61D52RLlJ8KQUPT1J6EYgqKNYW0unSuY9ntpiz2cExW9X8Ugb7hyo0qw0m&#13;&#10;vYZ6YIGRo6v/CKVr7sCDDAMOOgMpay5SD9jNMH/XzbZiVqReEBxvrzD5/xeWP56eHanLgiJRhmmk&#13;&#10;aCfaQL5AS6YRncb6GTptLbqFFtXIcq/3qIxNt9Lp+MV2CNoR5/MV2xiMo3I8vRsNJ2NKONqGN3l+&#13;&#10;O03oZ6/PrfPhqwBNolBQh+QlTNlp4wOWgq69S8zmQdXlulYqXeLAiJVy5MSQahVSkfjiNy9lSFPQ&#13;&#10;yc04T4ENxOddZGUwQWy2aypKod23CZpR3/AeyjPi4KCbI2/5usZaN8yHZ+ZwcLB1XIbwhIdUgLng&#13;&#10;IlFSgfv5N330Rz7RSkmDg1hQ/+PInKBEfTPIdJzaJNyOP4/w4nrt/q3WHPUKsPEhrpvlSYy+QfWi&#13;&#10;dKBfcFeWMRuamOGYs6ChF1ehWwvcNS6Wy+SEM2pZ2Jit5TF0BDoysGtfmLMXmgIy/Aj9qLLZO7Y6&#13;&#10;3/jSwPIYQNaJyohvh+YFdpzvxPBlF+MCvb0nr9c/xuIXAAAA//8DAFBLAwQUAAYACAAAACEAarcQ&#13;&#10;/eEAAAAPAQAADwAAAGRycy9kb3ducmV2LnhtbExPTU/DMAy9I/EfIiNxYwlF0K5rOjEQN0AwGNrR&#13;&#10;a7y2okmqJuu6f485wcWy35PfR7GcbCdGGkLrnYbrmQJBrvKmdbWGz4+nqwxEiOgMdt6RhhMFWJbn&#13;&#10;ZwXmxh/dO43rWAsWcSFHDU2MfS5lqBqyGGa+J8fc3g8WI59DLc2ARxa3nUyUupMWW8cODfb00FD1&#13;&#10;vT5YDduvU3LzOm5Wb2GzT3HlM3rZPmt9eTE9LnjcL0BEmuLfB/x24PxQcrCdPzgTRKeB20RGVabm&#13;&#10;IJifJykvO4aS7DYFWRbyf4/yBwAA//8DAFBLAQItABQABgAIAAAAIQC2gziS/gAAAOEBAAATAAAA&#13;&#10;AAAAAAAAAAAAAAAAAABbQ29udGVudF9UeXBlc10ueG1sUEsBAi0AFAAGAAgAAAAhADj9If/WAAAA&#13;&#10;lAEAAAsAAAAAAAAAAAAAAAAALwEAAF9yZWxzLy5yZWxzUEsBAi0AFAAGAAgAAAAhACpi8MJCAgAA&#13;&#10;eQQAAA4AAAAAAAAAAAAAAAAALgIAAGRycy9lMm9Eb2MueG1sUEsBAi0AFAAGAAgAAAAhAGq3EP3h&#13;&#10;AAAADwEAAA8AAAAAAAAAAAAAAAAAnAQAAGRycy9kb3ducmV2LnhtbFBLBQYAAAAABAAEAPMAAACq&#13;&#10;BQAAAAA=&#13;&#10;" fillcolor="white [3201]" stroked="f" strokeweight=".5pt">
                <v:textbox inset="0,,0">
                  <w:txbxContent>
                    <w:p w14:paraId="60AA5A81" w14:textId="113D8FC3" w:rsidR="009958BF" w:rsidRPr="009958BF" w:rsidRDefault="009958BF" w:rsidP="009958BF">
                      <w:pPr>
                        <w:widowControl w:val="0"/>
                        <w:autoSpaceDE w:val="0"/>
                        <w:autoSpaceDN w:val="0"/>
                        <w:adjustRightInd w:val="0"/>
                        <w:spacing w:line="240" w:lineRule="auto"/>
                        <w:jc w:val="both"/>
                        <w:rPr>
                          <w:lang w:val="en-US"/>
                        </w:rPr>
                      </w:pPr>
                      <w:r>
                        <w:rPr>
                          <w:lang w:val="en-US"/>
                        </w:rPr>
                        <w:t xml:space="preserve">Supplementary Figure 3: H3K27me3 and H2AK119ub data. (a) Correlation between </w:t>
                      </w:r>
                      <w:r>
                        <w:t>H2AK119ub</w:t>
                      </w:r>
                      <w:r>
                        <w:rPr>
                          <w:lang w:val="en-US"/>
                        </w:rPr>
                        <w:t xml:space="preserve"> </w:t>
                      </w:r>
                      <w:proofErr w:type="spellStart"/>
                      <w:r>
                        <w:rPr>
                          <w:lang w:val="en-US"/>
                        </w:rPr>
                        <w:t>Cut&amp;Run</w:t>
                      </w:r>
                      <w:proofErr w:type="spellEnd"/>
                      <w:r>
                        <w:rPr>
                          <w:lang w:val="en-US"/>
                        </w:rPr>
                        <w:t xml:space="preserve"> datasets at Day 40 (b) Principal component analysis of </w:t>
                      </w:r>
                      <w:r>
                        <w:t>H2AK119ub</w:t>
                      </w:r>
                      <w:r>
                        <w:rPr>
                          <w:lang w:val="en-US"/>
                        </w:rPr>
                        <w:t xml:space="preserve"> </w:t>
                      </w:r>
                      <w:proofErr w:type="spellStart"/>
                      <w:r>
                        <w:rPr>
                          <w:lang w:val="en-US"/>
                        </w:rPr>
                        <w:t>Cut&amp;Run</w:t>
                      </w:r>
                      <w:proofErr w:type="spellEnd"/>
                      <w:r>
                        <w:rPr>
                          <w:lang w:val="en-US"/>
                        </w:rPr>
                        <w:t xml:space="preserve"> datasets at Day 40. (c) Gene Ontology Biological Processes associated with H3K27me3 peaks altered upon ARID1B knock out. (d) Genomic tracks of H3K27me3 in ANK2, (e) ARID1B, (f) RBFOX1, (g) FOXP2, and (h) NR2F1 genes exhibiting gain of H3K27me3 level. (</w:t>
                      </w:r>
                      <w:proofErr w:type="spellStart"/>
                      <w:r>
                        <w:rPr>
                          <w:lang w:val="en-US"/>
                        </w:rPr>
                        <w:t>i</w:t>
                      </w:r>
                      <w:proofErr w:type="spellEnd"/>
                      <w:r>
                        <w:rPr>
                          <w:lang w:val="en-US"/>
                        </w:rPr>
                        <w:t>) Genomic tracks of H3K27me3 in LHX2, (j) FOXG1, (k) EMX2, (l) FZD5, and (m) OTX1 genes exhibiting loss of H3K27me3 level. Blue bands highlight regions with altered H3K27me3 peaks.</w:t>
                      </w:r>
                    </w:p>
                  </w:txbxContent>
                </v:textbox>
                <w10:wrap type="square"/>
              </v:shape>
            </w:pict>
          </mc:Fallback>
        </mc:AlternateContent>
      </w:r>
      <w:r w:rsidR="007C3B98">
        <w:rPr>
          <w:noProof/>
        </w:rPr>
        <w:drawing>
          <wp:anchor distT="0" distB="0" distL="114300" distR="114300" simplePos="0" relativeHeight="251660288" behindDoc="0" locked="0" layoutInCell="1" allowOverlap="1" wp14:anchorId="18CD30CE" wp14:editId="0F0256A1">
            <wp:simplePos x="0" y="0"/>
            <wp:positionH relativeFrom="column">
              <wp:posOffset>0</wp:posOffset>
            </wp:positionH>
            <wp:positionV relativeFrom="paragraph">
              <wp:posOffset>-429</wp:posOffset>
            </wp:positionV>
            <wp:extent cx="5943600" cy="671068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6710680"/>
                    </a:xfrm>
                    <a:prstGeom prst="rect">
                      <a:avLst/>
                    </a:prstGeom>
                  </pic:spPr>
                </pic:pic>
              </a:graphicData>
            </a:graphic>
            <wp14:sizeRelH relativeFrom="page">
              <wp14:pctWidth>0</wp14:pctWidth>
            </wp14:sizeRelH>
            <wp14:sizeRelV relativeFrom="page">
              <wp14:pctHeight>0</wp14:pctHeight>
            </wp14:sizeRelV>
          </wp:anchor>
        </w:drawing>
      </w:r>
    </w:p>
    <w:p w14:paraId="1C2DB9B4" w14:textId="25523271" w:rsidR="0011667B" w:rsidRDefault="007435DD">
      <w:r>
        <w:rPr>
          <w:noProof/>
        </w:rPr>
        <w:lastRenderedPageBreak/>
        <mc:AlternateContent>
          <mc:Choice Requires="wps">
            <w:drawing>
              <wp:anchor distT="0" distB="0" distL="114300" distR="114300" simplePos="0" relativeHeight="251671552" behindDoc="0" locked="0" layoutInCell="1" allowOverlap="1" wp14:anchorId="523EE67E" wp14:editId="003C612A">
                <wp:simplePos x="0" y="0"/>
                <wp:positionH relativeFrom="column">
                  <wp:posOffset>50800</wp:posOffset>
                </wp:positionH>
                <wp:positionV relativeFrom="paragraph">
                  <wp:posOffset>4908550</wp:posOffset>
                </wp:positionV>
                <wp:extent cx="5892165" cy="666750"/>
                <wp:effectExtent l="0" t="0" r="635" b="6350"/>
                <wp:wrapSquare wrapText="bothSides"/>
                <wp:docPr id="9" name="Text Box 9"/>
                <wp:cNvGraphicFramePr/>
                <a:graphic xmlns:a="http://schemas.openxmlformats.org/drawingml/2006/main">
                  <a:graphicData uri="http://schemas.microsoft.com/office/word/2010/wordprocessingShape">
                    <wps:wsp>
                      <wps:cNvSpPr txBox="1"/>
                      <wps:spPr>
                        <a:xfrm>
                          <a:off x="0" y="0"/>
                          <a:ext cx="5892165" cy="666750"/>
                        </a:xfrm>
                        <a:prstGeom prst="rect">
                          <a:avLst/>
                        </a:prstGeom>
                        <a:solidFill>
                          <a:schemeClr val="lt1"/>
                        </a:solidFill>
                        <a:ln w="6350">
                          <a:noFill/>
                        </a:ln>
                      </wps:spPr>
                      <wps:txbx>
                        <w:txbxContent>
                          <w:p w14:paraId="6FE9EA80" w14:textId="5E230807" w:rsidR="0011667B" w:rsidRPr="00397303" w:rsidRDefault="0011667B" w:rsidP="0011667B">
                            <w:pPr>
                              <w:widowControl w:val="0"/>
                              <w:autoSpaceDE w:val="0"/>
                              <w:autoSpaceDN w:val="0"/>
                              <w:adjustRightInd w:val="0"/>
                              <w:spacing w:line="240" w:lineRule="auto"/>
                              <w:jc w:val="both"/>
                              <w:rPr>
                                <w:lang w:val="en-US"/>
                              </w:rPr>
                            </w:pPr>
                            <w:r>
                              <w:rPr>
                                <w:lang w:val="en-US"/>
                              </w:rPr>
                              <w:t xml:space="preserve">Supplementary Figure 4: </w:t>
                            </w:r>
                            <w:r w:rsidR="001A52FB">
                              <w:rPr>
                                <w:lang w:val="en-US"/>
                              </w:rPr>
                              <w:t xml:space="preserve">Examples of genes with high expression change but minor change in H3K27me3 level in </w:t>
                            </w:r>
                            <w:r w:rsidR="004364FE">
                              <w:rPr>
                                <w:lang w:val="en-US"/>
                              </w:rPr>
                              <w:t xml:space="preserve">the </w:t>
                            </w:r>
                            <w:r w:rsidR="001A52FB">
                              <w:rPr>
                                <w:lang w:val="en-US"/>
                              </w:rPr>
                              <w:t>gene promoter: (a) EN1, (b) EN2, (c) CDX2, (d) WNT1, (e) LMX1A, (f) LMX1B, (g) RSPO2, (h) GDF7, (j) DMRT3.</w:t>
                            </w:r>
                          </w:p>
                          <w:p w14:paraId="0D57AEF9" w14:textId="135CF32E" w:rsidR="0011667B" w:rsidRPr="009958BF" w:rsidRDefault="0011667B" w:rsidP="0011667B">
                            <w:pPr>
                              <w:widowControl w:val="0"/>
                              <w:autoSpaceDE w:val="0"/>
                              <w:autoSpaceDN w:val="0"/>
                              <w:adjustRightInd w:val="0"/>
                              <w:spacing w:line="240" w:lineRule="auto"/>
                              <w:jc w:val="both"/>
                              <w:rPr>
                                <w:lang w:val="en-US"/>
                              </w:rP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3EE67E" id="_x0000_t202" coordsize="21600,21600" o:spt="202" path="m,l,21600r21600,l21600,xe">
                <v:stroke joinstyle="miter"/>
                <v:path gradientshapeok="t" o:connecttype="rect"/>
              </v:shapetype>
              <v:shape id="Text Box 9" o:spid="_x0000_s1029" type="#_x0000_t202" style="position:absolute;margin-left:4pt;margin-top:386.5pt;width:463.95pt;height:5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pXgkQAIAAHgEAAAOAAAAZHJzL2Uyb0RvYy54bWysVN9v2jAQfp+0/8Hy+xqggxZEqBhVp0lV&#13;&#10;WwmmPhvHgUiOz7MNSffX77NDaNftadqLc74734/vu8v8pq01OyrnKzI5H14MOFNGUlGZXc6/b+4+&#13;&#10;XXPmgzCF0GRUzl+U5zeLjx/mjZ2pEe1JF8oxBDF+1tic70Owsyzzcq9q4S/IKgNjSa4WAVe3ywon&#13;&#10;GkSvdTYaDCZZQ66wjqTyHtrbzsgXKX5ZKhkey9KrwHTOUVtIp0vnNp7ZYi5mOyfsvpKnMsQ/VFGL&#13;&#10;yiDpOdStCIIdXPVHqLqSjjyV4UJSnVFZVlKlHtDNcPCum/VeWJV6ATjenmHy/y+sfDg+OVYVOZ9y&#13;&#10;ZkQNijaqDewLtWwa0Wmsn8FpbeEWWqjBcq/3UMam29LV8Yt2GOzA+eWMbQwmoRxfT0fDyZgzCdtk&#13;&#10;MrkaJ/Cz19fW+fBVUc2ikHMH7hKk4njvAyqBa+8Sk3nSVXFXaZ0ucV7USjt2FGBah1QjXvzmpQ1r&#13;&#10;kPwSqeMjQ/F5F1kbJIi9dj1FKbTbNiFz2fe7peIFMDjqxshbeVeh1nvhw5NwmBt0jl0IjzhKTchF&#13;&#10;J4mzPbmff9NHf9AJK2cN5jDn/sdBOMWZ/mZAdBzaJHweX41wcb12+1ZrDvWK0PgQ22ZlEqNv0L1Y&#13;&#10;OqqfsSrLmA0mYSRy5jz04ip0W4FVk2q5TE4YUSvCvVlbGUNHzCIDm/ZZOHuiKYDgB+onVczesdX5&#13;&#10;dmgvD4HKKlEZ8e3QPMGO8U4Mn1Yx7s/be/J6/WEsfgEAAP//AwBQSwMEFAAGAAgAAAAhAObx9Rvi&#13;&#10;AAAADgEAAA8AAABkcnMvZG93bnJldi54bWxMj81OwzAQhO9IvIO1SNyoQyNImsapKIgbVNAf1KMb&#13;&#10;b5OIeB3Fbpq+PcsJLqtdfZrZmXwx2lYM2PvGkYL7SQQCqXSmoUrBdvN6l4LwQZPRrSNUcEEPi+L6&#13;&#10;KteZcWf6xGEdKsEm5DOtoA6hy6T0ZY1W+4nrkJgdXW914LOvpOn1mc1tK6dR9Citbog/1LrD5xrL&#13;&#10;7/XJKth/XabxatgtP/zumOilS/F9/6bU7c34MufxNAcRcAx/CvjtwPmh4GAHdyLjRasg5TpBQZLE&#13;&#10;vDCfxQ8zEAcGCSNZ5PJ/jeIHAAD//wMAUEsBAi0AFAAGAAgAAAAhALaDOJL+AAAA4QEAABMAAAAA&#13;&#10;AAAAAAAAAAAAAAAAAFtDb250ZW50X1R5cGVzXS54bWxQSwECLQAUAAYACAAAACEAOP0h/9YAAACU&#13;&#10;AQAACwAAAAAAAAAAAAAAAAAvAQAAX3JlbHMvLnJlbHNQSwECLQAUAAYACAAAACEAJKV4JEACAAB4&#13;&#10;BAAADgAAAAAAAAAAAAAAAAAuAgAAZHJzL2Uyb0RvYy54bWxQSwECLQAUAAYACAAAACEA5vH1G+IA&#13;&#10;AAAOAQAADwAAAAAAAAAAAAAAAACaBAAAZHJzL2Rvd25yZXYueG1sUEsFBgAAAAAEAAQA8wAAAKkF&#13;&#10;AAAAAA==&#13;&#10;" fillcolor="white [3201]" stroked="f" strokeweight=".5pt">
                <v:textbox inset="0,,0">
                  <w:txbxContent>
                    <w:p w14:paraId="6FE9EA80" w14:textId="5E230807" w:rsidR="0011667B" w:rsidRPr="00397303" w:rsidRDefault="0011667B" w:rsidP="0011667B">
                      <w:pPr>
                        <w:widowControl w:val="0"/>
                        <w:autoSpaceDE w:val="0"/>
                        <w:autoSpaceDN w:val="0"/>
                        <w:adjustRightInd w:val="0"/>
                        <w:spacing w:line="240" w:lineRule="auto"/>
                        <w:jc w:val="both"/>
                        <w:rPr>
                          <w:lang w:val="en-US"/>
                        </w:rPr>
                      </w:pPr>
                      <w:r>
                        <w:rPr>
                          <w:lang w:val="en-US"/>
                        </w:rPr>
                        <w:t xml:space="preserve">Supplementary Figure 4: </w:t>
                      </w:r>
                      <w:r w:rsidR="001A52FB">
                        <w:rPr>
                          <w:lang w:val="en-US"/>
                        </w:rPr>
                        <w:t xml:space="preserve">Examples of genes with high expression change but minor change in H3K27me3 level in </w:t>
                      </w:r>
                      <w:r w:rsidR="004364FE">
                        <w:rPr>
                          <w:lang w:val="en-US"/>
                        </w:rPr>
                        <w:t xml:space="preserve">the </w:t>
                      </w:r>
                      <w:r w:rsidR="001A52FB">
                        <w:rPr>
                          <w:lang w:val="en-US"/>
                        </w:rPr>
                        <w:t>gene promoter: (a) EN1, (b) EN2, (c) CDX2, (d) WNT1, (e) LMX1A, (f) LMX1B, (g) RSPO2, (h) GDF7, (j) DMRT3.</w:t>
                      </w:r>
                    </w:p>
                    <w:p w14:paraId="0D57AEF9" w14:textId="135CF32E" w:rsidR="0011667B" w:rsidRPr="009958BF" w:rsidRDefault="0011667B" w:rsidP="0011667B">
                      <w:pPr>
                        <w:widowControl w:val="0"/>
                        <w:autoSpaceDE w:val="0"/>
                        <w:autoSpaceDN w:val="0"/>
                        <w:adjustRightInd w:val="0"/>
                        <w:spacing w:line="240" w:lineRule="auto"/>
                        <w:jc w:val="both"/>
                        <w:rPr>
                          <w:lang w:val="en-US"/>
                        </w:rPr>
                      </w:pPr>
                    </w:p>
                  </w:txbxContent>
                </v:textbox>
                <w10:wrap type="square"/>
              </v:shape>
            </w:pict>
          </mc:Fallback>
        </mc:AlternateContent>
      </w:r>
      <w:r w:rsidR="00021020">
        <w:rPr>
          <w:noProof/>
        </w:rPr>
        <w:drawing>
          <wp:anchor distT="0" distB="0" distL="114300" distR="114300" simplePos="0" relativeHeight="251676672" behindDoc="0" locked="0" layoutInCell="1" allowOverlap="1" wp14:anchorId="09451698" wp14:editId="6437C25C">
            <wp:simplePos x="0" y="0"/>
            <wp:positionH relativeFrom="column">
              <wp:posOffset>0</wp:posOffset>
            </wp:positionH>
            <wp:positionV relativeFrom="paragraph">
              <wp:posOffset>0</wp:posOffset>
            </wp:positionV>
            <wp:extent cx="5943600" cy="472376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723765"/>
                    </a:xfrm>
                    <a:prstGeom prst="rect">
                      <a:avLst/>
                    </a:prstGeom>
                  </pic:spPr>
                </pic:pic>
              </a:graphicData>
            </a:graphic>
            <wp14:sizeRelH relativeFrom="page">
              <wp14:pctWidth>0</wp14:pctWidth>
            </wp14:sizeRelH>
            <wp14:sizeRelV relativeFrom="page">
              <wp14:pctHeight>0</wp14:pctHeight>
            </wp14:sizeRelV>
          </wp:anchor>
        </w:drawing>
      </w:r>
    </w:p>
    <w:p w14:paraId="4524CD1D" w14:textId="5AC727E4" w:rsidR="0011667B" w:rsidRDefault="0011667B"/>
    <w:p w14:paraId="09FE4F0E" w14:textId="43461B8B" w:rsidR="007C3B98" w:rsidRDefault="0011667B" w:rsidP="0011667B">
      <w:pPr>
        <w:spacing w:line="240" w:lineRule="auto"/>
      </w:pPr>
      <w:r>
        <w:br w:type="page"/>
      </w:r>
    </w:p>
    <w:p w14:paraId="4A3D33ED" w14:textId="076E690C" w:rsidR="007C3B98" w:rsidRDefault="00021020">
      <w:r>
        <w:rPr>
          <w:noProof/>
        </w:rPr>
        <w:lastRenderedPageBreak/>
        <mc:AlternateContent>
          <mc:Choice Requires="wps">
            <w:drawing>
              <wp:anchor distT="0" distB="0" distL="114300" distR="114300" simplePos="0" relativeHeight="251673600" behindDoc="0" locked="0" layoutInCell="1" allowOverlap="1" wp14:anchorId="7788FE15" wp14:editId="01A873F8">
                <wp:simplePos x="0" y="0"/>
                <wp:positionH relativeFrom="column">
                  <wp:posOffset>51435</wp:posOffset>
                </wp:positionH>
                <wp:positionV relativeFrom="paragraph">
                  <wp:posOffset>3962400</wp:posOffset>
                </wp:positionV>
                <wp:extent cx="5892165" cy="812800"/>
                <wp:effectExtent l="0" t="0" r="635" b="0"/>
                <wp:wrapSquare wrapText="bothSides"/>
                <wp:docPr id="10" name="Text Box 10"/>
                <wp:cNvGraphicFramePr/>
                <a:graphic xmlns:a="http://schemas.openxmlformats.org/drawingml/2006/main">
                  <a:graphicData uri="http://schemas.microsoft.com/office/word/2010/wordprocessingShape">
                    <wps:wsp>
                      <wps:cNvSpPr txBox="1"/>
                      <wps:spPr>
                        <a:xfrm>
                          <a:off x="0" y="0"/>
                          <a:ext cx="5892165" cy="812800"/>
                        </a:xfrm>
                        <a:prstGeom prst="rect">
                          <a:avLst/>
                        </a:prstGeom>
                        <a:solidFill>
                          <a:schemeClr val="lt1"/>
                        </a:solidFill>
                        <a:ln w="6350">
                          <a:noFill/>
                        </a:ln>
                      </wps:spPr>
                      <wps:txbx>
                        <w:txbxContent>
                          <w:p w14:paraId="05078699" w14:textId="1410618C" w:rsidR="00D70CCB" w:rsidRDefault="00D70CCB" w:rsidP="00D70CCB">
                            <w:pPr>
                              <w:widowControl w:val="0"/>
                              <w:autoSpaceDE w:val="0"/>
                              <w:autoSpaceDN w:val="0"/>
                              <w:adjustRightInd w:val="0"/>
                              <w:spacing w:line="240" w:lineRule="auto"/>
                              <w:jc w:val="both"/>
                              <w:rPr>
                                <w:lang w:val="en-US"/>
                              </w:rPr>
                            </w:pPr>
                            <w:r>
                              <w:rPr>
                                <w:lang w:val="en-US"/>
                              </w:rPr>
                              <w:t>Supplementary Figure 5: H3K27me3 coverage tracks for (a) HOX</w:t>
                            </w:r>
                            <w:r w:rsidR="008C2C79">
                              <w:rPr>
                                <w:lang w:val="en-US"/>
                              </w:rPr>
                              <w:t>B</w:t>
                            </w:r>
                            <w:r>
                              <w:rPr>
                                <w:lang w:val="en-US"/>
                              </w:rPr>
                              <w:t>, (b) HOX</w:t>
                            </w:r>
                            <w:r w:rsidR="008C2C79">
                              <w:rPr>
                                <w:lang w:val="en-US"/>
                              </w:rPr>
                              <w:t>C</w:t>
                            </w:r>
                            <w:r>
                              <w:rPr>
                                <w:lang w:val="en-US"/>
                              </w:rPr>
                              <w:t>, (c) HOX</w:t>
                            </w:r>
                            <w:r w:rsidR="008C2C79">
                              <w:rPr>
                                <w:lang w:val="en-US"/>
                              </w:rPr>
                              <w:t>D</w:t>
                            </w:r>
                            <w:r>
                              <w:rPr>
                                <w:lang w:val="en-US"/>
                              </w:rPr>
                              <w:t xml:space="preserve"> loci</w:t>
                            </w:r>
                            <w:r w:rsidR="00FA5D47">
                              <w:rPr>
                                <w:lang w:val="en-US"/>
                              </w:rPr>
                              <w:t xml:space="preserve"> at Day 40 and Day 60 after start of neural induction</w:t>
                            </w:r>
                            <w:r>
                              <w:rPr>
                                <w:lang w:val="en-US"/>
                              </w:rPr>
                              <w:t xml:space="preserve">. The results of WT and KO H3K27me3 coverage tracks </w:t>
                            </w:r>
                            <w:r w:rsidR="005F760A">
                              <w:rPr>
                                <w:lang w:val="en-US"/>
                              </w:rPr>
                              <w:t xml:space="preserve">subtraction </w:t>
                            </w:r>
                            <w:r>
                              <w:rPr>
                                <w:lang w:val="en-US"/>
                              </w:rPr>
                              <w:t>are shown at the bottom of the coverage tracks.</w:t>
                            </w:r>
                            <w:r w:rsidR="00FA5D47">
                              <w:rPr>
                                <w:lang w:val="en-US"/>
                              </w:rPr>
                              <w:t xml:space="preserve"> </w:t>
                            </w:r>
                            <w:r w:rsidR="005F760A">
                              <w:rPr>
                                <w:lang w:val="en-US"/>
                              </w:rPr>
                              <w:t>SMARCA4 coverage track for the WT NPCs are also shown.</w:t>
                            </w:r>
                          </w:p>
                          <w:p w14:paraId="0CC34BB0" w14:textId="77777777" w:rsidR="00D70CCB" w:rsidRDefault="00D70CCB" w:rsidP="00D70CCB">
                            <w:pPr>
                              <w:widowControl w:val="0"/>
                              <w:autoSpaceDE w:val="0"/>
                              <w:autoSpaceDN w:val="0"/>
                              <w:adjustRightInd w:val="0"/>
                              <w:spacing w:line="240" w:lineRule="auto"/>
                              <w:jc w:val="both"/>
                              <w:rPr>
                                <w:lang w:val="en-US"/>
                              </w:rPr>
                            </w:pPr>
                          </w:p>
                          <w:p w14:paraId="34CADA3D" w14:textId="77777777" w:rsidR="00D70CCB" w:rsidRPr="009958BF" w:rsidRDefault="00D70CCB" w:rsidP="00D70CCB">
                            <w:pPr>
                              <w:widowControl w:val="0"/>
                              <w:autoSpaceDE w:val="0"/>
                              <w:autoSpaceDN w:val="0"/>
                              <w:adjustRightInd w:val="0"/>
                              <w:spacing w:line="240" w:lineRule="auto"/>
                              <w:jc w:val="both"/>
                              <w:rPr>
                                <w:lang w:val="en-US"/>
                              </w:rP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8FE15" id="Text Box 10" o:spid="_x0000_s1030" type="#_x0000_t202" style="position:absolute;margin-left:4.05pt;margin-top:312pt;width:463.95pt;height:6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PD+8QQIAAHoEAAAOAAAAZHJzL2Uyb0RvYy54bWysVMFu2zAMvQ/YPwi6L06yJsuCOEWWIsOA&#13;&#10;oi3QDj0rspwYkEVNUmJnX78nOU67bqdhF5kiqUfykfTiuq01OyrnKzI5Hw2GnCkjqajMLuffnzYf&#13;&#10;Zpz5IEwhNBmV85Py/Hr5/t2isXM1pj3pQjkGEOPnjc35PgQ7zzIv96oWfkBWGRhLcrUIuLpdVjjR&#13;&#10;AL3W2Xg4nGYNucI6ksp7aG86I18m/LJUMtyXpVeB6Zwjt5BOl85tPLPlQsx3Tth9Jc9piH/IohaV&#13;&#10;QdAL1I0Igh1c9QdUXUlHnsowkFRnVJaVVKkGVDMavqnmcS+sSrWAHG8vNPn/Byvvjg+OVQV6B3qM&#13;&#10;qNGjJ9UG9oVaBhX4aayfw+3RwjG00MO313soY9lt6er4RUEMdkCdLuxGNAnlZPZ5PJpOOJOwzUbj&#13;&#10;2TDBZy+vrfPhq6KaRSHnDt1LpIrjrQ/IBK69SwzmSVfFptI6XeLEqLV27CjQax1Sjnjxm5c2rMn5&#13;&#10;9ONkmIANxecdsjYIEGvtaopSaLdt4uaqr3dLxQk0OOoGyVu5qZDrrfDhQThMDirHNoR7HKUmxKKz&#13;&#10;xNme3M+/6aM/GgorZw0mMef+x0E4xZn+ZtDqOLZJuJp8GuPieu32tdYc6jWh8BH2zcokRt+ge7F0&#13;&#10;VD9jWVYxGkzCSMTMeejFdej2Assm1WqVnDCkVoRb82hlhI5Exw48tc/C2XObAhp8R/2sivmbbnW+&#13;&#10;8aWh1SFQWaVWRn47Ns+0Y8BTh8/LGDfo9T15vfwylr8AAAD//wMAUEsDBBQABgAIAAAAIQDI4aW0&#13;&#10;5AAAAA4BAAAPAAAAZHJzL2Rvd25yZXYueG1sTI9BT8MwDIXvSPyHyEjcWLoOutI1nRiIG0MwGNox&#13;&#10;a7y2onGqJuu6f485wcWy9ezn9+XL0bZiwN43jhRMJxEIpNKZhioFnx/PNykIHzQZ3TpCBWf0sCwu&#13;&#10;L3KdGXeidxw2oRJsQj7TCuoQukxKX9ZotZ+4Dom1g+utDjz2lTS9PrG5bWUcRYm0uiH+UOsOH2ss&#13;&#10;vzdHq2D3dY5nr8N29ea3h7leuRTXuxelrq/GpwWXhwWIgGP4u4BfBs4PBQfbuyMZL1oF6ZQXFSTx&#13;&#10;LXOxfj9LuNkrmN/FEcgil/8xih8AAAD//wMAUEsBAi0AFAAGAAgAAAAhALaDOJL+AAAA4QEAABMA&#13;&#10;AAAAAAAAAAAAAAAAAAAAAFtDb250ZW50X1R5cGVzXS54bWxQSwECLQAUAAYACAAAACEAOP0h/9YA&#13;&#10;AACUAQAACwAAAAAAAAAAAAAAAAAvAQAAX3JlbHMvLnJlbHNQSwECLQAUAAYACAAAACEAiDw/vEEC&#13;&#10;AAB6BAAADgAAAAAAAAAAAAAAAAAuAgAAZHJzL2Uyb0RvYy54bWxQSwECLQAUAAYACAAAACEAyOGl&#13;&#10;tOQAAAAOAQAADwAAAAAAAAAAAAAAAACbBAAAZHJzL2Rvd25yZXYueG1sUEsFBgAAAAAEAAQA8wAA&#13;&#10;AKwFAAAAAA==&#13;&#10;" fillcolor="white [3201]" stroked="f" strokeweight=".5pt">
                <v:textbox inset="0,,0">
                  <w:txbxContent>
                    <w:p w14:paraId="05078699" w14:textId="1410618C" w:rsidR="00D70CCB" w:rsidRDefault="00D70CCB" w:rsidP="00D70CCB">
                      <w:pPr>
                        <w:widowControl w:val="0"/>
                        <w:autoSpaceDE w:val="0"/>
                        <w:autoSpaceDN w:val="0"/>
                        <w:adjustRightInd w:val="0"/>
                        <w:spacing w:line="240" w:lineRule="auto"/>
                        <w:jc w:val="both"/>
                        <w:rPr>
                          <w:lang w:val="en-US"/>
                        </w:rPr>
                      </w:pPr>
                      <w:r>
                        <w:rPr>
                          <w:lang w:val="en-US"/>
                        </w:rPr>
                        <w:t>Supplementary Figure 5: H3K27me3 coverage tracks for (a) HOX</w:t>
                      </w:r>
                      <w:r w:rsidR="008C2C79">
                        <w:rPr>
                          <w:lang w:val="en-US"/>
                        </w:rPr>
                        <w:t>B</w:t>
                      </w:r>
                      <w:r>
                        <w:rPr>
                          <w:lang w:val="en-US"/>
                        </w:rPr>
                        <w:t>, (b) HOX</w:t>
                      </w:r>
                      <w:r w:rsidR="008C2C79">
                        <w:rPr>
                          <w:lang w:val="en-US"/>
                        </w:rPr>
                        <w:t>C</w:t>
                      </w:r>
                      <w:r>
                        <w:rPr>
                          <w:lang w:val="en-US"/>
                        </w:rPr>
                        <w:t>, (c) HOX</w:t>
                      </w:r>
                      <w:r w:rsidR="008C2C79">
                        <w:rPr>
                          <w:lang w:val="en-US"/>
                        </w:rPr>
                        <w:t>D</w:t>
                      </w:r>
                      <w:r>
                        <w:rPr>
                          <w:lang w:val="en-US"/>
                        </w:rPr>
                        <w:t xml:space="preserve"> loci</w:t>
                      </w:r>
                      <w:r w:rsidR="00FA5D47">
                        <w:rPr>
                          <w:lang w:val="en-US"/>
                        </w:rPr>
                        <w:t xml:space="preserve"> </w:t>
                      </w:r>
                      <w:r w:rsidR="00FA5D47">
                        <w:rPr>
                          <w:lang w:val="en-US"/>
                        </w:rPr>
                        <w:t>at Day 40 and Day 60 after start of neural induction</w:t>
                      </w:r>
                      <w:r>
                        <w:rPr>
                          <w:lang w:val="en-US"/>
                        </w:rPr>
                        <w:t xml:space="preserve">. The results of WT and KO H3K27me3 coverage tracks </w:t>
                      </w:r>
                      <w:r w:rsidR="005F760A">
                        <w:rPr>
                          <w:lang w:val="en-US"/>
                        </w:rPr>
                        <w:t xml:space="preserve">subtraction </w:t>
                      </w:r>
                      <w:r>
                        <w:rPr>
                          <w:lang w:val="en-US"/>
                        </w:rPr>
                        <w:t>are shown at the bottom of the coverage tracks.</w:t>
                      </w:r>
                      <w:r w:rsidR="00FA5D47">
                        <w:rPr>
                          <w:lang w:val="en-US"/>
                        </w:rPr>
                        <w:t xml:space="preserve"> </w:t>
                      </w:r>
                      <w:r w:rsidR="005F760A">
                        <w:rPr>
                          <w:lang w:val="en-US"/>
                        </w:rPr>
                        <w:t>SMARCA4 coverage track for the WT NPCs are also shown.</w:t>
                      </w:r>
                    </w:p>
                    <w:p w14:paraId="0CC34BB0" w14:textId="77777777" w:rsidR="00D70CCB" w:rsidRDefault="00D70CCB" w:rsidP="00D70CCB">
                      <w:pPr>
                        <w:widowControl w:val="0"/>
                        <w:autoSpaceDE w:val="0"/>
                        <w:autoSpaceDN w:val="0"/>
                        <w:adjustRightInd w:val="0"/>
                        <w:spacing w:line="240" w:lineRule="auto"/>
                        <w:jc w:val="both"/>
                        <w:rPr>
                          <w:lang w:val="en-US"/>
                        </w:rPr>
                      </w:pPr>
                    </w:p>
                    <w:p w14:paraId="34CADA3D" w14:textId="77777777" w:rsidR="00D70CCB" w:rsidRPr="009958BF" w:rsidRDefault="00D70CCB" w:rsidP="00D70CCB">
                      <w:pPr>
                        <w:widowControl w:val="0"/>
                        <w:autoSpaceDE w:val="0"/>
                        <w:autoSpaceDN w:val="0"/>
                        <w:adjustRightInd w:val="0"/>
                        <w:spacing w:line="240" w:lineRule="auto"/>
                        <w:jc w:val="both"/>
                        <w:rPr>
                          <w:lang w:val="en-US"/>
                        </w:rPr>
                      </w:pPr>
                    </w:p>
                  </w:txbxContent>
                </v:textbox>
                <w10:wrap type="square"/>
              </v:shape>
            </w:pict>
          </mc:Fallback>
        </mc:AlternateContent>
      </w:r>
      <w:r w:rsidR="00310C5F">
        <w:rPr>
          <w:noProof/>
        </w:rPr>
        <w:drawing>
          <wp:anchor distT="0" distB="0" distL="114300" distR="114300" simplePos="0" relativeHeight="251677696" behindDoc="0" locked="0" layoutInCell="1" allowOverlap="1" wp14:anchorId="31C0AF40" wp14:editId="230989FE">
            <wp:simplePos x="0" y="0"/>
            <wp:positionH relativeFrom="column">
              <wp:posOffset>0</wp:posOffset>
            </wp:positionH>
            <wp:positionV relativeFrom="paragraph">
              <wp:posOffset>0</wp:posOffset>
            </wp:positionV>
            <wp:extent cx="5943600" cy="3667125"/>
            <wp:effectExtent l="0" t="0" r="0" b="317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667125"/>
                    </a:xfrm>
                    <a:prstGeom prst="rect">
                      <a:avLst/>
                    </a:prstGeom>
                  </pic:spPr>
                </pic:pic>
              </a:graphicData>
            </a:graphic>
            <wp14:sizeRelH relativeFrom="page">
              <wp14:pctWidth>0</wp14:pctWidth>
            </wp14:sizeRelH>
            <wp14:sizeRelV relativeFrom="page">
              <wp14:pctHeight>0</wp14:pctHeight>
            </wp14:sizeRelV>
          </wp:anchor>
        </w:drawing>
      </w:r>
    </w:p>
    <w:p w14:paraId="78686CAA" w14:textId="4350E826" w:rsidR="007C3B98" w:rsidRDefault="007C3B98"/>
    <w:sectPr w:rsidR="007C3B98" w:rsidSect="00E96B5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CFBC0" w14:textId="77777777" w:rsidR="00A668C2" w:rsidRDefault="00A668C2" w:rsidP="0011667B">
      <w:pPr>
        <w:spacing w:line="240" w:lineRule="auto"/>
      </w:pPr>
      <w:r>
        <w:separator/>
      </w:r>
    </w:p>
  </w:endnote>
  <w:endnote w:type="continuationSeparator" w:id="0">
    <w:p w14:paraId="2E00A1F0" w14:textId="77777777" w:rsidR="00A668C2" w:rsidRDefault="00A668C2" w:rsidP="001166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3FA91" w14:textId="77777777" w:rsidR="00A668C2" w:rsidRDefault="00A668C2" w:rsidP="0011667B">
      <w:pPr>
        <w:spacing w:line="240" w:lineRule="auto"/>
      </w:pPr>
      <w:r>
        <w:separator/>
      </w:r>
    </w:p>
  </w:footnote>
  <w:footnote w:type="continuationSeparator" w:id="0">
    <w:p w14:paraId="3320D21A" w14:textId="77777777" w:rsidR="00A668C2" w:rsidRDefault="00A668C2" w:rsidP="0011667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B98"/>
    <w:rsid w:val="00005E75"/>
    <w:rsid w:val="00021020"/>
    <w:rsid w:val="00054A58"/>
    <w:rsid w:val="0011667B"/>
    <w:rsid w:val="00126EBB"/>
    <w:rsid w:val="0015087C"/>
    <w:rsid w:val="00170144"/>
    <w:rsid w:val="001A52FB"/>
    <w:rsid w:val="00306E69"/>
    <w:rsid w:val="00310C5F"/>
    <w:rsid w:val="003E6C3A"/>
    <w:rsid w:val="004364FE"/>
    <w:rsid w:val="005F760A"/>
    <w:rsid w:val="007435DD"/>
    <w:rsid w:val="007C3B98"/>
    <w:rsid w:val="0081381C"/>
    <w:rsid w:val="008B0F3F"/>
    <w:rsid w:val="008C2C79"/>
    <w:rsid w:val="009958BF"/>
    <w:rsid w:val="009F3D7C"/>
    <w:rsid w:val="00A668C2"/>
    <w:rsid w:val="00AD10C4"/>
    <w:rsid w:val="00BD6FDD"/>
    <w:rsid w:val="00C63C43"/>
    <w:rsid w:val="00CE7AB7"/>
    <w:rsid w:val="00D70CCB"/>
    <w:rsid w:val="00E96B52"/>
    <w:rsid w:val="00EB0FCB"/>
    <w:rsid w:val="00F7119A"/>
    <w:rsid w:val="00FA5D47"/>
    <w:rsid w:val="00FE3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B683A"/>
  <w15:chartTrackingRefBased/>
  <w15:docId w15:val="{D8EE2724-03C5-D040-8936-7344B7AE9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C43"/>
    <w:pPr>
      <w:spacing w:line="276" w:lineRule="auto"/>
    </w:pPr>
    <w:rPr>
      <w:rFonts w:ascii="Arial" w:eastAsia="Batang"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667B"/>
    <w:pPr>
      <w:tabs>
        <w:tab w:val="center" w:pos="4680"/>
        <w:tab w:val="right" w:pos="9360"/>
      </w:tabs>
      <w:spacing w:line="240" w:lineRule="auto"/>
    </w:pPr>
  </w:style>
  <w:style w:type="character" w:customStyle="1" w:styleId="HeaderChar">
    <w:name w:val="Header Char"/>
    <w:basedOn w:val="DefaultParagraphFont"/>
    <w:link w:val="Header"/>
    <w:uiPriority w:val="99"/>
    <w:rsid w:val="0011667B"/>
    <w:rPr>
      <w:rFonts w:ascii="Arial" w:eastAsia="Batang" w:hAnsi="Arial" w:cs="Arial"/>
      <w:sz w:val="22"/>
      <w:szCs w:val="22"/>
      <w:lang w:val="en"/>
    </w:rPr>
  </w:style>
  <w:style w:type="paragraph" w:styleId="Footer">
    <w:name w:val="footer"/>
    <w:basedOn w:val="Normal"/>
    <w:link w:val="FooterChar"/>
    <w:uiPriority w:val="99"/>
    <w:unhideWhenUsed/>
    <w:rsid w:val="0011667B"/>
    <w:pPr>
      <w:tabs>
        <w:tab w:val="center" w:pos="4680"/>
        <w:tab w:val="right" w:pos="9360"/>
      </w:tabs>
      <w:spacing w:line="240" w:lineRule="auto"/>
    </w:pPr>
  </w:style>
  <w:style w:type="character" w:customStyle="1" w:styleId="FooterChar">
    <w:name w:val="Footer Char"/>
    <w:basedOn w:val="DefaultParagraphFont"/>
    <w:link w:val="Footer"/>
    <w:uiPriority w:val="99"/>
    <w:rsid w:val="0011667B"/>
    <w:rPr>
      <w:rFonts w:ascii="Arial" w:eastAsia="Batang" w:hAnsi="Arial" w:cs="Arial"/>
      <w:sz w:val="22"/>
      <w:szCs w:val="2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emf"/><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6</Pages>
  <Words>3</Words>
  <Characters>21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Andrey Krokhotin</dc:creator>
  <cp:keywords/>
  <dc:description/>
  <cp:lastModifiedBy>Andrey Krokhotin</cp:lastModifiedBy>
  <cp:revision>21</cp:revision>
  <dcterms:created xsi:type="dcterms:W3CDTF">2021-09-05T19:50:00Z</dcterms:created>
  <dcterms:modified xsi:type="dcterms:W3CDTF">2021-09-29T22:05:00Z</dcterms:modified>
</cp:coreProperties>
</file>