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89C3" w14:textId="77777777" w:rsidR="00613C3F" w:rsidRDefault="00520B05">
      <w:pPr>
        <w:pStyle w:val="71e7dc79-1ff7-45e8-997d-0ebda3762b910"/>
        <w:spacing w:beforeLines="50" w:before="156" w:afterLines="50" w:after="156"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 xml:space="preserve">Figure S1. </w:t>
      </w:r>
      <w:r>
        <w:rPr>
          <w:rFonts w:ascii="Times New Roman" w:eastAsia="宋体" w:hAnsi="Times New Roman"/>
          <w:bCs/>
        </w:rPr>
        <w:t>Kaplan-Meier survival curves for IBR854-treated subjects</w:t>
      </w:r>
    </w:p>
    <w:p w14:paraId="607089C4" w14:textId="77777777" w:rsidR="00613C3F" w:rsidRDefault="00520B05">
      <w:pPr>
        <w:widowControl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 xml:space="preserve">Kaplan–Meier curves depicting </w:t>
      </w:r>
      <w:r>
        <w:rPr>
          <w:rFonts w:ascii="Times New Roman" w:eastAsia="宋体" w:hAnsi="Times New Roman"/>
          <w:b/>
          <w:bCs/>
        </w:rPr>
        <w:t>(a)</w:t>
      </w:r>
      <w:r>
        <w:rPr>
          <w:rFonts w:ascii="Times New Roman" w:eastAsia="宋体" w:hAnsi="Times New Roman"/>
        </w:rPr>
        <w:t xml:space="preserve"> progression-free survival (PFS) and </w:t>
      </w:r>
      <w:r>
        <w:rPr>
          <w:rFonts w:ascii="Times New Roman" w:eastAsia="宋体" w:hAnsi="Times New Roman"/>
          <w:b/>
          <w:bCs/>
        </w:rPr>
        <w:t>(b)</w:t>
      </w:r>
      <w:r>
        <w:rPr>
          <w:rFonts w:ascii="Times New Roman" w:eastAsia="宋体" w:hAnsi="Times New Roman"/>
        </w:rPr>
        <w:t xml:space="preserve"> overall survival (OS) in the FAS cohort (n=16), stratified by IBR854 dose level (3.0×10⁹, 5.0×10⁹, 7.0×10⁹, 9.0×10⁹, 12.0×10⁹ viable cells per infusion). The horizontal axis represents time post-first infusion (days); the vertical axis denotes survival probability. Censored data points (subjects without event at data cutoff) are marked with “+”. For each cohort, the number of events (PFS: disease progression; OS: all-cause death), median survival time (with 95% confidence interval, CI) and log-rank test p-value (p=0.3504 for PFS; p=0.2534 for OS) are annotated. The number of subjects at risk at key time points is listed at the bottom of each panel, quantifying cohort-specific follow-up attrition.</w:t>
      </w:r>
    </w:p>
    <w:p w14:paraId="607089C5" w14:textId="77777777" w:rsidR="00613C3F" w:rsidRDefault="00613C3F">
      <w:pPr>
        <w:widowControl/>
        <w:jc w:val="left"/>
        <w:rPr>
          <w:rFonts w:ascii="Times New Roman" w:eastAsia="宋体" w:hAnsi="Times New Roman"/>
        </w:rPr>
      </w:pPr>
    </w:p>
    <w:p w14:paraId="607089C6" w14:textId="77777777" w:rsidR="00613C3F" w:rsidRDefault="00520B05">
      <w:pPr>
        <w:widowControl/>
        <w:jc w:val="center"/>
        <w:rPr>
          <w:rFonts w:ascii="Times New Roman" w:eastAsia="宋体" w:hAnsi="Times New Roman"/>
          <w:b/>
          <w:color w:val="000000"/>
          <w:sz w:val="28"/>
          <w:szCs w:val="40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 wp14:anchorId="60708DDC" wp14:editId="60708DDD">
            <wp:simplePos x="0" y="0"/>
            <wp:positionH relativeFrom="column">
              <wp:posOffset>840105</wp:posOffset>
            </wp:positionH>
            <wp:positionV relativeFrom="paragraph">
              <wp:posOffset>3029585</wp:posOffset>
            </wp:positionV>
            <wp:extent cx="229235" cy="219075"/>
            <wp:effectExtent l="0" t="0" r="0" b="0"/>
            <wp:wrapNone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60708DDE" wp14:editId="60708DDF">
            <wp:simplePos x="0" y="0"/>
            <wp:positionH relativeFrom="column">
              <wp:posOffset>842645</wp:posOffset>
            </wp:positionH>
            <wp:positionV relativeFrom="paragraph">
              <wp:posOffset>38735</wp:posOffset>
            </wp:positionV>
            <wp:extent cx="259080" cy="247015"/>
            <wp:effectExtent l="0" t="0" r="0" b="0"/>
            <wp:wrapNone/>
            <wp:docPr id="15907605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76050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  <w:b/>
          <w:noProof/>
          <w:color w:val="000000"/>
          <w:sz w:val="28"/>
          <w:szCs w:val="40"/>
        </w:rPr>
        <w:drawing>
          <wp:inline distT="0" distB="0" distL="0" distR="0" wp14:anchorId="60708DE0" wp14:editId="60708DE1">
            <wp:extent cx="3587750" cy="2889885"/>
            <wp:effectExtent l="0" t="0" r="0" b="5715"/>
            <wp:docPr id="142638619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386190" name="图片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7750" cy="28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noProof/>
        </w:rPr>
        <w:drawing>
          <wp:inline distT="0" distB="0" distL="0" distR="0" wp14:anchorId="60708DE2" wp14:editId="6DF8F2E4">
            <wp:extent cx="3657011" cy="2844409"/>
            <wp:effectExtent l="0" t="0" r="635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3679" cy="284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089C7" w14:textId="77777777" w:rsidR="00613C3F" w:rsidRDefault="00613C3F">
      <w:pPr>
        <w:widowControl/>
        <w:jc w:val="center"/>
        <w:rPr>
          <w:rFonts w:ascii="Times New Roman" w:eastAsia="宋体" w:hAnsi="Times New Roman"/>
          <w:b/>
          <w:color w:val="000000"/>
          <w:sz w:val="28"/>
          <w:szCs w:val="40"/>
        </w:rPr>
      </w:pPr>
    </w:p>
    <w:p w14:paraId="0ECAD9BC" w14:textId="1207CE44" w:rsidR="000F4595" w:rsidRDefault="000F4595" w:rsidP="000F4595">
      <w:pPr>
        <w:pStyle w:val="71e7dc79-1ff7-45e8-997d-0ebda3762b910"/>
        <w:spacing w:beforeLines="50" w:before="156" w:afterLines="50" w:after="156" w:line="360" w:lineRule="auto"/>
        <w:rPr>
          <w:rFonts w:ascii="Times New Roman" w:eastAsia="宋体" w:hAnsi="Times New Roman"/>
        </w:rPr>
      </w:pPr>
      <w:bookmarkStart w:id="0" w:name="OLE_LINK24"/>
      <w:r>
        <w:rPr>
          <w:rFonts w:ascii="Times New Roman" w:eastAsia="宋体" w:hAnsi="Times New Roman"/>
        </w:rPr>
        <w:lastRenderedPageBreak/>
        <w:t xml:space="preserve">Figure </w:t>
      </w:r>
      <w:r>
        <w:rPr>
          <w:rFonts w:ascii="Times New Roman" w:eastAsia="宋体" w:hAnsi="Times New Roman" w:hint="eastAsia"/>
        </w:rPr>
        <w:t>S2</w:t>
      </w:r>
      <w:r>
        <w:rPr>
          <w:rFonts w:ascii="Times New Roman" w:eastAsia="宋体" w:hAnsi="Times New Roman"/>
        </w:rPr>
        <w:t xml:space="preserve">. </w:t>
      </w:r>
      <w:bookmarkStart w:id="1" w:name="OLE_LINK13"/>
      <w:r>
        <w:rPr>
          <w:rFonts w:ascii="Times New Roman" w:eastAsia="宋体" w:hAnsi="Times New Roman"/>
        </w:rPr>
        <w:t>Dose-dependent pharmacokinetic parameter distributions of IBR854</w:t>
      </w:r>
      <w:bookmarkEnd w:id="1"/>
    </w:p>
    <w:p w14:paraId="170FC4F6" w14:textId="77777777" w:rsidR="000F4595" w:rsidRDefault="000F4595" w:rsidP="0040797F">
      <w:pPr>
        <w:tabs>
          <w:tab w:val="left" w:pos="4794"/>
        </w:tabs>
        <w:spacing w:beforeLines="50" w:before="156" w:afterLines="50" w:after="156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4384" behindDoc="0" locked="0" layoutInCell="1" allowOverlap="1" wp14:anchorId="1E4C1F44" wp14:editId="6958460C">
            <wp:simplePos x="0" y="0"/>
            <wp:positionH relativeFrom="column">
              <wp:posOffset>-60960</wp:posOffset>
            </wp:positionH>
            <wp:positionV relativeFrom="paragraph">
              <wp:posOffset>2456180</wp:posOffset>
            </wp:positionV>
            <wp:extent cx="259080" cy="247015"/>
            <wp:effectExtent l="0" t="0" r="0" b="0"/>
            <wp:wrapNone/>
            <wp:docPr id="11507010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701027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  <w:b/>
          <w:noProof/>
          <w:color w:val="000000"/>
          <w:sz w:val="28"/>
          <w:szCs w:val="40"/>
        </w:rPr>
        <w:drawing>
          <wp:anchor distT="0" distB="0" distL="114300" distR="114300" simplePos="0" relativeHeight="251665408" behindDoc="0" locked="0" layoutInCell="1" allowOverlap="1" wp14:anchorId="7A842C19" wp14:editId="3B9CB0F2">
            <wp:simplePos x="0" y="0"/>
            <wp:positionH relativeFrom="column">
              <wp:posOffset>2596515</wp:posOffset>
            </wp:positionH>
            <wp:positionV relativeFrom="paragraph">
              <wp:posOffset>2454910</wp:posOffset>
            </wp:positionV>
            <wp:extent cx="229235" cy="219075"/>
            <wp:effectExtent l="0" t="0" r="0" b="0"/>
            <wp:wrapNone/>
            <wp:docPr id="133254905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549051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</w:rPr>
        <w:t xml:space="preserve">Box-and-whisker plots illustrating the relationship between IBR854 dose and key PK parameters (log-transformed scale, by cell copy number) for </w:t>
      </w:r>
      <w:r>
        <w:rPr>
          <w:rFonts w:ascii="Times New Roman" w:eastAsia="宋体" w:hAnsi="Times New Roman"/>
          <w:b/>
          <w:bCs/>
        </w:rPr>
        <w:t>(a-b)</w:t>
      </w:r>
      <w:r>
        <w:rPr>
          <w:rFonts w:ascii="Times New Roman" w:eastAsia="宋体" w:hAnsi="Times New Roman"/>
        </w:rPr>
        <w:t xml:space="preserve"> first infusion and </w:t>
      </w:r>
      <w:r>
        <w:rPr>
          <w:rFonts w:ascii="Times New Roman" w:eastAsia="宋体" w:hAnsi="Times New Roman"/>
          <w:b/>
          <w:bCs/>
        </w:rPr>
        <w:t>(c-d)</w:t>
      </w:r>
      <w:r>
        <w:rPr>
          <w:rFonts w:ascii="Times New Roman" w:eastAsia="宋体" w:hAnsi="Times New Roman"/>
        </w:rPr>
        <w:t xml:space="preserve"> multiple infusions (C1D1 and C1D8). Panels (</w:t>
      </w:r>
      <w:r>
        <w:rPr>
          <w:rFonts w:ascii="Times New Roman" w:eastAsia="宋体" w:hAnsi="Times New Roman"/>
          <w:b/>
          <w:bCs/>
        </w:rPr>
        <w:t>a, c</w:t>
      </w:r>
      <w:r>
        <w:rPr>
          <w:rFonts w:ascii="Times New Roman" w:eastAsia="宋体" w:hAnsi="Times New Roman"/>
        </w:rPr>
        <w:t>) show peak concentration (C</w:t>
      </w:r>
      <w:r w:rsidRPr="00471E03">
        <w:rPr>
          <w:rFonts w:ascii="Times New Roman" w:eastAsia="宋体" w:hAnsi="Times New Roman"/>
          <w:vertAlign w:val="subscript"/>
        </w:rPr>
        <w:t>max</w:t>
      </w:r>
      <w:r>
        <w:rPr>
          <w:rFonts w:ascii="Times New Roman" w:eastAsia="宋体" w:hAnsi="Times New Roman"/>
        </w:rPr>
        <w:t>); panels (</w:t>
      </w:r>
      <w:r>
        <w:rPr>
          <w:rFonts w:ascii="Times New Roman" w:eastAsia="宋体" w:hAnsi="Times New Roman"/>
          <w:b/>
          <w:bCs/>
        </w:rPr>
        <w:t>b, d</w:t>
      </w:r>
      <w:r>
        <w:rPr>
          <w:rFonts w:ascii="Times New Roman" w:eastAsia="宋体" w:hAnsi="Times New Roman"/>
        </w:rPr>
        <w:t>) show area under the concentration-time curve from 0 to 7 days (AUC</w:t>
      </w:r>
      <w:r w:rsidRPr="00471E03">
        <w:rPr>
          <w:rFonts w:ascii="Times New Roman" w:eastAsia="宋体" w:hAnsi="Times New Roman"/>
          <w:vertAlign w:val="subscript"/>
        </w:rPr>
        <w:t>0-7d</w:t>
      </w:r>
      <w:r>
        <w:rPr>
          <w:rFonts w:ascii="Times New Roman" w:eastAsia="宋体" w:hAnsi="Times New Roman"/>
        </w:rPr>
        <w:t>). Boxes represent interquartile range (IQR, 25th-75th percentile), horizontal lines denote median values, whiskers extend to 1.5×IQR, and individual data points represent outliers. The plots compare parameter distributions across the five dose cohorts (3.0×10⁹ to 12.0×10⁹ viable cells per infusion), with the analysis limited to subjects with complete PK parameter data.</w:t>
      </w:r>
    </w:p>
    <w:p w14:paraId="5303C5AB" w14:textId="77777777" w:rsidR="000F4595" w:rsidRDefault="000F4595" w:rsidP="000F4595">
      <w:pPr>
        <w:tabs>
          <w:tab w:val="left" w:pos="4794"/>
        </w:tabs>
        <w:spacing w:beforeLines="50" w:before="156" w:afterLines="50" w:after="156" w:line="360" w:lineRule="auto"/>
        <w:rPr>
          <w:rFonts w:ascii="Times New Roman" w:hAnsi="Times New Roman"/>
        </w:rPr>
      </w:pP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63360" behindDoc="0" locked="0" layoutInCell="1" allowOverlap="1" wp14:anchorId="053D031E" wp14:editId="10AD4927">
            <wp:simplePos x="0" y="0"/>
            <wp:positionH relativeFrom="column">
              <wp:posOffset>-57150</wp:posOffset>
            </wp:positionH>
            <wp:positionV relativeFrom="paragraph">
              <wp:posOffset>1162050</wp:posOffset>
            </wp:positionV>
            <wp:extent cx="273050" cy="260350"/>
            <wp:effectExtent l="0" t="0" r="0" b="0"/>
            <wp:wrapNone/>
            <wp:docPr id="149069273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692731" name="图片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122" cy="26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62336" behindDoc="0" locked="0" layoutInCell="1" allowOverlap="1" wp14:anchorId="62DC19EF" wp14:editId="30DBCB94">
            <wp:simplePos x="0" y="0"/>
            <wp:positionH relativeFrom="column">
              <wp:posOffset>2616200</wp:posOffset>
            </wp:positionH>
            <wp:positionV relativeFrom="paragraph">
              <wp:posOffset>1189355</wp:posOffset>
            </wp:positionV>
            <wp:extent cx="259080" cy="247650"/>
            <wp:effectExtent l="0" t="0" r="0" b="0"/>
            <wp:wrapNone/>
            <wp:docPr id="127407312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073124" name="图片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234" cy="24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inline distT="0" distB="0" distL="0" distR="0" wp14:anchorId="7B1DB9DD" wp14:editId="3E704FF7">
            <wp:extent cx="2647315" cy="1104265"/>
            <wp:effectExtent l="0" t="0" r="635" b="635"/>
            <wp:docPr id="15721418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14183" name="图片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5" t="11253" r="8603" b="44214"/>
                    <a:stretch>
                      <a:fillRect/>
                    </a:stretch>
                  </pic:blipFill>
                  <pic:spPr>
                    <a:xfrm>
                      <a:off x="0" y="0"/>
                      <a:ext cx="2658778" cy="1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drawing>
          <wp:inline distT="0" distB="0" distL="0" distR="0" wp14:anchorId="75B89A28" wp14:editId="45FEF228">
            <wp:extent cx="2574925" cy="1090930"/>
            <wp:effectExtent l="0" t="0" r="0" b="0"/>
            <wp:docPr id="143602237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022376" name="图片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27" t="12714" r="11213" b="44029"/>
                    <a:stretch>
                      <a:fillRect/>
                    </a:stretch>
                  </pic:blipFill>
                  <pic:spPr>
                    <a:xfrm>
                      <a:off x="0" y="0"/>
                      <a:ext cx="2626084" cy="111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</w:p>
    <w:p w14:paraId="52C302B8" w14:textId="77777777" w:rsidR="000F4595" w:rsidRDefault="000F4595" w:rsidP="000F4595">
      <w:pPr>
        <w:tabs>
          <w:tab w:val="left" w:pos="4794"/>
        </w:tabs>
        <w:spacing w:beforeLines="50" w:before="156" w:afterLines="50" w:after="156" w:line="360" w:lineRule="auto"/>
        <w:rPr>
          <w:rFonts w:ascii="Times New Roman" w:eastAsia="宋体" w:hAnsi="Times New Roman"/>
        </w:rPr>
        <w:sectPr w:rsidR="000F4595" w:rsidSect="000F45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/>
          <w:noProof/>
        </w:rPr>
        <w:drawing>
          <wp:inline distT="0" distB="0" distL="0" distR="0" wp14:anchorId="609CCBA9" wp14:editId="7A3DF825">
            <wp:extent cx="2614930" cy="1117600"/>
            <wp:effectExtent l="0" t="0" r="0" b="6350"/>
            <wp:docPr id="1182219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1912" name="图片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90" t="11611" r="11379" b="44396"/>
                    <a:stretch>
                      <a:fillRect/>
                    </a:stretch>
                  </pic:blipFill>
                  <pic:spPr>
                    <a:xfrm>
                      <a:off x="0" y="0"/>
                      <a:ext cx="2636382" cy="112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drawing>
          <wp:inline distT="0" distB="0" distL="0" distR="0" wp14:anchorId="366596E8" wp14:editId="725B18AC">
            <wp:extent cx="2656205" cy="1152525"/>
            <wp:effectExtent l="0" t="0" r="0" b="9525"/>
            <wp:docPr id="114467451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674516" name="图片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09" t="12839" r="10789" b="42384"/>
                    <a:stretch>
                      <a:fillRect/>
                    </a:stretch>
                  </pic:blipFill>
                  <pic:spPr>
                    <a:xfrm>
                      <a:off x="0" y="0"/>
                      <a:ext cx="2656647" cy="115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7B13B" w14:textId="603DA917" w:rsidR="00606EFA" w:rsidRDefault="00606EFA">
      <w:pPr>
        <w:pStyle w:val="71e7dc79-1ff7-45e8-997d-0ebda3762b910"/>
        <w:spacing w:beforeLines="50" w:before="156" w:afterLines="50" w:after="156"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 xml:space="preserve">Figure </w:t>
      </w:r>
      <w:r>
        <w:rPr>
          <w:rFonts w:ascii="Times New Roman" w:eastAsia="宋体" w:hAnsi="Times New Roman" w:hint="eastAsia"/>
        </w:rPr>
        <w:t>S</w:t>
      </w:r>
      <w:r>
        <w:rPr>
          <w:rFonts w:ascii="Times New Roman" w:eastAsia="宋体" w:hAnsi="Times New Roman" w:hint="eastAsia"/>
        </w:rPr>
        <w:t>3</w:t>
      </w:r>
      <w:r w:rsidR="00DD3991">
        <w:rPr>
          <w:rFonts w:ascii="Times New Roman" w:eastAsia="宋体" w:hAnsi="Times New Roman" w:hint="eastAsia"/>
        </w:rPr>
        <w:t>.</w:t>
      </w:r>
      <w:r w:rsidR="00DD3991" w:rsidRPr="00DD3991">
        <w:rPr>
          <w:rFonts w:ascii="等线" w:eastAsia="等线" w:hAnsi="等线"/>
          <w:b w:val="0"/>
          <w:color w:val="auto"/>
          <w:sz w:val="21"/>
          <w:szCs w:val="22"/>
        </w:rPr>
        <w:t xml:space="preserve"> </w:t>
      </w:r>
      <w:r w:rsidR="00DD3991" w:rsidRPr="00DD3991">
        <w:rPr>
          <w:rFonts w:ascii="Times New Roman" w:eastAsia="宋体" w:hAnsi="Times New Roman"/>
        </w:rPr>
        <w:t>Temporal changes in circulating IL-6 and IFN-γ concentrations following treatment</w:t>
      </w:r>
    </w:p>
    <w:p w14:paraId="1421F151" w14:textId="4F1967D9" w:rsidR="00517317" w:rsidRPr="00517317" w:rsidRDefault="00517317" w:rsidP="00517317">
      <w:pPr>
        <w:tabs>
          <w:tab w:val="left" w:pos="4794"/>
        </w:tabs>
        <w:spacing w:beforeLines="50" w:before="156" w:afterLines="50" w:after="156"/>
        <w:rPr>
          <w:rFonts w:ascii="Times New Roman" w:eastAsia="宋体" w:hAnsi="Times New Roman" w:hint="eastAsia"/>
        </w:rPr>
      </w:pPr>
      <w:r w:rsidRPr="00517317">
        <w:rPr>
          <w:rFonts w:ascii="Times New Roman" w:eastAsia="宋体" w:hAnsi="Times New Roman"/>
        </w:rPr>
        <w:t>Circulating levels of IL-6 and IFN-γ were measured at predefined study timepoints, including baseline, Cycle 1 Day 8 (C1D8), Cycle 2 Day 1 (C2D1), and Cycle 2 Day 8 (C2D8). Data are presented as mean ± standard deviation (SD) for IL-6 and mean values for IFN-γ. Sample sizes at each timepoint were as follows: IL-6 (n=3, 3, 1, and 1) and IFN-γ (n=1 at all timepoints).</w:t>
      </w:r>
    </w:p>
    <w:p w14:paraId="00D10E70" w14:textId="301CA0C9" w:rsidR="00606EFA" w:rsidRDefault="00A02D27" w:rsidP="00A02D27">
      <w:pPr>
        <w:widowControl/>
        <w:jc w:val="center"/>
        <w:rPr>
          <w:rFonts w:ascii="Times New Roman" w:eastAsia="宋体" w:hAnsi="Times New Roman"/>
          <w:b/>
          <w:color w:val="000000"/>
          <w:sz w:val="28"/>
          <w:szCs w:val="40"/>
        </w:rPr>
      </w:pPr>
      <w:r>
        <w:rPr>
          <w:rFonts w:ascii="Times New Roman" w:eastAsia="宋体" w:hAnsi="Times New Roman"/>
          <w:noProof/>
        </w:rPr>
        <w:drawing>
          <wp:inline distT="0" distB="0" distL="0" distR="0" wp14:anchorId="440ADCB3" wp14:editId="24001ADC">
            <wp:extent cx="3365680" cy="2524259"/>
            <wp:effectExtent l="0" t="0" r="6350" b="0"/>
            <wp:docPr id="2579726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273" cy="2530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6EFA">
        <w:rPr>
          <w:rFonts w:ascii="Times New Roman" w:eastAsia="宋体" w:hAnsi="Times New Roman"/>
        </w:rPr>
        <w:br w:type="page"/>
      </w:r>
    </w:p>
    <w:p w14:paraId="607089C8" w14:textId="0CA714AE" w:rsidR="00613C3F" w:rsidRDefault="00520B05">
      <w:pPr>
        <w:pStyle w:val="71e7dc79-1ff7-45e8-997d-0ebda3762b910"/>
        <w:spacing w:beforeLines="50" w:before="156" w:afterLines="50" w:after="156"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>Supplementary Table 1. Inclusion and exclusion criteria</w:t>
      </w:r>
    </w:p>
    <w:tbl>
      <w:tblPr>
        <w:tblW w:w="8266" w:type="dxa"/>
        <w:tblLook w:val="04A0" w:firstRow="1" w:lastRow="0" w:firstColumn="1" w:lastColumn="0" w:noHBand="0" w:noVBand="1"/>
      </w:tblPr>
      <w:tblGrid>
        <w:gridCol w:w="1192"/>
        <w:gridCol w:w="7074"/>
      </w:tblGrid>
      <w:tr w:rsidR="00613C3F" w14:paraId="607089CB" w14:textId="77777777">
        <w:trPr>
          <w:trHeight w:val="263"/>
        </w:trPr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bookmarkEnd w:id="0"/>
          <w:p w14:paraId="607089C9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14:ligatures w14:val="none"/>
              </w:rPr>
              <w:t>Category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7089CA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14:ligatures w14:val="none"/>
              </w:rPr>
              <w:t>Specific Criteria</w:t>
            </w:r>
          </w:p>
        </w:tc>
      </w:tr>
      <w:tr w:rsidR="00613C3F" w14:paraId="607089CE" w14:textId="77777777">
        <w:trPr>
          <w:trHeight w:val="263"/>
        </w:trPr>
        <w:tc>
          <w:tcPr>
            <w:tcW w:w="11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7089CC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Inclusion criteria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7089CD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1. Aged 18–75 years (inclusive) at the time of informed consent form (ICF) signing, with full capacity to understand and comply with the study protocol.</w:t>
            </w:r>
          </w:p>
        </w:tc>
      </w:tr>
      <w:tr w:rsidR="00613C3F" w14:paraId="607089D1" w14:textId="77777777">
        <w:trPr>
          <w:trHeight w:val="263"/>
        </w:trPr>
        <w:tc>
          <w:tcPr>
            <w:tcW w:w="1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CF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D0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2. Histologically or cytologically confirmed unresectable locally advanced or metastatic solid tumors, with no standard effective treatment options available or progressive disease after standard treatment.</w:t>
            </w:r>
          </w:p>
        </w:tc>
      </w:tr>
      <w:tr w:rsidR="00613C3F" w14:paraId="607089D4" w14:textId="77777777">
        <w:trPr>
          <w:trHeight w:val="535"/>
        </w:trPr>
        <w:tc>
          <w:tcPr>
            <w:tcW w:w="1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D2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D3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3. At least one measurable target lesion per Response Evaluation Criteria in Solid Tumors (RECIST) v1.1 (lesion longest diameter ≥10 mm for computed tomography/magnetic resonance imaging, or ≥15 mm for ultrasound).</w:t>
            </w:r>
          </w:p>
        </w:tc>
      </w:tr>
      <w:tr w:rsidR="00613C3F" w14:paraId="607089D7" w14:textId="77777777">
        <w:trPr>
          <w:trHeight w:val="263"/>
        </w:trPr>
        <w:tc>
          <w:tcPr>
            <w:tcW w:w="1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D5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D6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4. Eastern Cooperative Oncology Group (ECOG) performance status of 0 or 1 (able to perform daily activities without restriction or with mild restriction, respectively).</w:t>
            </w:r>
          </w:p>
        </w:tc>
      </w:tr>
      <w:tr w:rsidR="00613C3F" w14:paraId="607089DA" w14:textId="77777777">
        <w:trPr>
          <w:trHeight w:val="270"/>
        </w:trPr>
        <w:tc>
          <w:tcPr>
            <w:tcW w:w="1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D8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D9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5. Expected survival ≥3 months from the first dose of study drug, as assessed by the principal investigator (PI).</w:t>
            </w:r>
          </w:p>
        </w:tc>
      </w:tr>
      <w:tr w:rsidR="00613C3F" w14:paraId="607089DE" w14:textId="77777777">
        <w:trPr>
          <w:trHeight w:val="4461"/>
        </w:trPr>
        <w:tc>
          <w:tcPr>
            <w:tcW w:w="1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DB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DC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6. Adequate organ function (laboratory tests within 14 days before enrollment):</w:t>
            </w:r>
          </w:p>
          <w:p w14:paraId="607089DD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6.1 Absolute neutrophil count (ANC) ≥1.5×10⁹/L (without granulocyte colony-stimulating factor support within 7 days prior)</w:t>
            </w: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br/>
              <w:t>6.2 Platelet count (PLT) ≥75×10⁹/L (without platelet transfusion within 7 days prior)</w:t>
            </w: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br/>
              <w:t>6.3 Hemoglobin (HGB) ≥80 g/L (without red blood cell transfusion within 7 days prior)</w:t>
            </w: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br/>
              <w:t>6.4 Total bilirubin ≤1.5×upper limit of normal (ULN); aspartate aminotransferase (AST)/alanine aminotransferase (ALT) ≤2.5×ULN (≤5×ULN for patients with liver metastases)</w:t>
            </w: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br/>
              <w:t>6.5 Serum creatinine ≤1.5×ULN or estimated glomerular filtration rate ≥50 mL/min/1.73 m² (by Modification of Diet in Renal Disease formula)</w:t>
            </w: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br/>
              <w:t>6.6 International normalized ratio (INR) ≤1.5×ULN and activated partial thromboplastin time (APTT) ≤1.5×ULN (without anticoagulant use within 7 days prior, unless on stable-dose low-molecular-weight heparin).</w:t>
            </w:r>
          </w:p>
        </w:tc>
      </w:tr>
      <w:tr w:rsidR="00613C3F" w14:paraId="607089E1" w14:textId="77777777">
        <w:trPr>
          <w:trHeight w:val="527"/>
        </w:trPr>
        <w:tc>
          <w:tcPr>
            <w:tcW w:w="1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DF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074" w:type="dxa"/>
            <w:tcBorders>
              <w:top w:val="nil"/>
              <w:left w:val="nil"/>
              <w:right w:val="nil"/>
            </w:tcBorders>
            <w:vAlign w:val="center"/>
          </w:tcPr>
          <w:p w14:paraId="607089E0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7. For patients of childbearing potential (female: premenopausal or postmenopausal with menopause duration &lt;12 months; male: with fertile partners): Agreement to use effective contraception (e.g., barrier method + oral contraceptive, intrauterine device) from screening to 6 months after the last dose of IBR854.</w:t>
            </w:r>
          </w:p>
        </w:tc>
      </w:tr>
      <w:tr w:rsidR="00613C3F" w14:paraId="607089E4" w14:textId="77777777">
        <w:trPr>
          <w:trHeight w:val="263"/>
        </w:trPr>
        <w:tc>
          <w:tcPr>
            <w:tcW w:w="1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E2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089E3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8. Voluntary signing of the ICF after full disclosure of study details, risks, and benefits.</w:t>
            </w:r>
          </w:p>
        </w:tc>
      </w:tr>
      <w:tr w:rsidR="00613C3F" w14:paraId="607089E7" w14:textId="77777777">
        <w:trPr>
          <w:trHeight w:val="527"/>
        </w:trPr>
        <w:tc>
          <w:tcPr>
            <w:tcW w:w="11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E5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Exclusion criteria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7089E6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1. History of other malignant tumors within 5 years prior to enrollment (except cured non-melanoma skin cancer, carcinoma in situ of the cervix, or localized prostate cancer with stable disease after treatment).</w:t>
            </w:r>
          </w:p>
        </w:tc>
      </w:tr>
      <w:tr w:rsidR="00613C3F" w14:paraId="607089EA" w14:textId="77777777">
        <w:trPr>
          <w:trHeight w:val="527"/>
        </w:trPr>
        <w:tc>
          <w:tcPr>
            <w:tcW w:w="1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E8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E9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 xml:space="preserve">2. Active central nervous system (CNS) metastases or leptomeningeal disease (symptomatic, or requiring corticosteroid/anticonvulsant treatment within 2 </w:t>
            </w: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lastRenderedPageBreak/>
              <w:t>weeks prior; asymptomatic, untreated CNS metastases with longest diameter &lt;10 mm may be considered by the PI).</w:t>
            </w:r>
          </w:p>
        </w:tc>
      </w:tr>
      <w:tr w:rsidR="00613C3F" w14:paraId="607089ED" w14:textId="77777777">
        <w:trPr>
          <w:trHeight w:val="535"/>
        </w:trPr>
        <w:tc>
          <w:tcPr>
            <w:tcW w:w="1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EB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EC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3. History of severe autoimmune disease (e.g., systemic lupus erythematosus, rheumatoid arthritis requiring high-dose glucocorticoids ≥10 mg/day prednisone equivalent) or active autoimmune disease within 6 months prior.</w:t>
            </w:r>
          </w:p>
        </w:tc>
      </w:tr>
      <w:tr w:rsidR="00613C3F" w14:paraId="607089F0" w14:textId="77777777">
        <w:trPr>
          <w:trHeight w:val="535"/>
        </w:trPr>
        <w:tc>
          <w:tcPr>
            <w:tcW w:w="1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EE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EF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4. Active infection (e.g., bacterial/fungal infection requiring systemic antibiotics/antifungals, or viral infection such as hepatitis B virus [HBV, HBsAg positive with HBV DNA ≥2000 IU/mL], hepatitis C virus [HCV, HCV RNA positive], human immunodeficiency virus [HIV, HIV-1/HIV-2 antibody positive]) within 2 weeks prior to enrollment.</w:t>
            </w:r>
          </w:p>
        </w:tc>
      </w:tr>
      <w:tr w:rsidR="00613C3F" w14:paraId="607089F3" w14:textId="77777777">
        <w:trPr>
          <w:trHeight w:val="263"/>
        </w:trPr>
        <w:tc>
          <w:tcPr>
            <w:tcW w:w="1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F1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F2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5. History of severe hypersensitivity reactions (e.g., anaphylaxis) to monoclonal antibodies, NK cells, or any component of the IBR854 formulation.</w:t>
            </w:r>
          </w:p>
        </w:tc>
      </w:tr>
      <w:tr w:rsidR="00613C3F" w14:paraId="607089F6" w14:textId="77777777">
        <w:trPr>
          <w:trHeight w:val="263"/>
        </w:trPr>
        <w:tc>
          <w:tcPr>
            <w:tcW w:w="1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F4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F5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6. Pregnancy, lactation, or refusal to use effective contraception (for patients of childbearing potential, as defined in Inclusion Criterion 7).</w:t>
            </w:r>
          </w:p>
        </w:tc>
      </w:tr>
      <w:tr w:rsidR="00613C3F" w14:paraId="607089F9" w14:textId="77777777">
        <w:trPr>
          <w:trHeight w:val="263"/>
        </w:trPr>
        <w:tc>
          <w:tcPr>
            <w:tcW w:w="1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F7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F8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7. Major surgical procedure (e.g., abdominal/thoracic surgery) within 4 weeks prior to the first dose, or unresolved wound healing complications from prior surgery.</w:t>
            </w:r>
          </w:p>
        </w:tc>
      </w:tr>
      <w:tr w:rsidR="00613C3F" w14:paraId="607089FC" w14:textId="77777777">
        <w:trPr>
          <w:trHeight w:val="527"/>
        </w:trPr>
        <w:tc>
          <w:tcPr>
            <w:tcW w:w="1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FA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FB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8. Prior receipt of cell-based immunotherapies (e.g., chimeric antigen receptor T cells [CAR-T], other NK cell therapies) within 3 months prior to enrollment, or prior receipt of immune checkpoint inhibitors (e.g., anti-PD-1/PD-L1) within 2 weeks prior.</w:t>
            </w:r>
          </w:p>
        </w:tc>
      </w:tr>
      <w:tr w:rsidR="00613C3F" w14:paraId="607089FF" w14:textId="77777777">
        <w:trPr>
          <w:trHeight w:val="791"/>
        </w:trPr>
        <w:tc>
          <w:tcPr>
            <w:tcW w:w="1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FD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89FE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9. Presence of uncontrolled comorbidities: severe cardiovascular disease (e.g., myocardial infarction within 6 months prior, New York Heart Association [NYHA] class III/IV heart failure), severe pulmonary disease (e.g., chronic obstructive pulmonary disease [COPD] with forced expiratory volume in 1 second [FEV1] &lt;50% predicted), or uncontrolled hypertension (systolic blood pressure &gt;160 mmHg or diastolic blood pressure &gt;100 mmHg despite medication).</w:t>
            </w:r>
          </w:p>
        </w:tc>
      </w:tr>
      <w:tr w:rsidR="00613C3F" w14:paraId="60708A02" w14:textId="77777777">
        <w:trPr>
          <w:trHeight w:val="263"/>
        </w:trPr>
        <w:tc>
          <w:tcPr>
            <w:tcW w:w="11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08A00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08A01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10. Any condition judged by the PI to render the patient unsuitable for study participation (e.g., poor compliance potential, severe psychiatric disease).</w:t>
            </w:r>
          </w:p>
        </w:tc>
      </w:tr>
    </w:tbl>
    <w:p w14:paraId="60708A03" w14:textId="77777777" w:rsidR="00613C3F" w:rsidRDefault="00613C3F">
      <w:pPr>
        <w:rPr>
          <w:rFonts w:ascii="Times New Roman" w:hAnsi="Times New Roman"/>
        </w:rPr>
      </w:pPr>
    </w:p>
    <w:p w14:paraId="60708A04" w14:textId="77777777" w:rsidR="00613C3F" w:rsidRDefault="00520B05">
      <w:pPr>
        <w:widowControl/>
        <w:spacing w:after="160" w:line="27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0708A05" w14:textId="77777777" w:rsidR="00613C3F" w:rsidRDefault="00520B05">
      <w:pPr>
        <w:pStyle w:val="71e7dc79-1ff7-45e8-997d-0ebda3762b910"/>
        <w:spacing w:beforeLines="50" w:before="156" w:afterLines="50" w:after="156" w:line="360" w:lineRule="auto"/>
        <w:rPr>
          <w:rFonts w:ascii="Times New Roman" w:eastAsia="宋体" w:hAnsi="Times New Roman"/>
        </w:rPr>
      </w:pPr>
      <w:bookmarkStart w:id="2" w:name="OLE_LINK27"/>
      <w:r>
        <w:rPr>
          <w:rFonts w:ascii="Times New Roman" w:eastAsia="宋体" w:hAnsi="Times New Roman"/>
        </w:rPr>
        <w:lastRenderedPageBreak/>
        <w:t xml:space="preserve">Supplementary Table 2. </w:t>
      </w:r>
      <w:r>
        <w:rPr>
          <w:rFonts w:ascii="Times New Roman" w:eastAsia="宋体" w:hAnsi="Times New Roman" w:hint="eastAsia"/>
        </w:rPr>
        <w:t>Definition of Dose Limit Toxicity</w:t>
      </w:r>
    </w:p>
    <w:tbl>
      <w:tblPr>
        <w:tblW w:w="810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4582"/>
        <w:gridCol w:w="2013"/>
      </w:tblGrid>
      <w:tr w:rsidR="00613C3F" w14:paraId="60708A09" w14:textId="77777777">
        <w:trPr>
          <w:trHeight w:val="294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2"/>
          <w:p w14:paraId="60708A06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14:ligatures w14:val="none"/>
              </w:rPr>
              <w:t>DLT Category</w:t>
            </w:r>
          </w:p>
        </w:tc>
        <w:tc>
          <w:tcPr>
            <w:tcW w:w="4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08A07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14:ligatures w14:val="none"/>
              </w:rPr>
              <w:t>Specific Criteria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08A08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14:ligatures w14:val="none"/>
              </w:rPr>
              <w:t>Grading/Judgment Basis</w:t>
            </w:r>
          </w:p>
        </w:tc>
      </w:tr>
      <w:tr w:rsidR="00613C3F" w14:paraId="60708A0D" w14:textId="77777777">
        <w:trPr>
          <w:trHeight w:val="590"/>
        </w:trPr>
        <w:tc>
          <w:tcPr>
            <w:tcW w:w="1512" w:type="dxa"/>
            <w:vMerge w:val="restart"/>
            <w:tcBorders>
              <w:top w:val="single" w:sz="4" w:space="0" w:color="auto"/>
            </w:tcBorders>
            <w:vAlign w:val="center"/>
          </w:tcPr>
          <w:p w14:paraId="60708A0A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Hematological Toxicity</w:t>
            </w:r>
          </w:p>
        </w:tc>
        <w:tc>
          <w:tcPr>
            <w:tcW w:w="4584" w:type="dxa"/>
            <w:tcBorders>
              <w:top w:val="single" w:sz="4" w:space="0" w:color="auto"/>
            </w:tcBorders>
            <w:vAlign w:val="center"/>
          </w:tcPr>
          <w:p w14:paraId="60708A0B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4-grade neutropenia (ANC) lasting &gt; 5 days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14:paraId="60708A0C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NCI CTCAE V5.0</w:t>
            </w:r>
          </w:p>
        </w:tc>
      </w:tr>
      <w:tr w:rsidR="00613C3F" w14:paraId="60708A11" w14:textId="77777777">
        <w:trPr>
          <w:trHeight w:val="295"/>
        </w:trPr>
        <w:tc>
          <w:tcPr>
            <w:tcW w:w="1512" w:type="dxa"/>
            <w:vMerge/>
            <w:vAlign w:val="center"/>
          </w:tcPr>
          <w:p w14:paraId="60708A0E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4" w:type="dxa"/>
            <w:vAlign w:val="center"/>
          </w:tcPr>
          <w:p w14:paraId="60708A0F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≥ 3-grade febrile neutropenia</w:t>
            </w:r>
          </w:p>
        </w:tc>
        <w:tc>
          <w:tcPr>
            <w:tcW w:w="2011" w:type="dxa"/>
            <w:vAlign w:val="center"/>
          </w:tcPr>
          <w:p w14:paraId="60708A10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NCI CTCAE V5.0</w:t>
            </w:r>
          </w:p>
        </w:tc>
      </w:tr>
      <w:tr w:rsidR="00613C3F" w14:paraId="60708A15" w14:textId="77777777">
        <w:trPr>
          <w:trHeight w:val="295"/>
        </w:trPr>
        <w:tc>
          <w:tcPr>
            <w:tcW w:w="1512" w:type="dxa"/>
            <w:vMerge/>
            <w:vAlign w:val="center"/>
          </w:tcPr>
          <w:p w14:paraId="60708A12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4" w:type="dxa"/>
            <w:vAlign w:val="center"/>
          </w:tcPr>
          <w:p w14:paraId="60708A13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4-grade thrombocytopenia</w:t>
            </w:r>
          </w:p>
        </w:tc>
        <w:tc>
          <w:tcPr>
            <w:tcW w:w="2011" w:type="dxa"/>
            <w:vAlign w:val="center"/>
          </w:tcPr>
          <w:p w14:paraId="60708A14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NCI CTCAE V5.0</w:t>
            </w:r>
          </w:p>
        </w:tc>
      </w:tr>
      <w:tr w:rsidR="00613C3F" w14:paraId="60708A19" w14:textId="77777777">
        <w:trPr>
          <w:trHeight w:val="295"/>
        </w:trPr>
        <w:tc>
          <w:tcPr>
            <w:tcW w:w="1512" w:type="dxa"/>
            <w:vMerge/>
            <w:vAlign w:val="center"/>
          </w:tcPr>
          <w:p w14:paraId="60708A16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4" w:type="dxa"/>
            <w:vAlign w:val="center"/>
          </w:tcPr>
          <w:p w14:paraId="60708A17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3-grade thrombocytopenia accompanied by bleeding</w:t>
            </w:r>
          </w:p>
        </w:tc>
        <w:tc>
          <w:tcPr>
            <w:tcW w:w="2011" w:type="dxa"/>
            <w:vAlign w:val="center"/>
          </w:tcPr>
          <w:p w14:paraId="60708A18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NCI CTCAE V5.0</w:t>
            </w:r>
          </w:p>
        </w:tc>
      </w:tr>
      <w:tr w:rsidR="00613C3F" w14:paraId="60708A1D" w14:textId="77777777">
        <w:trPr>
          <w:trHeight w:val="295"/>
        </w:trPr>
        <w:tc>
          <w:tcPr>
            <w:tcW w:w="1512" w:type="dxa"/>
            <w:vMerge/>
            <w:vAlign w:val="center"/>
          </w:tcPr>
          <w:p w14:paraId="60708A1A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4" w:type="dxa"/>
            <w:vAlign w:val="center"/>
          </w:tcPr>
          <w:p w14:paraId="60708A1B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4-grade anemia</w:t>
            </w:r>
          </w:p>
        </w:tc>
        <w:tc>
          <w:tcPr>
            <w:tcW w:w="2011" w:type="dxa"/>
            <w:vAlign w:val="center"/>
          </w:tcPr>
          <w:p w14:paraId="60708A1C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NCI CTCAE V5.0</w:t>
            </w:r>
          </w:p>
        </w:tc>
      </w:tr>
      <w:tr w:rsidR="00613C3F" w14:paraId="60708A21" w14:textId="77777777">
        <w:trPr>
          <w:trHeight w:val="1629"/>
        </w:trPr>
        <w:tc>
          <w:tcPr>
            <w:tcW w:w="1512" w:type="dxa"/>
            <w:vMerge w:val="restart"/>
            <w:vAlign w:val="center"/>
          </w:tcPr>
          <w:p w14:paraId="60708A1E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Non-hematological Toxicity</w:t>
            </w:r>
          </w:p>
        </w:tc>
        <w:tc>
          <w:tcPr>
            <w:tcW w:w="4584" w:type="dxa"/>
            <w:vAlign w:val="center"/>
          </w:tcPr>
          <w:p w14:paraId="60708A1F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≥ 3-grade non-hematological toxicity (exceptions: a. Asymptomatic laboratory abnormalities without clinical intervention; b. Asymptomatic laboratory abnormalities resolving to ≤ 2 grade within 7 days; c. 3-grade non-hematological toxicity resolving to ≤ 2 grade within 14 days after treatment)</w:t>
            </w:r>
          </w:p>
        </w:tc>
        <w:tc>
          <w:tcPr>
            <w:tcW w:w="2011" w:type="dxa"/>
            <w:vAlign w:val="center"/>
          </w:tcPr>
          <w:p w14:paraId="60708A20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NCI CTCAE V5.0</w:t>
            </w:r>
          </w:p>
        </w:tc>
      </w:tr>
      <w:tr w:rsidR="00613C3F" w14:paraId="60708A25" w14:textId="77777777">
        <w:trPr>
          <w:trHeight w:val="1782"/>
        </w:trPr>
        <w:tc>
          <w:tcPr>
            <w:tcW w:w="1512" w:type="dxa"/>
            <w:vMerge/>
            <w:vAlign w:val="center"/>
          </w:tcPr>
          <w:p w14:paraId="60708A22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4" w:type="dxa"/>
            <w:vAlign w:val="center"/>
          </w:tcPr>
          <w:p w14:paraId="60708A23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≥ 3-grade Cytokine Release Syndrome (CRS)</w:t>
            </w:r>
          </w:p>
        </w:tc>
        <w:tc>
          <w:tcPr>
            <w:tcW w:w="2011" w:type="dxa"/>
            <w:vAlign w:val="center"/>
          </w:tcPr>
          <w:p w14:paraId="60708A24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2018 American Society for Transplantation and Cellular Therapy (ASTCT) consensus criteria</w:t>
            </w:r>
          </w:p>
        </w:tc>
      </w:tr>
      <w:tr w:rsidR="00613C3F" w14:paraId="60708A29" w14:textId="77777777">
        <w:trPr>
          <w:trHeight w:val="590"/>
        </w:trPr>
        <w:tc>
          <w:tcPr>
            <w:tcW w:w="1512" w:type="dxa"/>
            <w:vMerge w:val="restart"/>
            <w:vAlign w:val="center"/>
          </w:tcPr>
          <w:p w14:paraId="60708A26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Other Toxicity</w:t>
            </w:r>
          </w:p>
        </w:tc>
        <w:tc>
          <w:tcPr>
            <w:tcW w:w="4584" w:type="dxa"/>
            <w:vAlign w:val="center"/>
          </w:tcPr>
          <w:p w14:paraId="60708A27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Toxicity leading to permanent discontinuation of the study drug</w:t>
            </w:r>
          </w:p>
        </w:tc>
        <w:tc>
          <w:tcPr>
            <w:tcW w:w="2011" w:type="dxa"/>
            <w:vAlign w:val="center"/>
          </w:tcPr>
          <w:p w14:paraId="60708A28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Clinical judgment by investigators</w:t>
            </w:r>
          </w:p>
        </w:tc>
      </w:tr>
      <w:tr w:rsidR="00613C3F" w14:paraId="60708A2D" w14:textId="77777777">
        <w:trPr>
          <w:trHeight w:val="590"/>
        </w:trPr>
        <w:tc>
          <w:tcPr>
            <w:tcW w:w="1512" w:type="dxa"/>
            <w:vMerge/>
            <w:vAlign w:val="center"/>
          </w:tcPr>
          <w:p w14:paraId="60708A2A" w14:textId="77777777" w:rsidR="00613C3F" w:rsidRDefault="00613C3F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584" w:type="dxa"/>
            <w:vAlign w:val="center"/>
          </w:tcPr>
          <w:p w14:paraId="60708A2B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Toxicity resulting in delay of the second study drug infusion by &gt; 7 days during the DLT observation period</w:t>
            </w:r>
          </w:p>
        </w:tc>
        <w:tc>
          <w:tcPr>
            <w:tcW w:w="2011" w:type="dxa"/>
            <w:vAlign w:val="center"/>
          </w:tcPr>
          <w:p w14:paraId="60708A2C" w14:textId="77777777" w:rsidR="00613C3F" w:rsidRDefault="00520B05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Clinical judgment by investigators</w:t>
            </w:r>
          </w:p>
        </w:tc>
      </w:tr>
    </w:tbl>
    <w:p w14:paraId="60708A2F" w14:textId="7D73D484" w:rsidR="00DF7BB2" w:rsidRDefault="00DF7BB2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82CB426" w14:textId="3942A59E" w:rsidR="00DF7BB2" w:rsidRDefault="00DF7BB2" w:rsidP="00DF7BB2">
      <w:pPr>
        <w:pStyle w:val="71e7dc79-1ff7-45e8-997d-0ebda3762b910"/>
        <w:spacing w:beforeLines="50" w:before="156" w:afterLines="50" w:after="156"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 xml:space="preserve">Supplementary Table </w:t>
      </w:r>
      <w:r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/>
        </w:rPr>
        <w:t xml:space="preserve">. </w:t>
      </w:r>
      <w:r w:rsidR="001A0C64" w:rsidRPr="001A0C64">
        <w:rPr>
          <w:rFonts w:ascii="Times New Roman" w:eastAsia="宋体" w:hAnsi="Times New Roman" w:hint="eastAsia"/>
        </w:rPr>
        <w:t>Overview of safety and treatment-emergent adverse events</w:t>
      </w:r>
    </w:p>
    <w:tbl>
      <w:tblPr>
        <w:tblW w:w="7419" w:type="dxa"/>
        <w:jc w:val="center"/>
        <w:tblLook w:val="04A0" w:firstRow="1" w:lastRow="0" w:firstColumn="1" w:lastColumn="0" w:noHBand="0" w:noVBand="1"/>
      </w:tblPr>
      <w:tblGrid>
        <w:gridCol w:w="4798"/>
        <w:gridCol w:w="2621"/>
      </w:tblGrid>
      <w:tr w:rsidR="000B7A9B" w:rsidRPr="000B7A9B" w14:paraId="09A86D6C" w14:textId="77777777" w:rsidTr="00420D9C">
        <w:trPr>
          <w:trHeight w:val="515"/>
          <w:jc w:val="center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2D834" w14:textId="77777777" w:rsidR="000B7A9B" w:rsidRPr="000B7A9B" w:rsidRDefault="000B7A9B" w:rsidP="000B7A9B">
            <w:pPr>
              <w:widowControl/>
              <w:jc w:val="left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0B7A9B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14:ligatures w14:val="none"/>
              </w:rPr>
              <w:t>Category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D3C20" w14:textId="77777777" w:rsidR="000B7A9B" w:rsidRPr="000B7A9B" w:rsidRDefault="000B7A9B" w:rsidP="000B7A9B">
            <w:pPr>
              <w:widowControl/>
              <w:jc w:val="left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0B7A9B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14:ligatures w14:val="none"/>
              </w:rPr>
              <w:t>Patients, n (%)</w:t>
            </w:r>
          </w:p>
        </w:tc>
      </w:tr>
      <w:tr w:rsidR="000B7A9B" w:rsidRPr="000B7A9B" w14:paraId="06187FFB" w14:textId="77777777" w:rsidTr="00420D9C">
        <w:trPr>
          <w:trHeight w:val="515"/>
          <w:jc w:val="center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A7AE3" w14:textId="2A52C6EE" w:rsidR="000B7A9B" w:rsidRPr="000B7A9B" w:rsidRDefault="000B7A9B" w:rsidP="000B7A9B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 xml:space="preserve">Any </w:t>
            </w:r>
            <w:r w:rsidR="00020CB7" w:rsidRPr="00020CB7">
              <w:rPr>
                <w:rFonts w:ascii="Times New Roman" w:eastAsia="宋体" w:hAnsi="Times New Roman" w:hint="eastAsia"/>
                <w:color w:val="000000"/>
                <w:kern w:val="0"/>
                <w:sz w:val="22"/>
                <w14:ligatures w14:val="none"/>
              </w:rPr>
              <w:t>treatment-emergent adverse event</w:t>
            </w:r>
            <w:r w:rsidR="00020CB7" w:rsidRPr="00020CB7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020CB7">
              <w:rPr>
                <w:rFonts w:ascii="Times New Roman" w:eastAsia="宋体" w:hAnsi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TEAE</w:t>
            </w:r>
            <w:r w:rsidR="00020CB7">
              <w:rPr>
                <w:rFonts w:ascii="Times New Roman" w:eastAsia="宋体" w:hAnsi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92835" w14:textId="77777777" w:rsidR="000B7A9B" w:rsidRPr="000B7A9B" w:rsidRDefault="000B7A9B" w:rsidP="000B7A9B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19 (100.0)</w:t>
            </w:r>
          </w:p>
        </w:tc>
      </w:tr>
      <w:tr w:rsidR="000B7A9B" w:rsidRPr="000B7A9B" w14:paraId="26761876" w14:textId="77777777" w:rsidTr="00420D9C">
        <w:trPr>
          <w:trHeight w:val="515"/>
          <w:jc w:val="center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26412" w14:textId="76D76C02" w:rsidR="000B7A9B" w:rsidRPr="000B7A9B" w:rsidRDefault="005647AE" w:rsidP="000B7A9B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 w:rsidRPr="005647AE">
              <w:rPr>
                <w:rFonts w:ascii="Times New Roman" w:eastAsia="宋体" w:hAnsi="Times New Roman" w:hint="eastAsia"/>
                <w:color w:val="000000"/>
                <w:kern w:val="0"/>
                <w:sz w:val="22"/>
                <w14:ligatures w14:val="none"/>
              </w:rPr>
              <w:t>Treatment-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2"/>
                <w14:ligatures w14:val="none"/>
              </w:rPr>
              <w:t>r</w:t>
            </w:r>
            <w:r w:rsidRPr="005647AE">
              <w:rPr>
                <w:rFonts w:ascii="Times New Roman" w:eastAsia="宋体" w:hAnsi="Times New Roman" w:hint="eastAsia"/>
                <w:color w:val="000000"/>
                <w:kern w:val="0"/>
                <w:sz w:val="22"/>
                <w14:ligatures w14:val="none"/>
              </w:rPr>
              <w:t xml:space="preserve">elated 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2"/>
                <w14:ligatures w14:val="none"/>
              </w:rPr>
              <w:t>a</w:t>
            </w:r>
            <w:r w:rsidRPr="005647AE">
              <w:rPr>
                <w:rFonts w:ascii="Times New Roman" w:eastAsia="宋体" w:hAnsi="Times New Roman" w:hint="eastAsia"/>
                <w:color w:val="000000"/>
                <w:kern w:val="0"/>
                <w:sz w:val="22"/>
                <w14:ligatures w14:val="none"/>
              </w:rPr>
              <w:t xml:space="preserve">dverse 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2"/>
                <w14:ligatures w14:val="none"/>
              </w:rPr>
              <w:t>e</w:t>
            </w:r>
            <w:r w:rsidRPr="005647AE">
              <w:rPr>
                <w:rFonts w:ascii="Times New Roman" w:eastAsia="宋体" w:hAnsi="Times New Roman" w:hint="eastAsia"/>
                <w:color w:val="000000"/>
                <w:kern w:val="0"/>
                <w:sz w:val="22"/>
                <w14:ligatures w14:val="none"/>
              </w:rPr>
              <w:t>vent</w:t>
            </w:r>
            <w:r w:rsidRPr="005647AE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0B7A9B"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(</w:t>
            </w:r>
            <w:bookmarkStart w:id="3" w:name="OLE_LINK28"/>
            <w:r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T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2"/>
                <w14:ligatures w14:val="none"/>
              </w:rPr>
              <w:t>R</w:t>
            </w:r>
            <w:r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AEs</w:t>
            </w:r>
            <w:bookmarkEnd w:id="3"/>
            <w:r w:rsidR="000B7A9B"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606F8" w14:textId="77777777" w:rsidR="000B7A9B" w:rsidRPr="000B7A9B" w:rsidRDefault="000B7A9B" w:rsidP="000B7A9B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16 (84.2)</w:t>
            </w:r>
          </w:p>
        </w:tc>
      </w:tr>
      <w:tr w:rsidR="000B7A9B" w:rsidRPr="000B7A9B" w14:paraId="68216853" w14:textId="77777777" w:rsidTr="00420D9C">
        <w:trPr>
          <w:trHeight w:val="515"/>
          <w:jc w:val="center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51B78" w14:textId="77777777" w:rsidR="000B7A9B" w:rsidRPr="000B7A9B" w:rsidRDefault="000B7A9B" w:rsidP="000B7A9B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Grade ≥3 TEAEs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B91B3" w14:textId="77777777" w:rsidR="000B7A9B" w:rsidRPr="000B7A9B" w:rsidRDefault="000B7A9B" w:rsidP="000B7A9B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5 (26.3)</w:t>
            </w:r>
          </w:p>
        </w:tc>
      </w:tr>
      <w:tr w:rsidR="000B7A9B" w:rsidRPr="000B7A9B" w14:paraId="638BE411" w14:textId="77777777" w:rsidTr="00420D9C">
        <w:trPr>
          <w:trHeight w:val="515"/>
          <w:jc w:val="center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C325C" w14:textId="260178F4" w:rsidR="000B7A9B" w:rsidRPr="000B7A9B" w:rsidRDefault="000B7A9B" w:rsidP="000B7A9B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 xml:space="preserve">Grade ≥3 </w:t>
            </w:r>
            <w:r w:rsidR="005647AE"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T</w:t>
            </w:r>
            <w:r w:rsidR="005647AE">
              <w:rPr>
                <w:rFonts w:ascii="Times New Roman" w:eastAsia="宋体" w:hAnsi="Times New Roman" w:hint="eastAsia"/>
                <w:color w:val="000000"/>
                <w:kern w:val="0"/>
                <w:sz w:val="22"/>
                <w14:ligatures w14:val="none"/>
              </w:rPr>
              <w:t>R</w:t>
            </w:r>
            <w:r w:rsidR="005647AE"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AEs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4D714" w14:textId="77777777" w:rsidR="000B7A9B" w:rsidRPr="000B7A9B" w:rsidRDefault="000B7A9B" w:rsidP="000B7A9B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1 (5.3)</w:t>
            </w:r>
          </w:p>
        </w:tc>
      </w:tr>
      <w:tr w:rsidR="000B7A9B" w:rsidRPr="000B7A9B" w14:paraId="53140CBC" w14:textId="77777777" w:rsidTr="00420D9C">
        <w:trPr>
          <w:trHeight w:val="515"/>
          <w:jc w:val="center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95D29" w14:textId="77777777" w:rsidR="000B7A9B" w:rsidRPr="000B7A9B" w:rsidRDefault="000B7A9B" w:rsidP="000B7A9B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Serious adverse events (SAEs)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7A079" w14:textId="77777777" w:rsidR="000B7A9B" w:rsidRPr="000B7A9B" w:rsidRDefault="000B7A9B" w:rsidP="000B7A9B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3 (15.8)</w:t>
            </w:r>
          </w:p>
        </w:tc>
      </w:tr>
      <w:tr w:rsidR="000B7A9B" w:rsidRPr="000B7A9B" w14:paraId="0D822DD5" w14:textId="77777777" w:rsidTr="00420D9C">
        <w:trPr>
          <w:trHeight w:val="515"/>
          <w:jc w:val="center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96CC7" w14:textId="77777777" w:rsidR="000B7A9B" w:rsidRPr="000B7A9B" w:rsidRDefault="000B7A9B" w:rsidP="000B7A9B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Drug-related SAEs (SARs)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ED807" w14:textId="77777777" w:rsidR="000B7A9B" w:rsidRPr="000B7A9B" w:rsidRDefault="000B7A9B" w:rsidP="000B7A9B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1 (5.3)</w:t>
            </w:r>
          </w:p>
        </w:tc>
      </w:tr>
      <w:tr w:rsidR="000B7A9B" w:rsidRPr="000B7A9B" w14:paraId="7D10A01E" w14:textId="77777777" w:rsidTr="00420D9C">
        <w:trPr>
          <w:trHeight w:val="515"/>
          <w:jc w:val="center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4FB13" w14:textId="77777777" w:rsidR="000B7A9B" w:rsidRPr="000B7A9B" w:rsidRDefault="000B7A9B" w:rsidP="000B7A9B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Cytokine release syndrome (CRS)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0F8AB" w14:textId="77777777" w:rsidR="000B7A9B" w:rsidRPr="000B7A9B" w:rsidRDefault="000B7A9B" w:rsidP="000B7A9B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2 (10.5)</w:t>
            </w:r>
          </w:p>
        </w:tc>
      </w:tr>
      <w:tr w:rsidR="000B7A9B" w:rsidRPr="000B7A9B" w14:paraId="7EA45B99" w14:textId="77777777" w:rsidTr="00420D9C">
        <w:trPr>
          <w:trHeight w:val="515"/>
          <w:jc w:val="center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BA39A" w14:textId="77777777" w:rsidR="000B7A9B" w:rsidRPr="000B7A9B" w:rsidRDefault="000B7A9B" w:rsidP="000B7A9B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Grade ≥3 CRS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FF26E" w14:textId="77777777" w:rsidR="000B7A9B" w:rsidRPr="000B7A9B" w:rsidRDefault="000B7A9B" w:rsidP="000B7A9B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</w:pPr>
            <w:r w:rsidRPr="000B7A9B">
              <w:rPr>
                <w:rFonts w:ascii="Times New Roman" w:eastAsia="宋体" w:hAnsi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</w:tr>
    </w:tbl>
    <w:p w14:paraId="17DCD61C" w14:textId="77777777" w:rsidR="00420D9C" w:rsidRDefault="00420D9C">
      <w:pPr>
        <w:widowControl/>
        <w:spacing w:after="160" w:line="278" w:lineRule="auto"/>
        <w:jc w:val="left"/>
        <w:rPr>
          <w:rFonts w:ascii="Times New Roman" w:hAnsi="Times New Roman"/>
        </w:rPr>
      </w:pPr>
    </w:p>
    <w:p w14:paraId="59241830" w14:textId="0CC77ECF" w:rsidR="000B7A9B" w:rsidRPr="00DF7BB2" w:rsidRDefault="00402E7F">
      <w:pPr>
        <w:widowControl/>
        <w:spacing w:after="160" w:line="278" w:lineRule="auto"/>
        <w:jc w:val="left"/>
        <w:rPr>
          <w:rFonts w:ascii="Times New Roman" w:hAnsi="Times New Roman"/>
        </w:rPr>
        <w:sectPr w:rsidR="000B7A9B" w:rsidRPr="00DF7BB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02E7F">
        <w:rPr>
          <w:rFonts w:ascii="Times New Roman" w:hAnsi="Times New Roman"/>
        </w:rPr>
        <w:t xml:space="preserve">TEAEs were defined as adverse events occurring after treatment initiation. </w:t>
      </w:r>
      <w:r w:rsidR="00F16DB5" w:rsidRPr="000B7A9B">
        <w:rPr>
          <w:rFonts w:ascii="Times New Roman" w:eastAsia="宋体" w:hAnsi="Times New Roman"/>
          <w:color w:val="000000"/>
          <w:kern w:val="0"/>
          <w:sz w:val="22"/>
          <w14:ligatures w14:val="none"/>
        </w:rPr>
        <w:t>T</w:t>
      </w:r>
      <w:r w:rsidR="00F16DB5">
        <w:rPr>
          <w:rFonts w:ascii="Times New Roman" w:eastAsia="宋体" w:hAnsi="Times New Roman" w:hint="eastAsia"/>
          <w:color w:val="000000"/>
          <w:kern w:val="0"/>
          <w:sz w:val="22"/>
          <w14:ligatures w14:val="none"/>
        </w:rPr>
        <w:t>R</w:t>
      </w:r>
      <w:r w:rsidR="00F16DB5" w:rsidRPr="000B7A9B">
        <w:rPr>
          <w:rFonts w:ascii="Times New Roman" w:eastAsia="宋体" w:hAnsi="Times New Roman"/>
          <w:color w:val="000000"/>
          <w:kern w:val="0"/>
          <w:sz w:val="22"/>
          <w14:ligatures w14:val="none"/>
        </w:rPr>
        <w:t>AEs</w:t>
      </w:r>
      <w:r w:rsidR="00F16DB5" w:rsidRPr="00402E7F">
        <w:rPr>
          <w:rFonts w:ascii="Times New Roman" w:hAnsi="Times New Roman"/>
        </w:rPr>
        <w:t xml:space="preserve"> </w:t>
      </w:r>
      <w:r w:rsidRPr="00402E7F">
        <w:rPr>
          <w:rFonts w:ascii="Times New Roman" w:hAnsi="Times New Roman"/>
        </w:rPr>
        <w:t>were defined as treatment-related adverse events. SAEs were defined according to standard criteria. CRS was graded per ASTCT criteria, and all adverse events were graded according to CTCAE version 5.0</w:t>
      </w:r>
    </w:p>
    <w:p w14:paraId="60708D84" w14:textId="77777777" w:rsidR="00613C3F" w:rsidRDefault="00520B05">
      <w:pPr>
        <w:widowControl/>
        <w:spacing w:after="160" w:line="278" w:lineRule="auto"/>
        <w:jc w:val="left"/>
        <w:rPr>
          <w:rFonts w:ascii="Times New Roman" w:hAnsi="Times New Roman"/>
        </w:rPr>
        <w:sectPr w:rsidR="00613C3F" w:rsidSect="00385FE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/>
        </w:rPr>
        <w:br w:type="page"/>
      </w:r>
    </w:p>
    <w:p w14:paraId="60708D85" w14:textId="4939B31D" w:rsidR="00613C3F" w:rsidRDefault="00520B05">
      <w:pPr>
        <w:pStyle w:val="71e7dc79-1ff7-45e8-997d-0ebda3762b910"/>
        <w:spacing w:beforeLines="50" w:before="156" w:afterLines="50" w:after="156"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 xml:space="preserve">Supplementary Table </w:t>
      </w:r>
      <w:r w:rsidR="00385FE6">
        <w:rPr>
          <w:rFonts w:ascii="Times New Roman" w:eastAsia="宋体" w:hAnsi="Times New Roman" w:hint="eastAsia"/>
        </w:rPr>
        <w:t>4</w:t>
      </w:r>
      <w:r>
        <w:rPr>
          <w:rFonts w:ascii="Times New Roman" w:eastAsia="宋体" w:hAnsi="Times New Roman"/>
        </w:rPr>
        <w:t xml:space="preserve">. </w:t>
      </w:r>
      <w:r>
        <w:rPr>
          <w:rFonts w:ascii="Times New Roman" w:eastAsia="宋体" w:hAnsi="Times New Roman" w:hint="eastAsia"/>
        </w:rPr>
        <w:t xml:space="preserve">Mean KIR/HLA </w:t>
      </w:r>
      <w:r w:rsidR="00F55EEE">
        <w:rPr>
          <w:rFonts w:ascii="Times New Roman" w:eastAsia="宋体" w:hAnsi="Times New Roman" w:hint="eastAsia"/>
        </w:rPr>
        <w:t>m</w:t>
      </w:r>
      <w:r>
        <w:rPr>
          <w:rFonts w:ascii="Times New Roman" w:eastAsia="宋体" w:hAnsi="Times New Roman" w:hint="eastAsia"/>
        </w:rPr>
        <w:t xml:space="preserve">ismatch </w:t>
      </w:r>
      <w:r w:rsidR="00F55EEE">
        <w:rPr>
          <w:rFonts w:ascii="Times New Roman" w:eastAsia="宋体" w:hAnsi="Times New Roman" w:hint="eastAsia"/>
        </w:rPr>
        <w:t>s</w:t>
      </w:r>
      <w:r>
        <w:rPr>
          <w:rFonts w:ascii="Times New Roman" w:eastAsia="宋体" w:hAnsi="Times New Roman" w:hint="eastAsia"/>
        </w:rPr>
        <w:t>core</w:t>
      </w:r>
    </w:p>
    <w:tbl>
      <w:tblPr>
        <w:tblW w:w="822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962"/>
        <w:gridCol w:w="2310"/>
        <w:gridCol w:w="1477"/>
      </w:tblGrid>
      <w:tr w:rsidR="00613C3F" w14:paraId="60708D8A" w14:textId="77777777">
        <w:trPr>
          <w:trHeight w:val="839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08D86" w14:textId="77777777" w:rsidR="00613C3F" w:rsidRDefault="00520B05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14:ligatures w14:val="none"/>
              </w:rPr>
              <w:t>Center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08D87" w14:textId="77777777" w:rsidR="00613C3F" w:rsidRDefault="00520B05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14:ligatures w14:val="none"/>
              </w:rPr>
              <w:t>Subject ID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08D88" w14:textId="77777777" w:rsidR="00613C3F" w:rsidRDefault="00520B05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14:ligatures w14:val="none"/>
              </w:rPr>
              <w:t>Dose Group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08D89" w14:textId="77777777" w:rsidR="00613C3F" w:rsidRDefault="00520B05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14:ligatures w14:val="none"/>
              </w:rPr>
              <w:t>Mean KIR/HLA Mismatch Score of Subjects</w:t>
            </w:r>
          </w:p>
        </w:tc>
      </w:tr>
      <w:tr w:rsidR="00613C3F" w14:paraId="60708D8F" w14:textId="77777777">
        <w:trPr>
          <w:trHeight w:val="519"/>
        </w:trPr>
        <w:tc>
          <w:tcPr>
            <w:tcW w:w="3474" w:type="dxa"/>
            <w:tcBorders>
              <w:top w:val="single" w:sz="4" w:space="0" w:color="auto"/>
            </w:tcBorders>
            <w:vAlign w:val="center"/>
          </w:tcPr>
          <w:p w14:paraId="60708D8B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Cancer Hospital, Chinese Academy of Medical Sciences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14:paraId="60708D8C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1002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14:paraId="60708D8D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3.0×10^9 viable cells/dose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vAlign w:val="center"/>
          </w:tcPr>
          <w:p w14:paraId="60708D8E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613C3F" w14:paraId="60708D94" w14:textId="77777777">
        <w:trPr>
          <w:trHeight w:val="519"/>
        </w:trPr>
        <w:tc>
          <w:tcPr>
            <w:tcW w:w="3474" w:type="dxa"/>
            <w:vAlign w:val="center"/>
          </w:tcPr>
          <w:p w14:paraId="60708D90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Cancer Hospital, Chinese Academy of Medical Sciences</w:t>
            </w:r>
          </w:p>
        </w:tc>
        <w:tc>
          <w:tcPr>
            <w:tcW w:w="962" w:type="dxa"/>
            <w:vAlign w:val="center"/>
          </w:tcPr>
          <w:p w14:paraId="60708D91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1004</w:t>
            </w:r>
          </w:p>
        </w:tc>
        <w:tc>
          <w:tcPr>
            <w:tcW w:w="2310" w:type="dxa"/>
            <w:vAlign w:val="center"/>
          </w:tcPr>
          <w:p w14:paraId="60708D92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3.0×10^9 viable cells/dose</w:t>
            </w:r>
          </w:p>
        </w:tc>
        <w:tc>
          <w:tcPr>
            <w:tcW w:w="1477" w:type="dxa"/>
            <w:vAlign w:val="center"/>
          </w:tcPr>
          <w:p w14:paraId="60708D93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613C3F" w14:paraId="60708D99" w14:textId="77777777">
        <w:trPr>
          <w:trHeight w:val="519"/>
        </w:trPr>
        <w:tc>
          <w:tcPr>
            <w:tcW w:w="3474" w:type="dxa"/>
            <w:vAlign w:val="center"/>
          </w:tcPr>
          <w:p w14:paraId="60708D95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Sir Run Run Shaw Hospital, School of Medicine, Zhejiang University</w:t>
            </w:r>
          </w:p>
        </w:tc>
        <w:tc>
          <w:tcPr>
            <w:tcW w:w="962" w:type="dxa"/>
            <w:vAlign w:val="center"/>
          </w:tcPr>
          <w:p w14:paraId="60708D96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2001</w:t>
            </w:r>
          </w:p>
        </w:tc>
        <w:tc>
          <w:tcPr>
            <w:tcW w:w="2310" w:type="dxa"/>
            <w:vAlign w:val="center"/>
          </w:tcPr>
          <w:p w14:paraId="60708D97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3.0×10^9 viable cells/dose</w:t>
            </w:r>
          </w:p>
        </w:tc>
        <w:tc>
          <w:tcPr>
            <w:tcW w:w="1477" w:type="dxa"/>
            <w:vAlign w:val="center"/>
          </w:tcPr>
          <w:p w14:paraId="60708D98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613C3F" w14:paraId="60708D9E" w14:textId="77777777">
        <w:trPr>
          <w:trHeight w:val="519"/>
        </w:trPr>
        <w:tc>
          <w:tcPr>
            <w:tcW w:w="3474" w:type="dxa"/>
            <w:vAlign w:val="center"/>
          </w:tcPr>
          <w:p w14:paraId="60708D9A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Cancer Hospital, Chinese Academy of Medical Sciences</w:t>
            </w:r>
          </w:p>
        </w:tc>
        <w:tc>
          <w:tcPr>
            <w:tcW w:w="962" w:type="dxa"/>
            <w:vAlign w:val="center"/>
          </w:tcPr>
          <w:p w14:paraId="60708D9B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1006</w:t>
            </w:r>
          </w:p>
        </w:tc>
        <w:tc>
          <w:tcPr>
            <w:tcW w:w="2310" w:type="dxa"/>
            <w:vAlign w:val="center"/>
          </w:tcPr>
          <w:p w14:paraId="60708D9C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5.0×10^9 viable cells/dose</w:t>
            </w:r>
          </w:p>
        </w:tc>
        <w:tc>
          <w:tcPr>
            <w:tcW w:w="1477" w:type="dxa"/>
            <w:vAlign w:val="center"/>
          </w:tcPr>
          <w:p w14:paraId="60708D9D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613C3F" w14:paraId="60708DA3" w14:textId="77777777">
        <w:trPr>
          <w:trHeight w:val="519"/>
        </w:trPr>
        <w:tc>
          <w:tcPr>
            <w:tcW w:w="3474" w:type="dxa"/>
            <w:vAlign w:val="center"/>
          </w:tcPr>
          <w:p w14:paraId="60708D9F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Sir Run Run Shaw Hospital, School of Medicine, Zhejiang University</w:t>
            </w:r>
          </w:p>
        </w:tc>
        <w:tc>
          <w:tcPr>
            <w:tcW w:w="962" w:type="dxa"/>
            <w:vAlign w:val="center"/>
          </w:tcPr>
          <w:p w14:paraId="60708DA0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2002</w:t>
            </w:r>
          </w:p>
        </w:tc>
        <w:tc>
          <w:tcPr>
            <w:tcW w:w="2310" w:type="dxa"/>
            <w:vAlign w:val="center"/>
          </w:tcPr>
          <w:p w14:paraId="60708DA1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5.0×10^9 viable cells/dose</w:t>
            </w:r>
          </w:p>
        </w:tc>
        <w:tc>
          <w:tcPr>
            <w:tcW w:w="1477" w:type="dxa"/>
            <w:vAlign w:val="center"/>
          </w:tcPr>
          <w:p w14:paraId="60708DA2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1.67</w:t>
            </w:r>
          </w:p>
        </w:tc>
      </w:tr>
      <w:tr w:rsidR="00613C3F" w14:paraId="60708DA8" w14:textId="77777777">
        <w:trPr>
          <w:trHeight w:val="519"/>
        </w:trPr>
        <w:tc>
          <w:tcPr>
            <w:tcW w:w="3474" w:type="dxa"/>
            <w:vAlign w:val="center"/>
          </w:tcPr>
          <w:p w14:paraId="60708DA4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Linyi Cancer Hospital</w:t>
            </w:r>
          </w:p>
        </w:tc>
        <w:tc>
          <w:tcPr>
            <w:tcW w:w="962" w:type="dxa"/>
            <w:vAlign w:val="center"/>
          </w:tcPr>
          <w:p w14:paraId="60708DA5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3004</w:t>
            </w:r>
          </w:p>
        </w:tc>
        <w:tc>
          <w:tcPr>
            <w:tcW w:w="2310" w:type="dxa"/>
            <w:vAlign w:val="center"/>
          </w:tcPr>
          <w:p w14:paraId="60708DA6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5.0×10^9 viable cells/dose</w:t>
            </w:r>
          </w:p>
        </w:tc>
        <w:tc>
          <w:tcPr>
            <w:tcW w:w="1477" w:type="dxa"/>
            <w:vAlign w:val="center"/>
          </w:tcPr>
          <w:p w14:paraId="60708DA7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1.83</w:t>
            </w:r>
          </w:p>
        </w:tc>
      </w:tr>
      <w:tr w:rsidR="00613C3F" w14:paraId="60708DAD" w14:textId="77777777">
        <w:trPr>
          <w:trHeight w:val="519"/>
        </w:trPr>
        <w:tc>
          <w:tcPr>
            <w:tcW w:w="3474" w:type="dxa"/>
            <w:vAlign w:val="center"/>
          </w:tcPr>
          <w:p w14:paraId="60708DA9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Cancer Hospital, Chinese Academy of Medical Sciences</w:t>
            </w:r>
          </w:p>
        </w:tc>
        <w:tc>
          <w:tcPr>
            <w:tcW w:w="962" w:type="dxa"/>
            <w:vAlign w:val="center"/>
          </w:tcPr>
          <w:p w14:paraId="60708DAA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1009</w:t>
            </w:r>
          </w:p>
        </w:tc>
        <w:tc>
          <w:tcPr>
            <w:tcW w:w="2310" w:type="dxa"/>
            <w:vAlign w:val="center"/>
          </w:tcPr>
          <w:p w14:paraId="60708DAB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7.0×10^9 viable cells/dose</w:t>
            </w:r>
          </w:p>
        </w:tc>
        <w:tc>
          <w:tcPr>
            <w:tcW w:w="1477" w:type="dxa"/>
            <w:vAlign w:val="center"/>
          </w:tcPr>
          <w:p w14:paraId="60708DAC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613C3F" w14:paraId="60708DB2" w14:textId="77777777">
        <w:trPr>
          <w:trHeight w:val="519"/>
        </w:trPr>
        <w:tc>
          <w:tcPr>
            <w:tcW w:w="3474" w:type="dxa"/>
            <w:vAlign w:val="center"/>
          </w:tcPr>
          <w:p w14:paraId="60708DAE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Sir Run Run Shaw Hospital, School of Medicine, Zhejiang University</w:t>
            </w:r>
          </w:p>
        </w:tc>
        <w:tc>
          <w:tcPr>
            <w:tcW w:w="962" w:type="dxa"/>
            <w:vAlign w:val="center"/>
          </w:tcPr>
          <w:p w14:paraId="60708DAF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2003</w:t>
            </w:r>
          </w:p>
        </w:tc>
        <w:tc>
          <w:tcPr>
            <w:tcW w:w="2310" w:type="dxa"/>
            <w:vAlign w:val="center"/>
          </w:tcPr>
          <w:p w14:paraId="60708DB0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7.0×10^9 viable cells/dose</w:t>
            </w:r>
          </w:p>
        </w:tc>
        <w:tc>
          <w:tcPr>
            <w:tcW w:w="1477" w:type="dxa"/>
            <w:vAlign w:val="center"/>
          </w:tcPr>
          <w:p w14:paraId="60708DB1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0.5</w:t>
            </w:r>
          </w:p>
        </w:tc>
      </w:tr>
      <w:tr w:rsidR="00613C3F" w14:paraId="60708DB7" w14:textId="77777777">
        <w:trPr>
          <w:trHeight w:val="519"/>
        </w:trPr>
        <w:tc>
          <w:tcPr>
            <w:tcW w:w="3474" w:type="dxa"/>
            <w:vAlign w:val="center"/>
          </w:tcPr>
          <w:p w14:paraId="60708DB3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Linyi Cancer Hospital</w:t>
            </w:r>
          </w:p>
        </w:tc>
        <w:tc>
          <w:tcPr>
            <w:tcW w:w="962" w:type="dxa"/>
            <w:vAlign w:val="center"/>
          </w:tcPr>
          <w:p w14:paraId="60708DB4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3005</w:t>
            </w:r>
          </w:p>
        </w:tc>
        <w:tc>
          <w:tcPr>
            <w:tcW w:w="2310" w:type="dxa"/>
            <w:vAlign w:val="center"/>
          </w:tcPr>
          <w:p w14:paraId="60708DB5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7.0×10^9 viable cells/dose</w:t>
            </w:r>
          </w:p>
        </w:tc>
        <w:tc>
          <w:tcPr>
            <w:tcW w:w="1477" w:type="dxa"/>
            <w:vAlign w:val="center"/>
          </w:tcPr>
          <w:p w14:paraId="60708DB6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1.5</w:t>
            </w:r>
          </w:p>
        </w:tc>
      </w:tr>
      <w:tr w:rsidR="00613C3F" w14:paraId="60708DBC" w14:textId="77777777">
        <w:trPr>
          <w:trHeight w:val="519"/>
        </w:trPr>
        <w:tc>
          <w:tcPr>
            <w:tcW w:w="3474" w:type="dxa"/>
            <w:vAlign w:val="center"/>
          </w:tcPr>
          <w:p w14:paraId="60708DB8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Cancer Hospital, Chinese Academy of Medical Sciences</w:t>
            </w:r>
          </w:p>
        </w:tc>
        <w:tc>
          <w:tcPr>
            <w:tcW w:w="962" w:type="dxa"/>
            <w:vAlign w:val="center"/>
          </w:tcPr>
          <w:p w14:paraId="60708DB9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1012</w:t>
            </w:r>
          </w:p>
        </w:tc>
        <w:tc>
          <w:tcPr>
            <w:tcW w:w="2310" w:type="dxa"/>
            <w:vAlign w:val="center"/>
          </w:tcPr>
          <w:p w14:paraId="60708DBA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9.0×10^9 viable cells/dose</w:t>
            </w:r>
          </w:p>
        </w:tc>
        <w:tc>
          <w:tcPr>
            <w:tcW w:w="1477" w:type="dxa"/>
            <w:vAlign w:val="center"/>
          </w:tcPr>
          <w:p w14:paraId="60708DBB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2.33</w:t>
            </w:r>
          </w:p>
        </w:tc>
      </w:tr>
      <w:tr w:rsidR="00613C3F" w14:paraId="60708DC1" w14:textId="77777777">
        <w:trPr>
          <w:trHeight w:val="519"/>
        </w:trPr>
        <w:tc>
          <w:tcPr>
            <w:tcW w:w="3474" w:type="dxa"/>
            <w:vAlign w:val="center"/>
          </w:tcPr>
          <w:p w14:paraId="60708DBD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Cancer Hospital, Chinese Academy of Medical Sciences</w:t>
            </w:r>
          </w:p>
        </w:tc>
        <w:tc>
          <w:tcPr>
            <w:tcW w:w="962" w:type="dxa"/>
            <w:vAlign w:val="center"/>
          </w:tcPr>
          <w:p w14:paraId="60708DBE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1014</w:t>
            </w:r>
          </w:p>
        </w:tc>
        <w:tc>
          <w:tcPr>
            <w:tcW w:w="2310" w:type="dxa"/>
            <w:vAlign w:val="center"/>
          </w:tcPr>
          <w:p w14:paraId="60708DBF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9.0×10^9 viable cells/dose</w:t>
            </w:r>
          </w:p>
        </w:tc>
        <w:tc>
          <w:tcPr>
            <w:tcW w:w="1477" w:type="dxa"/>
            <w:vAlign w:val="center"/>
          </w:tcPr>
          <w:p w14:paraId="60708DC0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613C3F" w14:paraId="60708DC6" w14:textId="77777777">
        <w:trPr>
          <w:trHeight w:val="519"/>
        </w:trPr>
        <w:tc>
          <w:tcPr>
            <w:tcW w:w="3474" w:type="dxa"/>
            <w:vAlign w:val="center"/>
          </w:tcPr>
          <w:p w14:paraId="60708DC2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Sir Run Run Shaw Hospital, School of Medicine, Zhejiang University</w:t>
            </w:r>
          </w:p>
        </w:tc>
        <w:tc>
          <w:tcPr>
            <w:tcW w:w="962" w:type="dxa"/>
            <w:vAlign w:val="center"/>
          </w:tcPr>
          <w:p w14:paraId="60708DC3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2006</w:t>
            </w:r>
          </w:p>
        </w:tc>
        <w:tc>
          <w:tcPr>
            <w:tcW w:w="2310" w:type="dxa"/>
            <w:vAlign w:val="center"/>
          </w:tcPr>
          <w:p w14:paraId="60708DC4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9.0×10^9 viable cells/dose</w:t>
            </w:r>
          </w:p>
        </w:tc>
        <w:tc>
          <w:tcPr>
            <w:tcW w:w="1477" w:type="dxa"/>
            <w:vAlign w:val="center"/>
          </w:tcPr>
          <w:p w14:paraId="60708DC5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613C3F" w14:paraId="60708DCB" w14:textId="77777777">
        <w:trPr>
          <w:trHeight w:val="519"/>
        </w:trPr>
        <w:tc>
          <w:tcPr>
            <w:tcW w:w="3474" w:type="dxa"/>
            <w:vAlign w:val="center"/>
          </w:tcPr>
          <w:p w14:paraId="60708DC7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Sir Run Run Shaw Hospital, School of Medicine, Zhejiang University</w:t>
            </w:r>
          </w:p>
        </w:tc>
        <w:tc>
          <w:tcPr>
            <w:tcW w:w="962" w:type="dxa"/>
            <w:vAlign w:val="center"/>
          </w:tcPr>
          <w:p w14:paraId="60708DC8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2007</w:t>
            </w:r>
          </w:p>
        </w:tc>
        <w:tc>
          <w:tcPr>
            <w:tcW w:w="2310" w:type="dxa"/>
            <w:vAlign w:val="center"/>
          </w:tcPr>
          <w:p w14:paraId="60708DC9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9.0×10^9 viable cells/dose</w:t>
            </w:r>
          </w:p>
        </w:tc>
        <w:tc>
          <w:tcPr>
            <w:tcW w:w="1477" w:type="dxa"/>
            <w:vAlign w:val="center"/>
          </w:tcPr>
          <w:p w14:paraId="60708DCA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613C3F" w14:paraId="60708DD0" w14:textId="77777777">
        <w:trPr>
          <w:trHeight w:val="519"/>
        </w:trPr>
        <w:tc>
          <w:tcPr>
            <w:tcW w:w="3474" w:type="dxa"/>
            <w:vAlign w:val="center"/>
          </w:tcPr>
          <w:p w14:paraId="60708DCC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Cancer Hospital, Chinese Academy of Medical Sciences</w:t>
            </w:r>
          </w:p>
        </w:tc>
        <w:tc>
          <w:tcPr>
            <w:tcW w:w="962" w:type="dxa"/>
            <w:vAlign w:val="center"/>
          </w:tcPr>
          <w:p w14:paraId="60708DCD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1013</w:t>
            </w:r>
          </w:p>
        </w:tc>
        <w:tc>
          <w:tcPr>
            <w:tcW w:w="2310" w:type="dxa"/>
            <w:vAlign w:val="center"/>
          </w:tcPr>
          <w:p w14:paraId="60708DCE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12.0×10^9 viable cells/dose</w:t>
            </w:r>
          </w:p>
        </w:tc>
        <w:tc>
          <w:tcPr>
            <w:tcW w:w="1477" w:type="dxa"/>
            <w:vAlign w:val="center"/>
          </w:tcPr>
          <w:p w14:paraId="60708DCF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613C3F" w14:paraId="60708DD5" w14:textId="77777777">
        <w:trPr>
          <w:trHeight w:val="519"/>
        </w:trPr>
        <w:tc>
          <w:tcPr>
            <w:tcW w:w="3474" w:type="dxa"/>
            <w:vAlign w:val="center"/>
          </w:tcPr>
          <w:p w14:paraId="60708DD1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Sir Run Run Shaw Hospital, School of Medicine, Zhejiang University</w:t>
            </w:r>
          </w:p>
        </w:tc>
        <w:tc>
          <w:tcPr>
            <w:tcW w:w="962" w:type="dxa"/>
            <w:vAlign w:val="center"/>
          </w:tcPr>
          <w:p w14:paraId="60708DD2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2008</w:t>
            </w:r>
          </w:p>
        </w:tc>
        <w:tc>
          <w:tcPr>
            <w:tcW w:w="2310" w:type="dxa"/>
            <w:vAlign w:val="center"/>
          </w:tcPr>
          <w:p w14:paraId="60708DD3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12.0×10^9 viable cells/dose</w:t>
            </w:r>
          </w:p>
        </w:tc>
        <w:tc>
          <w:tcPr>
            <w:tcW w:w="1477" w:type="dxa"/>
            <w:vAlign w:val="center"/>
          </w:tcPr>
          <w:p w14:paraId="60708DD4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613C3F" w14:paraId="60708DDA" w14:textId="77777777">
        <w:trPr>
          <w:trHeight w:val="519"/>
        </w:trPr>
        <w:tc>
          <w:tcPr>
            <w:tcW w:w="3474" w:type="dxa"/>
            <w:vAlign w:val="center"/>
          </w:tcPr>
          <w:p w14:paraId="60708DD6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Fuyang Cancer Hospital</w:t>
            </w:r>
          </w:p>
        </w:tc>
        <w:tc>
          <w:tcPr>
            <w:tcW w:w="962" w:type="dxa"/>
            <w:vAlign w:val="center"/>
          </w:tcPr>
          <w:p w14:paraId="60708DD7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5001</w:t>
            </w:r>
          </w:p>
        </w:tc>
        <w:tc>
          <w:tcPr>
            <w:tcW w:w="2310" w:type="dxa"/>
            <w:vAlign w:val="center"/>
          </w:tcPr>
          <w:p w14:paraId="60708DD8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12.0×10^9 viable cells/dose</w:t>
            </w:r>
          </w:p>
        </w:tc>
        <w:tc>
          <w:tcPr>
            <w:tcW w:w="1477" w:type="dxa"/>
            <w:vAlign w:val="center"/>
          </w:tcPr>
          <w:p w14:paraId="60708DD9" w14:textId="77777777" w:rsidR="00613C3F" w:rsidRDefault="00520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1.67</w:t>
            </w:r>
          </w:p>
        </w:tc>
      </w:tr>
    </w:tbl>
    <w:p w14:paraId="60708DDB" w14:textId="5EB63988" w:rsidR="0008463A" w:rsidRDefault="0008463A">
      <w:pPr>
        <w:rPr>
          <w:rFonts w:ascii="Times New Roman" w:hAnsi="Times New Roman"/>
        </w:rPr>
      </w:pPr>
    </w:p>
    <w:p w14:paraId="1D42C376" w14:textId="77777777" w:rsidR="00334523" w:rsidRDefault="0008463A">
      <w:pPr>
        <w:widowControl/>
        <w:jc w:val="left"/>
        <w:rPr>
          <w:rFonts w:ascii="Times New Roman" w:hAnsi="Times New Roman"/>
        </w:rPr>
        <w:sectPr w:rsidR="00334523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/>
        </w:rPr>
        <w:br w:type="page"/>
      </w:r>
    </w:p>
    <w:p w14:paraId="0FC9F305" w14:textId="77777777" w:rsidR="0008463A" w:rsidRDefault="0008463A">
      <w:pPr>
        <w:widowControl/>
        <w:jc w:val="left"/>
        <w:rPr>
          <w:rFonts w:ascii="Times New Roman" w:hAnsi="Times New Roman"/>
        </w:rPr>
      </w:pPr>
    </w:p>
    <w:p w14:paraId="517CCDC6" w14:textId="21E78D4D" w:rsidR="0008463A" w:rsidRDefault="0008463A" w:rsidP="0008463A">
      <w:pPr>
        <w:pStyle w:val="71e7dc79-1ff7-45e8-997d-0ebda3762b910"/>
        <w:spacing w:beforeLines="50" w:before="156" w:afterLines="50" w:after="156"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 xml:space="preserve">Supplementary Table </w:t>
      </w:r>
      <w:r w:rsidR="00385FE6">
        <w:rPr>
          <w:rFonts w:ascii="Times New Roman" w:eastAsia="宋体" w:hAnsi="Times New Roman" w:hint="eastAsia"/>
        </w:rPr>
        <w:t>5</w:t>
      </w:r>
      <w:r>
        <w:rPr>
          <w:rFonts w:ascii="Times New Roman" w:eastAsia="宋体" w:hAnsi="Times New Roman"/>
        </w:rPr>
        <w:t xml:space="preserve">. </w:t>
      </w:r>
      <w:r w:rsidR="00F55EEE" w:rsidRPr="00F55EEE">
        <w:rPr>
          <w:rFonts w:ascii="Times New Roman" w:eastAsia="宋体" w:hAnsi="Times New Roman"/>
        </w:rPr>
        <w:t>Detection of 5T4 expression in tumor tissues</w:t>
      </w:r>
    </w:p>
    <w:tbl>
      <w:tblPr>
        <w:tblW w:w="14026" w:type="dxa"/>
        <w:tblLook w:val="04A0" w:firstRow="1" w:lastRow="0" w:firstColumn="1" w:lastColumn="0" w:noHBand="0" w:noVBand="1"/>
      </w:tblPr>
      <w:tblGrid>
        <w:gridCol w:w="996"/>
        <w:gridCol w:w="1660"/>
        <w:gridCol w:w="1296"/>
        <w:gridCol w:w="1296"/>
        <w:gridCol w:w="1244"/>
        <w:gridCol w:w="1048"/>
        <w:gridCol w:w="1062"/>
        <w:gridCol w:w="1100"/>
        <w:gridCol w:w="1062"/>
        <w:gridCol w:w="724"/>
        <w:gridCol w:w="1230"/>
        <w:gridCol w:w="1308"/>
      </w:tblGrid>
      <w:tr w:rsidR="00334523" w:rsidRPr="00FE069A" w14:paraId="185BE53E" w14:textId="77777777" w:rsidTr="00334523">
        <w:trPr>
          <w:trHeight w:val="1915"/>
        </w:trPr>
        <w:tc>
          <w:tcPr>
            <w:tcW w:w="996" w:type="dxa"/>
            <w:tcBorders>
              <w:top w:val="single" w:sz="4" w:space="0" w:color="DEE0E3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48070A61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Subject Number</w:t>
            </w:r>
          </w:p>
        </w:tc>
        <w:tc>
          <w:tcPr>
            <w:tcW w:w="1660" w:type="dxa"/>
            <w:tcBorders>
              <w:top w:val="single" w:sz="4" w:space="0" w:color="DEE0E3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512618EF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Dose Group (viable cells per administration)</w:t>
            </w:r>
          </w:p>
        </w:tc>
        <w:tc>
          <w:tcPr>
            <w:tcW w:w="1296" w:type="dxa"/>
            <w:tcBorders>
              <w:top w:val="single" w:sz="4" w:space="0" w:color="DEE0E3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D975FAB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Date of preparation of tumor tissue paraffin block</w:t>
            </w:r>
          </w:p>
        </w:tc>
        <w:tc>
          <w:tcPr>
            <w:tcW w:w="1296" w:type="dxa"/>
            <w:tcBorders>
              <w:top w:val="single" w:sz="4" w:space="0" w:color="DEE0E3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733DEA9A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Date of preparation of tumor tissue section</w:t>
            </w:r>
          </w:p>
        </w:tc>
        <w:tc>
          <w:tcPr>
            <w:tcW w:w="1244" w:type="dxa"/>
            <w:tcBorders>
              <w:top w:val="single" w:sz="4" w:space="0" w:color="DEE0E3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295DFABA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Evaluation of target lesions</w:t>
            </w:r>
          </w:p>
        </w:tc>
        <w:tc>
          <w:tcPr>
            <w:tcW w:w="1048" w:type="dxa"/>
            <w:tcBorders>
              <w:top w:val="single" w:sz="4" w:space="0" w:color="DEE0E3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156870E3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0 (No staining) (%)</w:t>
            </w:r>
          </w:p>
        </w:tc>
        <w:tc>
          <w:tcPr>
            <w:tcW w:w="1062" w:type="dxa"/>
            <w:tcBorders>
              <w:top w:val="single" w:sz="4" w:space="0" w:color="DEE0E3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2BF7A99" w14:textId="43E54A7C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1+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(Weak Positive) (%)</w:t>
            </w:r>
          </w:p>
        </w:tc>
        <w:tc>
          <w:tcPr>
            <w:tcW w:w="1100" w:type="dxa"/>
            <w:tcBorders>
              <w:top w:val="single" w:sz="4" w:space="0" w:color="DEE0E3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6CF1A05" w14:textId="4E67444C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2+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(Medium Positive) (%)</w:t>
            </w:r>
          </w:p>
        </w:tc>
        <w:tc>
          <w:tcPr>
            <w:tcW w:w="1062" w:type="dxa"/>
            <w:tcBorders>
              <w:top w:val="single" w:sz="4" w:space="0" w:color="DEE0E3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22614DF" w14:textId="6AB3FBDC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3+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(Strong Positive) (%)</w:t>
            </w:r>
          </w:p>
        </w:tc>
        <w:tc>
          <w:tcPr>
            <w:tcW w:w="724" w:type="dxa"/>
            <w:tcBorders>
              <w:top w:val="single" w:sz="4" w:space="0" w:color="DEE0E3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79FB8DCB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Total TPS (%)</w:t>
            </w:r>
          </w:p>
        </w:tc>
        <w:tc>
          <w:tcPr>
            <w:tcW w:w="1230" w:type="dxa"/>
            <w:tcBorders>
              <w:top w:val="single" w:sz="4" w:space="0" w:color="DEE0E3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427B9C55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5T4 expression</w:t>
            </w:r>
          </w:p>
        </w:tc>
        <w:tc>
          <w:tcPr>
            <w:tcW w:w="1308" w:type="dxa"/>
            <w:tcBorders>
              <w:top w:val="single" w:sz="4" w:space="0" w:color="DEE0E3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1B293ED3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Reasons for Detection Failure</w:t>
            </w:r>
          </w:p>
        </w:tc>
      </w:tr>
      <w:tr w:rsidR="00334523" w:rsidRPr="00FE069A" w14:paraId="3242FB50" w14:textId="77777777" w:rsidTr="00334523">
        <w:trPr>
          <w:trHeight w:val="319"/>
        </w:trPr>
        <w:tc>
          <w:tcPr>
            <w:tcW w:w="996" w:type="dxa"/>
            <w:tcBorders>
              <w:top w:val="nil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18764508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C42FEA7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3.0×10^9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1300FBC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2020/4/27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2BD84237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2023/10/25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22710430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PD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4BA59FF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5C1B88CE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275C1E0E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13F9C30D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FBC7388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2BA90FE2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Negative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FD32519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334523" w:rsidRPr="00FE069A" w14:paraId="29FB82F0" w14:textId="77777777" w:rsidTr="00334523">
        <w:trPr>
          <w:trHeight w:val="958"/>
        </w:trPr>
        <w:tc>
          <w:tcPr>
            <w:tcW w:w="996" w:type="dxa"/>
            <w:tcBorders>
              <w:top w:val="nil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4EAFEDA0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4E3BEA7E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3.0×10^9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B9FB5AB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2022/5/13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9094F6A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2023/10/23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25387DBC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SD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33C622D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E8F19C3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12DC1746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2075A336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5C030CBB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7C0C5206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7FB3A630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IHC slide detachment</w:t>
            </w:r>
          </w:p>
        </w:tc>
      </w:tr>
      <w:tr w:rsidR="00334523" w:rsidRPr="00FE069A" w14:paraId="3D4130BC" w14:textId="77777777" w:rsidTr="00334523">
        <w:trPr>
          <w:trHeight w:val="1276"/>
        </w:trPr>
        <w:tc>
          <w:tcPr>
            <w:tcW w:w="996" w:type="dxa"/>
            <w:tcBorders>
              <w:top w:val="nil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0DB02A3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5D00EBB3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3.0×10^9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75F0C9F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2022/5/13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473D406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2023/10/23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4A99E716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SD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D4308F8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5FBBBAA1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FF39698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7EE51277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50269D9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8A3852C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7438AC91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Re-test sample detachment</w:t>
            </w:r>
          </w:p>
        </w:tc>
      </w:tr>
      <w:tr w:rsidR="00334523" w:rsidRPr="00FE069A" w14:paraId="32568017" w14:textId="77777777" w:rsidTr="00334523">
        <w:trPr>
          <w:trHeight w:val="319"/>
        </w:trPr>
        <w:tc>
          <w:tcPr>
            <w:tcW w:w="996" w:type="dxa"/>
            <w:tcBorders>
              <w:top w:val="nil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8F77218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17E0B560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5.0×10^9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229ACF43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2023/5/19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280DF756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2023/11/28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AD66859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SD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4E6DEA75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&gt;99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9C87952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&lt;1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4AE3316E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8EC1F5B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57BAA17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&lt;1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543931DC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Negative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13AA847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334523" w:rsidRPr="00FE069A" w14:paraId="1145A79C" w14:textId="77777777" w:rsidTr="00334523">
        <w:trPr>
          <w:trHeight w:val="319"/>
        </w:trPr>
        <w:tc>
          <w:tcPr>
            <w:tcW w:w="996" w:type="dxa"/>
            <w:tcBorders>
              <w:top w:val="nil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B7CB318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3004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9EF7729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5.0×10^9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2BB38C3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2019/11/26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537D54A6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2023/12/13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A254CE8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SD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540429A3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EBE2563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1FAD1245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4DA2A999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745125D3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8250849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Positive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FBBC371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334523" w:rsidRPr="00FE069A" w14:paraId="7C455C37" w14:textId="77777777" w:rsidTr="00334523">
        <w:trPr>
          <w:trHeight w:val="958"/>
        </w:trPr>
        <w:tc>
          <w:tcPr>
            <w:tcW w:w="996" w:type="dxa"/>
            <w:tcBorders>
              <w:top w:val="nil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83BD254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3004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A00C55E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5.0×10^9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AA093B8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2019/11/26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D4FDB40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2023/12/13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B9B052F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SD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4522BB3C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075BA7F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1F8081D7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2001D792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1B7B3F1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7F7EC4FE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D583711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Sample shipment error</w:t>
            </w:r>
          </w:p>
        </w:tc>
      </w:tr>
      <w:tr w:rsidR="00334523" w:rsidRPr="00FE069A" w14:paraId="10E9B036" w14:textId="77777777" w:rsidTr="00334523">
        <w:trPr>
          <w:trHeight w:val="319"/>
        </w:trPr>
        <w:tc>
          <w:tcPr>
            <w:tcW w:w="996" w:type="dxa"/>
            <w:tcBorders>
              <w:top w:val="nil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BEFB068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1009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54F342A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7.0×10^9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4A90F371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2023/4/13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5D81B21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2024/2/22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E959C1A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SD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C92667E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772A977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4DC3530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7EF14F0C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A726CAF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2C029A6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Negative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10AA85D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334523" w:rsidRPr="00FE069A" w14:paraId="020921BE" w14:textId="77777777" w:rsidTr="00334523">
        <w:trPr>
          <w:trHeight w:val="319"/>
        </w:trPr>
        <w:tc>
          <w:tcPr>
            <w:tcW w:w="996" w:type="dxa"/>
            <w:tcBorders>
              <w:top w:val="nil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7019B27A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24E0D3C4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7.0×10^9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028D58D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2023/3/30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199569C7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2024/1/10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1407ABD2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PD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557576E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2C1DD06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248DC49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2037C3B3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165B7914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4E40BFF1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Positive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25106BED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334523" w:rsidRPr="00FE069A" w14:paraId="29B45F8A" w14:textId="77777777" w:rsidTr="00334523">
        <w:trPr>
          <w:trHeight w:val="319"/>
        </w:trPr>
        <w:tc>
          <w:tcPr>
            <w:tcW w:w="996" w:type="dxa"/>
            <w:tcBorders>
              <w:top w:val="nil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36023CE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lastRenderedPageBreak/>
              <w:t>3005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A4A6F02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7.0×10^9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49149AF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2021/6/18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4C4B3FD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2024/1/26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7939BC96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PD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704B1DE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95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4A28505D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79FDAE7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1A9D7E9A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270E93A4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7542CF2B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Positive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1F12A799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334523" w:rsidRPr="00FE069A" w14:paraId="16244D01" w14:textId="77777777" w:rsidTr="00334523">
        <w:trPr>
          <w:trHeight w:val="319"/>
        </w:trPr>
        <w:tc>
          <w:tcPr>
            <w:tcW w:w="996" w:type="dxa"/>
            <w:tcBorders>
              <w:top w:val="nil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7C20B80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A3FE339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9.0×10^9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FFCE49D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2022/9/30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3DB2BE2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2024/5/15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A2F5690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PD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518CDDF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139EABA5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492BA54B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2A710B9C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4DD71F96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50E39502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Positive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45D84D8F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334523" w:rsidRPr="00FE069A" w14:paraId="1B5AD6B0" w14:textId="77777777" w:rsidTr="00334523">
        <w:trPr>
          <w:trHeight w:val="61"/>
        </w:trPr>
        <w:tc>
          <w:tcPr>
            <w:tcW w:w="996" w:type="dxa"/>
            <w:tcBorders>
              <w:top w:val="nil"/>
              <w:left w:val="single" w:sz="4" w:space="0" w:color="DEE0E3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9AAE1FA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7BABF9A6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9.0×10^9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F95609A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2023/8/31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70A79AD5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2024/6/5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8EBC1A1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SD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7703F31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6834FE62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540FEFA9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0269FC1E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36F9B695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24DE4800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DEE0E3"/>
              <w:right w:val="single" w:sz="4" w:space="0" w:color="DEE0E3"/>
            </w:tcBorders>
            <w:vAlign w:val="center"/>
            <w:hideMark/>
          </w:tcPr>
          <w:p w14:paraId="7E7CF89F" w14:textId="77777777" w:rsidR="00FE069A" w:rsidRPr="00FE069A" w:rsidRDefault="00FE069A" w:rsidP="00FE06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</w:pPr>
            <w:r w:rsidRPr="00FE069A">
              <w:rPr>
                <w:rFonts w:ascii="Times New Roman" w:hAnsi="Times New Roman"/>
                <w:color w:val="000000"/>
                <w:kern w:val="0"/>
                <w:sz w:val="22"/>
                <w14:ligatures w14:val="none"/>
              </w:rPr>
              <w:t>Sample detachment</w:t>
            </w:r>
          </w:p>
        </w:tc>
      </w:tr>
    </w:tbl>
    <w:p w14:paraId="0430C9B1" w14:textId="77777777" w:rsidR="00613C3F" w:rsidRPr="0008463A" w:rsidRDefault="00613C3F">
      <w:pPr>
        <w:rPr>
          <w:rFonts w:ascii="Times New Roman" w:hAnsi="Times New Roman"/>
        </w:rPr>
      </w:pPr>
    </w:p>
    <w:sectPr w:rsidR="00613C3F" w:rsidRPr="0008463A" w:rsidSect="003345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073C" w14:textId="77777777" w:rsidR="00C66C4F" w:rsidRDefault="00C66C4F">
      <w:pPr>
        <w:rPr>
          <w:rFonts w:hint="eastAsia"/>
        </w:rPr>
      </w:pPr>
      <w:r>
        <w:separator/>
      </w:r>
    </w:p>
  </w:endnote>
  <w:endnote w:type="continuationSeparator" w:id="0">
    <w:p w14:paraId="47728529" w14:textId="77777777" w:rsidR="00C66C4F" w:rsidRDefault="00C66C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790D1" w14:textId="77777777" w:rsidR="00C66C4F" w:rsidRDefault="00C66C4F">
      <w:pPr>
        <w:rPr>
          <w:rFonts w:hint="eastAsia"/>
        </w:rPr>
      </w:pPr>
      <w:r>
        <w:separator/>
      </w:r>
    </w:p>
  </w:footnote>
  <w:footnote w:type="continuationSeparator" w:id="0">
    <w:p w14:paraId="33635F5C" w14:textId="77777777" w:rsidR="00C66C4F" w:rsidRDefault="00C66C4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85"/>
    <w:rsid w:val="00020563"/>
    <w:rsid w:val="00020CB7"/>
    <w:rsid w:val="000573A2"/>
    <w:rsid w:val="0008463A"/>
    <w:rsid w:val="000B7450"/>
    <w:rsid w:val="000B7A9B"/>
    <w:rsid w:val="000F4595"/>
    <w:rsid w:val="00120224"/>
    <w:rsid w:val="0013368B"/>
    <w:rsid w:val="00185670"/>
    <w:rsid w:val="001A0C64"/>
    <w:rsid w:val="002C7C2D"/>
    <w:rsid w:val="002D20CB"/>
    <w:rsid w:val="00334523"/>
    <w:rsid w:val="0036665D"/>
    <w:rsid w:val="00385FE6"/>
    <w:rsid w:val="003C6485"/>
    <w:rsid w:val="00402E7F"/>
    <w:rsid w:val="0040797F"/>
    <w:rsid w:val="00420D9C"/>
    <w:rsid w:val="0049264A"/>
    <w:rsid w:val="004F6CD3"/>
    <w:rsid w:val="00517317"/>
    <w:rsid w:val="00520B05"/>
    <w:rsid w:val="00544306"/>
    <w:rsid w:val="005647AE"/>
    <w:rsid w:val="00564F7C"/>
    <w:rsid w:val="005F3E32"/>
    <w:rsid w:val="00606EFA"/>
    <w:rsid w:val="00613C3F"/>
    <w:rsid w:val="006B6294"/>
    <w:rsid w:val="008C138F"/>
    <w:rsid w:val="009D2D7B"/>
    <w:rsid w:val="00A02D27"/>
    <w:rsid w:val="00A27198"/>
    <w:rsid w:val="00A7719A"/>
    <w:rsid w:val="00BC6BC8"/>
    <w:rsid w:val="00C66C4F"/>
    <w:rsid w:val="00C9790A"/>
    <w:rsid w:val="00D07371"/>
    <w:rsid w:val="00D23F3C"/>
    <w:rsid w:val="00D25E3F"/>
    <w:rsid w:val="00DA7A8A"/>
    <w:rsid w:val="00DD3991"/>
    <w:rsid w:val="00DE0CE4"/>
    <w:rsid w:val="00DF7BB2"/>
    <w:rsid w:val="00E44A23"/>
    <w:rsid w:val="00EC5034"/>
    <w:rsid w:val="00F1304E"/>
    <w:rsid w:val="00F16DB5"/>
    <w:rsid w:val="00F444D9"/>
    <w:rsid w:val="00F50FFF"/>
    <w:rsid w:val="00F55EEE"/>
    <w:rsid w:val="00F670D0"/>
    <w:rsid w:val="00F852AC"/>
    <w:rsid w:val="00F86ED9"/>
    <w:rsid w:val="00FE069A"/>
    <w:rsid w:val="70E9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07089C3"/>
  <w15:docId w15:val="{566B92ED-C106-4F08-8552-8B23753F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71e7dc79-1ff7-45e8-997d-0ebda3762b91">
    <w:name w:val="71e7dc79-1ff7-45e8-997d-0ebda3762b91 字符"/>
    <w:basedOn w:val="a0"/>
    <w:link w:val="71e7dc79-1ff7-45e8-997d-0ebda3762b910"/>
    <w:qFormat/>
    <w:locked/>
    <w:rPr>
      <w:rFonts w:ascii="微软雅黑" w:eastAsia="微软雅黑" w:hAnsi="微软雅黑" w:cs="Times New Roman"/>
      <w:b/>
      <w:color w:val="000000"/>
      <w:sz w:val="28"/>
      <w:szCs w:val="40"/>
    </w:rPr>
  </w:style>
  <w:style w:type="paragraph" w:customStyle="1" w:styleId="71e7dc79-1ff7-45e8-997d-0ebda3762b910">
    <w:name w:val="71e7dc79-1ff7-45e8-997d-0ebda3762b91"/>
    <w:basedOn w:val="2"/>
    <w:next w:val="a"/>
    <w:link w:val="71e7dc79-1ff7-45e8-997d-0ebda3762b91"/>
    <w:qFormat/>
    <w:pPr>
      <w:adjustRightInd w:val="0"/>
      <w:spacing w:before="0" w:after="0" w:line="288" w:lineRule="auto"/>
      <w:jc w:val="both"/>
    </w:pPr>
    <w:rPr>
      <w:rFonts w:ascii="微软雅黑" w:eastAsia="微软雅黑" w:hAnsi="微软雅黑" w:cs="Times New Roman"/>
      <w:b/>
      <w:color w:val="000000"/>
      <w:sz w:val="28"/>
    </w:rPr>
  </w:style>
  <w:style w:type="character" w:customStyle="1" w:styleId="font31">
    <w:name w:val="font31"/>
    <w:basedOn w:val="a0"/>
    <w:qFormat/>
    <w:rPr>
      <w:rFonts w:ascii="Cambria Math" w:hAnsi="Cambria Math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tif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tif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9174C-E15D-41D8-A374-3B7B3837D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10</Pages>
  <Words>1793</Words>
  <Characters>9468</Characters>
  <Application>Microsoft Office Word</Application>
  <DocSecurity>0</DocSecurity>
  <Lines>1052</Lines>
  <Paragraphs>662</Paragraphs>
  <ScaleCrop>false</ScaleCrop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良婕 孙</dc:creator>
  <cp:lastModifiedBy>良婕 孙</cp:lastModifiedBy>
  <cp:revision>47</cp:revision>
  <dcterms:created xsi:type="dcterms:W3CDTF">2026-01-17T11:31:00Z</dcterms:created>
  <dcterms:modified xsi:type="dcterms:W3CDTF">2026-05-02T03:52:00Z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eyJoZGlkIjoiOTcxZDk3Yjc1NDM4ZTVlYzhiYzE0ZGE1ZGE2OWY0ZGEiLCJ1c2VySWQiOiIxMDg3Njc4NDE5In0=</vt:lpwstr>
  </property>
  <property fmtid="{D5CDD505-2E9C-101B-9397-08002B2CF9AE}" pid="3" name="KSOProductBuildVer">
    <vt:lpwstr>2052-12.1.0.24657</vt:lpwstr>
  </property>
  <property fmtid="{D5CDD505-2E9C-101B-9397-08002B2CF9AE}" pid="4" name="ICV">
    <vt:lpwstr>08D6A61FB4A644E482944F356C63E288_12</vt:lpwstr>
  </property>
</Properties>
</file>