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line="480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200" w:line="480" w:lineRule="auto"/>
      </w:pPr>
      <w:r>
        <w:rPr>
          <w:rFonts w:ascii="Times New Roman" w:cs="Times New Roman" w:eastAsia="Times New Roman" w:hAnsi="Times New Roman"/>
          <w:b/>
          <w:bCs/>
          <w:sz w:val="20"/>
          <w:szCs w:val="20"/>
        </w:rPr>
        <w:t xml:space="preserve">Table 2. Satisfaction, erectile function, and genital self-perception outcomes at baseline, 10 days, and 4 weeks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0D0D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Outcome</w:t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0D0D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Baseline</w:t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0D0D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10 days</w:t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0D0D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4 weeks</w:t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0D0D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p value*</w:t>
            </w:r>
          </w:p>
        </w:tc>
      </w:tr>
      <w:tr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Satisfaction (% satisfied or very satisfied)</w:t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—</w:t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72.5%</w:t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80.4%</w:t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&lt; 0.05</w:t>
            </w:r>
          </w:p>
        </w:tc>
      </w:tr>
      <w:tr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IIEF-5 score (mean ± SD)</w:t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Recorded</w:t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↑ sig.</w:t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↑ sig.</w:t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&lt; 0.05</w:t>
            </w:r>
          </w:p>
        </w:tc>
      </w:tr>
      <w:tr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MGSIS-7 score (mean ± SD)</w:t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Recorded</w:t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↑ sig.</w:t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↑ sig.</w:t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&lt; 0.05</w:t>
            </w:r>
          </w:p>
        </w:tc>
      </w:tr>
    </w:tbl>
    <w:p>
      <w:pPr>
        <w:spacing w:after="0" w:before="80"/>
      </w:pPr>
      <w:r>
        <w:rPr>
          <w:rFonts w:ascii="Times New Roman" w:cs="Times New Roman" w:eastAsia="Times New Roman" w:hAnsi="Times New Roman"/>
          <w:i/>
          <w:iCs/>
          <w:sz w:val="20"/>
          <w:szCs w:val="20"/>
        </w:rPr>
        <w:t xml:space="preserve">*Wilcoxon signed-rank test or paired Student’s t-test. IIEF-5: International Index of Erectile Function-5; MGSIS-7: Male Genital Self-Image Scale-7; SD: standard deviation; sig.: statistically significant improvement versus baseline.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2026-05-02T21:54:16.630Z</dcterms:created>
  <dcterms:modified xsi:type="dcterms:W3CDTF">2026-05-02T21:54:16.630Z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