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after="200"/>
        <w:jc w:val="center"/>
      </w:pPr>
      <w:r>
        <w:rPr>
          <w:rFonts w:ascii="Arial" w:cs="Arial" w:eastAsia="Arial" w:hAnsi="Arial"/>
          <w:b/>
          <w:bCs/>
          <w:color w:val="1F4E79"/>
          <w:sz w:val="32"/>
          <w:szCs w:val="32"/>
        </w:rPr>
        <w:t xml:space="preserve">Appendix</w:t>
      </w:r>
    </w:p>
    <w:p>
      <w:pPr>
        <w:spacing w:before="80" w:after="200" w:line="278"/>
        <w:jc w:val="center"/>
      </w:pPr>
      <w:r>
        <w:rPr>
          <w:rFonts w:ascii="Arial" w:cs="Arial" w:eastAsia="Arial" w:hAnsi="Arial"/>
          <w:b/>
          <w:bCs/>
          <w:sz w:val="22"/>
          <w:szCs w:val="22"/>
        </w:rPr>
        <w:t xml:space="preserve">Outcomes of Open Versus Minimally Invasive Lumbar Decompression Surgery: A Propensity Score-Weighted Analysis of 107,301 Hospitalizations from the National Inpatient Sample 2016-2021</w:t>
      </w:r>
    </w:p>
    <w:p>
      <w:pPr>
        <w:spacing w:before="80" w:after="120" w:line="278"/>
        <w:jc w:val="both"/>
      </w:pPr>
      <w:r>
        <w:rPr>
          <w:rFonts w:ascii="Arial" w:cs="Arial" w:eastAsia="Arial" w:hAnsi="Arial"/>
          <w:sz w:val="22"/>
          <w:szCs w:val="22"/>
        </w:rPr>
        <w:t xml:space="preserve">This appendix provides: (A1) complete ICD-10-PCS procedure codes; (A2) complete ICD-10-CM diagnosis inclusion and exclusion codes; (A3) comorbidity definitions; (A4) outcome variable definitions; (A5) detailed description of all statistical methods; (A6) pre-specified sensitivity analyses results; and (A7) full subgroup analysis results.</w:t>
      </w:r>
    </w:p>
    <w:p>
      <w:pPr>
        <w:pStyle w:val="Heading1"/>
        <w:spacing w:before="320" w:after="160"/>
      </w:pPr>
      <w:r>
        <w:rPr>
          <w:rFonts w:ascii="Arial" w:cs="Arial" w:eastAsia="Arial" w:hAnsi="Arial"/>
          <w:b/>
          <w:bCs/>
          <w:color w:val="1F4E79"/>
          <w:sz w:val="28"/>
          <w:szCs w:val="28"/>
        </w:rPr>
        <w:t xml:space="preserve">Appendix A1: ICD-10-PCS Procedure Codes</w:t>
      </w:r>
    </w:p>
    <w:p>
      <w:pPr>
        <w:spacing w:before="80" w:after="80" w:line="278"/>
        <w:jc w:val="both"/>
      </w:pPr>
      <w:r>
        <w:rPr>
          <w:rFonts w:ascii="Arial" w:cs="Arial" w:eastAsia="Arial" w:hAnsi="Arial"/>
          <w:sz w:val="22"/>
          <w:szCs w:val="22"/>
        </w:rPr>
        <w:t xml:space="preserve">Patients were classified by the ICD-10-PCS approach character (7th character position within the 7-character code): 0 = Open, 3 = Percutaneous/tubular (MIS), 4 = Percutaneous-endoscopic (Endoscopic). Three procedure root families were eligible:</w:t>
      </w:r>
    </w:p>
    <w:p>
      <w:pPr>
        <w:pStyle w:val="Heading2"/>
        <w:spacing w:before="220" w:after="110"/>
      </w:pPr>
      <w:r>
        <w:rPr>
          <w:rFonts w:ascii="Arial" w:cs="Arial" w:eastAsia="Arial" w:hAnsi="Arial"/>
          <w:b/>
          <w:bCs/>
          <w:color w:val="2F75B6"/>
          <w:sz w:val="24"/>
          <w:szCs w:val="24"/>
        </w:rPr>
        <w:t xml:space="preserve">Inclusion Procedure Codes</w:t>
      </w:r>
    </w:p>
    <w:p>
      <w:pPr>
        <w:spacing w:before="160" w:after="80"/>
      </w:pPr>
      <w:r>
        <w:rPr>
          <w:rFonts w:ascii="Arial" w:cs="Arial" w:eastAsia="Arial" w:hAnsi="Arial"/>
          <w:b/>
          <w:bCs/>
          <w:color w:val="2F75B6"/>
          <w:sz w:val="22"/>
          <w:szCs w:val="22"/>
        </w:rPr>
        <w:t xml:space="preserve">Root 0SB: Excision, Lower Joints (Lumbar Disc)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Open (0)</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MIS/Tubular (3)</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Endoscopic (4)</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Body Part</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Qualifier</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Description</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0SB20ZZ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0SB23ZZ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0SB24ZZ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Vertebral Disc (2)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 Device / No Qualifier</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Excision lumbar disc L1-L4</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0SB30ZZ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0SB33ZZ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0SB34ZZ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Lumbosacral Disc (3)</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 Device / No Qualifier</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Excision lumbar disc L5/S1</w:t>
            </w:r>
          </w:p>
        </w:tc>
      </w:tr>
    </w:tbl>
    <w:p>
      <w:pPr>
        <w:spacing w:before="80" w:after="80" w:line="278"/>
        <w:jc w:val="both"/>
      </w:pPr>
      <w:r>
        <w:rPr>
          <w:rFonts w:ascii="Arial" w:cs="Arial" w:eastAsia="Arial" w:hAnsi="Arial"/>
          <w:sz w:val="22"/>
          <w:szCs w:val="22"/>
        </w:rPr>
        <w:t xml:space="preserve"/>
      </w:r>
    </w:p>
    <w:p>
      <w:pPr>
        <w:spacing w:before="160" w:after="80"/>
      </w:pPr>
      <w:r>
        <w:rPr>
          <w:rFonts w:ascii="Arial" w:cs="Arial" w:eastAsia="Arial" w:hAnsi="Arial"/>
          <w:b/>
          <w:bCs/>
          <w:color w:val="2F75B6"/>
          <w:sz w:val="22"/>
          <w:szCs w:val="22"/>
        </w:rPr>
        <w:t xml:space="preserve">Root 01N: Release, Peripheral Nerves (Lumbar/Sacral Nerve Roots)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Open (0)</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MIS/Tubular (3)</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Endoscopic (4)</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Body Part</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Qualifier</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Description</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01NB0ZZ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01NB3ZZ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01NB4ZZ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Plexus (B)</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 Device / No Qualifier</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Release lumbar nerve roots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01NC0ZZ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01NC3ZZ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01NC4ZZ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Lumbosacral Plexus (C)</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 Device / No Qualifier</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Release lumbosacral roots</w:t>
            </w:r>
          </w:p>
        </w:tc>
      </w:tr>
    </w:tbl>
    <w:p>
      <w:pPr>
        <w:spacing w:before="80" w:after="80" w:line="278"/>
        <w:jc w:val="both"/>
      </w:pPr>
      <w:r>
        <w:rPr>
          <w:rFonts w:ascii="Arial" w:cs="Arial" w:eastAsia="Arial" w:hAnsi="Arial"/>
          <w:sz w:val="22"/>
          <w:szCs w:val="22"/>
        </w:rPr>
        <w:t xml:space="preserve"/>
      </w:r>
    </w:p>
    <w:p>
      <w:pPr>
        <w:spacing w:before="160" w:after="80"/>
      </w:pPr>
      <w:r>
        <w:rPr>
          <w:rFonts w:ascii="Arial" w:cs="Arial" w:eastAsia="Arial" w:hAnsi="Arial"/>
          <w:b/>
          <w:bCs/>
          <w:color w:val="2F75B6"/>
          <w:sz w:val="22"/>
          <w:szCs w:val="22"/>
        </w:rPr>
        <w:t xml:space="preserve">Root 0SN: Release, Lower Joints (Lumbar Vertebral Joint)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Open (0)</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MIS/Tubular (3)</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Endoscopic (4)</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Body Part</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Qualifier</w:t>
            </w:r>
          </w:p>
        </w:tc>
        <w:tc>
          <w:tcPr>
            <w:tcW w:type="dxa" w:w="15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Description</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0SN20ZZ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0SN23ZZ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0SN24ZZ</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Vertebral Joint (2)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 Device / No Qualifier</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Release lumbar joint/ligamentum</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0SN30ZZ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0SN33ZZ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0SN34ZZ</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Lumbosacral Joint (3)</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 Device / No Qualifier</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Release lumbosacral joint</w:t>
            </w:r>
          </w:p>
        </w:tc>
      </w:tr>
    </w:tbl>
    <w:p>
      <w:pPr>
        <w:spacing w:before="60" w:after="160" w:line="278"/>
        <w:jc w:val="both"/>
      </w:pPr>
      <w:r>
        <w:rPr>
          <w:rFonts w:ascii="Arial" w:cs="Arial" w:eastAsia="Arial" w:hAnsi="Arial"/>
          <w:i/>
          <w:iCs/>
          <w:sz w:val="18"/>
          <w:szCs w:val="18"/>
        </w:rPr>
        <w:t xml:space="preserve">Total included procedure codes: 18 (6 per approach character). Each code is 7 characters in ICD-10-PCS format.</w:t>
      </w:r>
    </w:p>
    <w:p>
      <w:pPr>
        <w:pStyle w:val="Heading2"/>
        <w:spacing w:before="220" w:after="110"/>
      </w:pPr>
      <w:r>
        <w:rPr>
          <w:rFonts w:ascii="Arial" w:cs="Arial" w:eastAsia="Arial" w:hAnsi="Arial"/>
          <w:b/>
          <w:bCs/>
          <w:color w:val="2F75B6"/>
          <w:sz w:val="24"/>
          <w:szCs w:val="24"/>
        </w:rPr>
        <w:t xml:space="preserve">Exclusion Procedure Code</w:t>
      </w:r>
    </w:p>
    <w:p>
      <w:pPr>
        <w:spacing w:before="60" w:after="120" w:line="278"/>
        <w:jc w:val="both"/>
      </w:pPr>
      <w:r>
        <w:rPr>
          <w:rFonts w:ascii="Arial" w:cs="Arial" w:eastAsia="Arial" w:hAnsi="Arial"/>
          <w:sz w:val="22"/>
          <w:szCs w:val="22"/>
        </w:rPr>
        <w:t xml:space="preserve">Patients were excluded if any ICD-10-PCS code beginning with root 0SG0 (Fusion, Lower Joints, Lumbar) was present in the same hospitalization. This ensured that patients who underwent concurrent lumbar fusion were not classified as decompression-only procedures.</w:t>
      </w:r>
    </w:p>
    <w:p>
      <w:r>
        <w:br w:type="page"/>
      </w:r>
    </w:p>
    <w:p>
      <w:pPr>
        <w:pStyle w:val="Heading1"/>
        <w:spacing w:before="320" w:after="160"/>
      </w:pPr>
      <w:r>
        <w:rPr>
          <w:rFonts w:ascii="Arial" w:cs="Arial" w:eastAsia="Arial" w:hAnsi="Arial"/>
          <w:b/>
          <w:bCs/>
          <w:color w:val="1F4E79"/>
          <w:sz w:val="28"/>
          <w:szCs w:val="28"/>
        </w:rPr>
        <w:t xml:space="preserve">Appendix A2: ICD-10-CM Diagnosis Codes</w:t>
      </w:r>
    </w:p>
    <w:p>
      <w:pPr>
        <w:pStyle w:val="Heading2"/>
        <w:spacing w:before="220" w:after="110"/>
      </w:pPr>
      <w:r>
        <w:rPr>
          <w:rFonts w:ascii="Arial" w:cs="Arial" w:eastAsia="Arial" w:hAnsi="Arial"/>
          <w:b/>
          <w:bCs/>
          <w:color w:val="2F75B6"/>
          <w:sz w:val="24"/>
          <w:szCs w:val="24"/>
        </w:rPr>
        <w:t xml:space="preserve">Inclusion Diagnoses — Degenerative Lumbar Pathology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rPr>
          <w:tblHeader/>
        </w:trPr>
        <w:tc>
          <w:tcPr>
            <w:tcW w:type="dxa" w:w="20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ICD-10-CM Code</w:t>
            </w:r>
          </w:p>
        </w:tc>
        <w:tc>
          <w:tcPr>
            <w:tcW w:type="dxa" w:w="36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Description</w:t>
            </w:r>
          </w:p>
        </w:tc>
        <w:tc>
          <w:tcPr>
            <w:tcW w:type="dxa" w:w="36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Notes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M51.16 / M51.17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Intervertebral disc degeneration with myelopathy, lumbar / lumbosacral region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disc herniation with cord/root compression</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M51.26 / M51.27</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Other intervertebral disc displacement, lumbar / lumbosacral region</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disc herniation without specified myelopathy</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M51.06 / M51.07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Intervertebral disc disorders with myelopathy, lumbar / lumbosacral region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Disc disorder with cord involvement</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M54.16</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Radiculopathy, lumbar region</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radicular pain / sciatica</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M48.061 / M48.062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Spinal stenosis, lumbar region (without / with neurogenic claudication)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Lumbar canal stenosis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M47.816 / M47.817</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Spondylosis with radiculopathy, lumbar / lumbosacral region</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Degenerative spondylosis with radicular symptoms</w:t>
            </w:r>
          </w:p>
        </w:tc>
      </w:tr>
    </w:tbl>
    <w:p>
      <w:pPr>
        <w:spacing w:before="60" w:after="160" w:line="278"/>
        <w:jc w:val="both"/>
      </w:pPr>
      <w:r>
        <w:rPr>
          <w:rFonts w:ascii="Arial" w:cs="Arial" w:eastAsia="Arial" w:hAnsi="Arial"/>
          <w:i/>
          <w:iCs/>
          <w:sz w:val="18"/>
          <w:szCs w:val="18"/>
        </w:rPr>
        <w:t xml:space="preserve">At least one of the above diagnosis codes was required as a principal or secondary diagnosis.</w:t>
      </w:r>
    </w:p>
    <w:p>
      <w:pPr>
        <w:pStyle w:val="Heading2"/>
        <w:spacing w:before="220" w:after="110"/>
      </w:pPr>
      <w:r>
        <w:rPr>
          <w:rFonts w:ascii="Arial" w:cs="Arial" w:eastAsia="Arial" w:hAnsi="Arial"/>
          <w:b/>
          <w:bCs/>
          <w:color w:val="2F75B6"/>
          <w:sz w:val="24"/>
          <w:szCs w:val="24"/>
        </w:rPr>
        <w:t xml:space="preserve">Exclusion Diagnoses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rPr>
          <w:tblHeader/>
        </w:trPr>
        <w:tc>
          <w:tcPr>
            <w:tcW w:type="dxa" w:w="20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ICD-10-CM Code Range</w:t>
            </w:r>
          </w:p>
        </w:tc>
        <w:tc>
          <w:tcPr>
            <w:tcW w:type="dxa" w:w="36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Description</w:t>
            </w:r>
          </w:p>
        </w:tc>
        <w:tc>
          <w:tcPr>
            <w:tcW w:type="dxa" w:w="36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Rationale</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S32, S33, S34</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Fracture/dislocation of lumbar spine and spinal cord injury</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Traumatic etiology</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M46.xx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Spondylopathies (infective/inflammatory)</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Infectious spinal pathology</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G06.1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Intraspinal abscess or granuloma</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Spinal infection</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A18.0x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Tuberculosis of bones and joints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Tuberculous spinal infection</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C41.2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Malignant neoplasm of vertebral column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Primary vertebral malignancy</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C79.51 / C79.52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Secondary malignant neoplasm of bone / bone marrow</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Metastatic disease</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M84.5x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Pathological fracture in neoplastic disease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Pathological fracture</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M41.0 / M41.1</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Infantile / juvenile idiopathic scoliosis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Congenital/developmental deformity</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Q76.xx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Congenital malformations of spine and bony thorax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Congenital spinal anomaly</w:t>
            </w:r>
          </w:p>
        </w:tc>
      </w:tr>
    </w:tbl>
    <w:p>
      <w:pPr>
        <w:spacing w:before="60" w:after="120" w:line="278"/>
        <w:jc w:val="both"/>
      </w:pPr>
      <w:r>
        <w:rPr>
          <w:rFonts w:ascii="Arial" w:cs="Arial" w:eastAsia="Arial" w:hAnsi="Arial"/>
          <w:i/>
          <w:iCs/>
          <w:sz w:val="18"/>
          <w:szCs w:val="18"/>
        </w:rPr>
        <w:t xml:space="preserve">Any of the above codes present as principal or secondary diagnosis resulted in exclusion.</w:t>
      </w:r>
    </w:p>
    <w:p>
      <w:r>
        <w:br w:type="page"/>
      </w:r>
    </w:p>
    <w:p>
      <w:pPr>
        <w:pStyle w:val="Heading1"/>
        <w:spacing w:before="320" w:after="160"/>
      </w:pPr>
      <w:r>
        <w:rPr>
          <w:rFonts w:ascii="Arial" w:cs="Arial" w:eastAsia="Arial" w:hAnsi="Arial"/>
          <w:b/>
          <w:bCs/>
          <w:color w:val="1F4E79"/>
          <w:sz w:val="28"/>
          <w:szCs w:val="28"/>
        </w:rPr>
        <w:t xml:space="preserve">Appendix A3: Comorbidity Variable Definitions</w:t>
      </w:r>
    </w:p>
    <w:p>
      <w:pPr>
        <w:spacing w:before="60" w:after="120" w:line="278"/>
        <w:jc w:val="both"/>
      </w:pPr>
      <w:r>
        <w:rPr>
          <w:rFonts w:ascii="Arial" w:cs="Arial" w:eastAsia="Arial" w:hAnsi="Arial"/>
          <w:sz w:val="22"/>
          <w:szCs w:val="22"/>
        </w:rPr>
        <w:t xml:space="preserve">The following comorbidities were defined using ICD-10-CM secondary diagnosis codes present at the time of admission. These variables were used as propensity score covariates and as adjustment variables in multivariable models.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80"/>
        <w:gridCol w:w="4480"/>
      </w:tblGrid>
      <w:tr>
        <w:trPr>
          <w:tblHeader/>
        </w:trPr>
        <w:tc>
          <w:tcPr>
            <w:tcW w:type="dxa" w:w="24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Variable Name</w:t>
            </w:r>
          </w:p>
        </w:tc>
        <w:tc>
          <w:tcPr>
            <w:tcW w:type="dxa" w:w="24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ICD-10-CM Codes</w:t>
            </w:r>
          </w:p>
        </w:tc>
        <w:tc>
          <w:tcPr>
            <w:tcW w:type="dxa" w:w="44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Description</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HTN (Hypertension)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I10, I11, I12, I13, I15</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Essential and secondary hypertension and hypertensive heart/renal disease</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DM (Diabetes mellitus)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E08-E11, E13</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All types of diabetes mellitus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CKD (Chronic kidney disease)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N18.x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CKD stages 1-5 and ESRD</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COPD</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J40-J44</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Chronic obstructive pulmonary disease and related conditions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CHF (Congestive heart failure)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I50.x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Heart failure (all subtypes)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Dyslipidemia</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E78.x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Hyperlipidemia and other lipoprotein disorders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Obesity</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E66.x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Obesity (all grades)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OSA (Obstructive sleep apnea)</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G47.33</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Obstructive sleep apnea</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Osteoporosis</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M80.x, M81.x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Osteoporosis with and without pathological fracture</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Smoking</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F17.x, Z72.0</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Nicotine dependence and tobacco use</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Depression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F32.x, F33.x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Depressive episodes and recurrent depressive disorder</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Anxiety</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F40.x, F41.x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Phobic and other anxiety disorders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Alcohol_Abuse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F10.x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Alcohol-related disorders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Coagulation (Coagulopathy)</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D66, D67, D68</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Hereditary and acquired coagulation defects (D65 excluded)</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Chronic_Anemia</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D50-D61, D63-D64</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Anemias of various etiologies (D62 acute excluded)</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Chronic_DVT</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I82.5x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Chronic deep vein thrombosis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Connective_Tissue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M05, M06, M30-M36</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Rheumatoid arthritis and connective tissue disorders</w:t>
            </w:r>
          </w:p>
        </w:tc>
      </w:tr>
    </w:tbl>
    <w:p>
      <w:r>
        <w:br w:type="page"/>
      </w:r>
    </w:p>
    <w:p>
      <w:pPr>
        <w:pStyle w:val="Heading1"/>
        <w:spacing w:before="320" w:after="160"/>
      </w:pPr>
      <w:r>
        <w:rPr>
          <w:rFonts w:ascii="Arial" w:cs="Arial" w:eastAsia="Arial" w:hAnsi="Arial"/>
          <w:b/>
          <w:bCs/>
          <w:color w:val="1F4E79"/>
          <w:sz w:val="28"/>
          <w:szCs w:val="28"/>
        </w:rPr>
        <w:t xml:space="preserve">Appendix A4: Outcome Variable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4360"/>
      </w:tblGrid>
      <w:tr>
        <w:trPr>
          <w:tblHeader/>
        </w:trPr>
        <w:tc>
          <w:tcPr>
            <w:tcW w:type="dxa" w:w="26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Outcome Variable</w:t>
            </w:r>
          </w:p>
        </w:tc>
        <w:tc>
          <w:tcPr>
            <w:tcW w:type="dxa" w:w="24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Code(s)</w:t>
            </w:r>
          </w:p>
        </w:tc>
        <w:tc>
          <w:tcPr>
            <w:tcW w:type="dxa" w:w="43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Notes</w:t>
            </w:r>
          </w:p>
        </w:tc>
      </w:tr>
      <w:tr>
        <w:trPr>
          <w:tblHeader/>
        </w:trPr>
        <w:tc>
          <w:tcPr>
            <w:tcW w:type="dxa" w:w="93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PRIMARY OUTCOMES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New_Neuro_Deficit</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G83.4, G57.0, G57.2, G57.3, G54.4</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Secondary diagnosis codes for cauda equina syndrome and lower limb mononeuropathies. Used as a proxy for iatrogenic neurological injury. LIMITATION: administrative codes cannot reliably distinguish new from pre-existing deficits. G57.1 (meralgia paresthetica) was excluded as it is a common pre-existing condition.</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RBC_Transfusion</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30233N1, 30243N1, 30233P1, 30243P1 (6-character ICD-10-PCS)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Red blood cell transfusion procedures. Codes are exactly 6 characters in ICD-10-PCS format and identify packed or frozen red cells.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InHospital_Mortality</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NIS variable DIED = 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Death before hospital discharge.</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LOS (Length of Stay)</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NIS variable LOS (days)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Number of days from admission to discharge.</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TOTCHG (Total Charges)</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NIS variable TOTCHG (USD)</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Total charges billed by the hospital. Note: charges are not the same as costs or reimbursements.</w:t>
            </w:r>
          </w:p>
        </w:tc>
      </w:tr>
      <w:tr>
        <w:trPr>
          <w:tblHeader/>
        </w:trPr>
        <w:tc>
          <w:tcPr>
            <w:tcW w:type="dxa" w:w="93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SECONDARY OUTCOMES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SSI (Surgical site infection)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T81.4x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Infection following a procedure. T84.6 (periprosthetic joint infection) was excluded as it is not applicable to decompression-only procedures.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Dural_Tear</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G97.0, G97.1</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Cerebrospinal fluid leak and intracranial hypotension following lumbar puncture/procedure.</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PE (Pulmonary embolism)</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I26.x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Pulmonary embolism (all subtypes).</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DVT (Deep vein thrombosis)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I82.4x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Acute deep vein thrombosis of lower extremities.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Pneumonia</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J12-J18</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Bacterial, viral, and aspiration pneumonia.</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AKI (Acute kidney injury)</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N17.x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Acute kidney failure (all stages).</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UTI (Urinary tract infection)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N39.0</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Urinary tract infection, site not specified.</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Sepsis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A40.x, A41.x</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Streptococcal sepsis, other and unspecified bacterial sepsis, and sepsis of other specified bacterial etiology.</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AMI (Acute myocardial infarction)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I21.x</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ST-elevation and non-ST-elevation myocardial infarction.</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Non_Routine_Disch</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NIS variable DISPUNIFORM &gt; 1</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Discharge to a destination other than home: skilled nursing facility, rehabilitation facility, or other post-acute setting.</w:t>
            </w:r>
          </w:p>
        </w:tc>
      </w:tr>
    </w:tbl>
    <w:p>
      <w:r>
        <w:br w:type="page"/>
      </w:r>
    </w:p>
    <w:p>
      <w:pPr>
        <w:pStyle w:val="Heading1"/>
        <w:spacing w:before="320" w:after="160"/>
      </w:pPr>
      <w:r>
        <w:rPr>
          <w:rFonts w:ascii="Arial" w:cs="Arial" w:eastAsia="Arial" w:hAnsi="Arial"/>
          <w:b/>
          <w:bCs/>
          <w:color w:val="1F4E79"/>
          <w:sz w:val="28"/>
          <w:szCs w:val="28"/>
        </w:rPr>
        <w:t xml:space="preserve">Appendix A5: Detailed Statistical Methods</w:t>
      </w:r>
    </w:p>
    <w:p>
      <w:pPr>
        <w:pStyle w:val="Heading2"/>
        <w:spacing w:before="220" w:after="110"/>
      </w:pPr>
      <w:r>
        <w:rPr>
          <w:rFonts w:ascii="Arial" w:cs="Arial" w:eastAsia="Arial" w:hAnsi="Arial"/>
          <w:b/>
          <w:bCs/>
          <w:color w:val="2F75B6"/>
          <w:sz w:val="24"/>
          <w:szCs w:val="24"/>
        </w:rPr>
        <w:t xml:space="preserve">Software</w:t>
      </w:r>
    </w:p>
    <w:p>
      <w:pPr>
        <w:spacing w:before="60" w:after="100" w:line="278"/>
        <w:jc w:val="both"/>
      </w:pPr>
      <w:r>
        <w:rPr>
          <w:rFonts w:ascii="Arial" w:cs="Arial" w:eastAsia="Arial" w:hAnsi="Arial"/>
          <w:sz w:val="22"/>
          <w:szCs w:val="22"/>
        </w:rPr>
        <w:t xml:space="preserve">All statistical analyses were performed in R version 4.5.2 (R Foundation for Statistical Computing, Vienna, Austria). The following R packages were used: haven (version &gt;=2.5) for importing SPSS-format NIS files; survey (version &gt;=4.1) for complex survey-weighted regression; dplyr for data manipulation; tableone for covariate balance tables; writexl for export; MatchIt (version 4.7.2) for propensity score matching; pROC for C-statistic calculation. The complete analysis script is available from the corresponding author upon request.</w:t>
      </w:r>
    </w:p>
    <w:p>
      <w:pPr>
        <w:pStyle w:val="Heading2"/>
        <w:spacing w:before="220" w:after="110"/>
      </w:pPr>
      <w:r>
        <w:rPr>
          <w:rFonts w:ascii="Arial" w:cs="Arial" w:eastAsia="Arial" w:hAnsi="Arial"/>
          <w:b/>
          <w:bCs/>
          <w:color w:val="2F75B6"/>
          <w:sz w:val="24"/>
          <w:szCs w:val="24"/>
        </w:rPr>
        <w:t xml:space="preserve">NIS Survey Design Implementation</w:t>
      </w:r>
    </w:p>
    <w:p>
      <w:pPr>
        <w:spacing w:before="60" w:after="100" w:line="278"/>
        <w:jc w:val="both"/>
      </w:pPr>
      <w:r>
        <w:rPr>
          <w:rFonts w:ascii="Arial" w:cs="Arial" w:eastAsia="Arial" w:hAnsi="Arial"/>
          <w:sz w:val="22"/>
          <w:szCs w:val="22"/>
        </w:rPr>
        <w:t xml:space="preserve">The NIS uses a stratified cluster sampling design. Correct variance estimation requires specifying: (1) primary sampling units (PSU): NIS variable HOSP_NIS (hospital identifier); (2) strata: NIS variable NIS_STRATUM; (3) weights: NIS variable DISCWT (discharge weight). Because the NIS was redesigned in 2012 and hospital identifiers are reassigned each year, PSU and stratum variables were interacted with calendar year (e.g., PSU = interaction(YEAR, HOSP_NIS)) to prevent false identification of the same hospital across years. The survey option survey.lonely.psu = 'adjust' was applied to handle strata with a single PSU.</w:t>
      </w:r>
    </w:p>
    <w:p>
      <w:pPr>
        <w:pStyle w:val="Heading2"/>
        <w:spacing w:before="220" w:after="110"/>
      </w:pPr>
      <w:r>
        <w:rPr>
          <w:rFonts w:ascii="Arial" w:cs="Arial" w:eastAsia="Arial" w:hAnsi="Arial"/>
          <w:b/>
          <w:bCs/>
          <w:color w:val="2F75B6"/>
          <w:sz w:val="24"/>
          <w:szCs w:val="24"/>
        </w:rPr>
        <w:t xml:space="preserve">Propensity Score Model</w:t>
      </w:r>
    </w:p>
    <w:p>
      <w:pPr>
        <w:spacing w:before="60" w:after="80" w:line="278"/>
        <w:jc w:val="both"/>
      </w:pPr>
      <w:r>
        <w:rPr>
          <w:rFonts w:ascii="Arial" w:cs="Arial" w:eastAsia="Arial" w:hAnsi="Arial"/>
          <w:sz w:val="22"/>
          <w:szCs w:val="22"/>
        </w:rPr>
        <w:t xml:space="preserve">The propensity score (PS) for the primary analysis (probability of receiving MIS+Endoscopic versus Open) was estimated using standard logistic regression (glm, family = binomial) including the following covariates:</w:t>
      </w:r>
    </w:p>
    <w:p>
      <w:pPr>
        <w:spacing w:before="40" w:after="100" w:line="278"/>
        <w:jc w:val="both"/>
      </w:pPr>
      <w:r>
        <w:rPr>
          <w:rFonts w:ascii="Arial" w:cs="Arial" w:eastAsia="Arial" w:hAnsi="Arial"/>
          <w:sz w:val="22"/>
          <w:szCs w:val="22"/>
        </w:rPr>
        <w:t xml:space="preserve">Age (continuous); Sex (binary); Elective admission (binary); Race/ethnicity (categorical: White, Black, Hispanic, Asian/Other, Missing); Hospital region (4 categories); Hospital bed size (3 categories); Primary payer (5 categories); Patient income quartile (4 categories); Calendar year (6 categories, 2016-2021); and all 17 comorbidities defined in Appendix A3 (binary indicators).</w:t>
      </w:r>
    </w:p>
    <w:p>
      <w:pPr>
        <w:spacing w:before="40" w:after="100" w:line="278"/>
        <w:jc w:val="both"/>
      </w:pPr>
      <w:r>
        <w:rPr>
          <w:rFonts w:ascii="Arial" w:cs="Arial" w:eastAsia="Arial" w:hAnsi="Arial"/>
          <w:sz w:val="22"/>
          <w:szCs w:val="22"/>
        </w:rPr>
        <w:t xml:space="preserve">The PS model achieved a C-statistic of 0.599 and McFadden R2 of 0.01, reflecting limited discriminative ability between groups. This is expected given the large size of the Open group and the relatively homogeneous clinical profile of lumbar decompression patients. Low C-statistics are not a contraindication to IPTW when the purpose is to estimate causal effects rather than prediction.</w:t>
      </w:r>
    </w:p>
    <w:p>
      <w:pPr>
        <w:pStyle w:val="Heading2"/>
        <w:spacing w:before="220" w:after="110"/>
      </w:pPr>
      <w:r>
        <w:rPr>
          <w:rFonts w:ascii="Arial" w:cs="Arial" w:eastAsia="Arial" w:hAnsi="Arial"/>
          <w:b/>
          <w:bCs/>
          <w:color w:val="2F75B6"/>
          <w:sz w:val="24"/>
          <w:szCs w:val="24"/>
        </w:rPr>
        <w:t xml:space="preserve">Stabilized IPTW Calculation</w:t>
      </w:r>
    </w:p>
    <w:p>
      <w:pPr>
        <w:spacing w:before="60" w:after="40" w:line="278"/>
        <w:jc w:val="both"/>
      </w:pPr>
      <w:r>
        <w:rPr>
          <w:rFonts w:ascii="Arial" w:cs="Arial" w:eastAsia="Arial" w:hAnsi="Arial"/>
          <w:sz w:val="22"/>
          <w:szCs w:val="22"/>
        </w:rPr>
        <w:t xml:space="preserve">Stabilized inverse probability of treatment weights were calculated as:</w:t>
      </w:r>
    </w:p>
    <w:p>
      <w:pPr>
        <w:spacing w:before="40" w:after="20" w:line="278"/>
        <w:jc w:val="both"/>
      </w:pPr>
      <w:r>
        <w:rPr>
          <w:rFonts w:ascii="Arial" w:cs="Arial" w:eastAsia="Arial" w:hAnsi="Arial"/>
          <w:i/>
          <w:iCs/>
          <w:sz w:val="22"/>
          <w:szCs w:val="22"/>
        </w:rPr>
        <w:t xml:space="preserve">For treated (MIS+Endo, Tx=1):   IPTW = P(Tx=1) / PS</w:t>
      </w:r>
    </w:p>
    <w:p>
      <w:pPr>
        <w:spacing w:before="20" w:after="80" w:line="278"/>
        <w:jc w:val="both"/>
      </w:pPr>
      <w:r>
        <w:rPr>
          <w:rFonts w:ascii="Arial" w:cs="Arial" w:eastAsia="Arial" w:hAnsi="Arial"/>
          <w:i/>
          <w:iCs/>
          <w:sz w:val="22"/>
          <w:szCs w:val="22"/>
        </w:rPr>
        <w:t xml:space="preserve">For controls (Open, Tx=0):        IPTW = P(Tx=0) / (1 - PS)</w:t>
      </w:r>
    </w:p>
    <w:p>
      <w:pPr>
        <w:spacing w:before="40" w:after="100" w:line="278"/>
        <w:jc w:val="both"/>
      </w:pPr>
      <w:r>
        <w:rPr>
          <w:rFonts w:ascii="Arial" w:cs="Arial" w:eastAsia="Arial" w:hAnsi="Arial"/>
          <w:sz w:val="22"/>
          <w:szCs w:val="22"/>
        </w:rPr>
        <w:t xml:space="preserve">where P(Tx=1) is the marginal probability of receiving MIS+Endoscopic treatment (mean of Tx across the cohort = 0.0133). Stabilized weights have expected value of 1 and produce smaller variance than unstabilized weights. Weights were winsorized at the 1st and 99th percentiles (primary analysis) to limit the influence of extreme weights. The combined NIS-IPTW weight was: Wt_1_99 = DISCWT * IPTW_1_99.</w:t>
      </w:r>
    </w:p>
    <w:p>
      <w:pPr>
        <w:pStyle w:val="Heading2"/>
        <w:spacing w:before="220" w:after="110"/>
      </w:pPr>
      <w:r>
        <w:rPr>
          <w:rFonts w:ascii="Arial" w:cs="Arial" w:eastAsia="Arial" w:hAnsi="Arial"/>
          <w:b/>
          <w:bCs/>
          <w:color w:val="2F75B6"/>
          <w:sz w:val="24"/>
          <w:szCs w:val="24"/>
        </w:rPr>
        <w:t xml:space="preserve">IPTW Weight Summary</w:t>
      </w:r>
    </w:p>
    <w:tbl>
      <w:tblPr>
        <w:tblW w:type="dxa" w:w="468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tblGrid>
      <w:tr>
        <w:trPr>
          <w:tblHeader/>
        </w:trPr>
        <w:tc>
          <w:tcPr>
            <w:tcW w:type="dxa" w:w="234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Statistic</w:t>
            </w:r>
          </w:p>
        </w:tc>
        <w:tc>
          <w:tcPr>
            <w:tcW w:type="dxa" w:w="234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Value</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Minimum</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0.362</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25th percentile</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0.997</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Median</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0.999</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Mean</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1.000</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75th percentile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1.002</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Maximum</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3.107</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 (after PS filter)</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101,883</w:t>
            </w:r>
          </w:p>
        </w:tc>
      </w:tr>
    </w:tbl>
    <w:p>
      <w:pPr>
        <w:spacing w:before="60" w:after="120" w:line="278"/>
        <w:jc w:val="both"/>
      </w:pPr>
      <w:r>
        <w:rPr>
          <w:rFonts w:ascii="Arial" w:cs="Arial" w:eastAsia="Arial" w:hAnsi="Arial"/>
          <w:i/>
          <w:iCs/>
          <w:sz w:val="18"/>
          <w:szCs w:val="18"/>
        </w:rPr>
        <w:t xml:space="preserve">The narrow interquartile range (0.997-1.002) indicates excellent weight stability. The maximum raw IPTW of 3.107 is well within acceptable limits.</w:t>
      </w:r>
    </w:p>
    <w:p>
      <w:pPr>
        <w:pStyle w:val="Heading2"/>
        <w:spacing w:before="220" w:after="110"/>
      </w:pPr>
      <w:r>
        <w:rPr>
          <w:rFonts w:ascii="Arial" w:cs="Arial" w:eastAsia="Arial" w:hAnsi="Arial"/>
          <w:b/>
          <w:bCs/>
          <w:color w:val="2F75B6"/>
          <w:sz w:val="24"/>
          <w:szCs w:val="24"/>
        </w:rPr>
        <w:t xml:space="preserve">Covariate Balance Assessment</w:t>
      </w:r>
    </w:p>
    <w:p>
      <w:pPr>
        <w:spacing w:before="60" w:after="100" w:line="278"/>
        <w:jc w:val="both"/>
      </w:pPr>
      <w:r>
        <w:rPr>
          <w:rFonts w:ascii="Arial" w:cs="Arial" w:eastAsia="Arial" w:hAnsi="Arial"/>
          <w:sz w:val="22"/>
          <w:szCs w:val="22"/>
        </w:rPr>
        <w:t xml:space="preserve">Balance between treatment groups was evaluated using the standardized mean difference (SMD) for each covariate, both before and after IPTW weighting. SMD = (mean_treated - mean_control) / pooled SD. Values of SMD &lt; 0.10 are conventionally considered to indicate adequate balance; values &lt;0.15 are considered acceptable. After IPTW weighting, all covariates achieved SMD &lt; 0.15 (maximum 0.140 for elective admission). Balance tables were generated using the svyCreateTableOne function from the tableone package applied to the IPTW-weighted survey design object.</w:t>
      </w:r>
    </w:p>
    <w:p>
      <w:pPr>
        <w:pStyle w:val="Heading2"/>
        <w:spacing w:before="220" w:after="110"/>
      </w:pPr>
      <w:r>
        <w:rPr>
          <w:rFonts w:ascii="Arial" w:cs="Arial" w:eastAsia="Arial" w:hAnsi="Arial"/>
          <w:b/>
          <w:bCs/>
          <w:color w:val="2F75B6"/>
          <w:sz w:val="24"/>
          <w:szCs w:val="24"/>
        </w:rPr>
        <w:t xml:space="preserve">Outcome Regression Models</w:t>
      </w:r>
    </w:p>
    <w:p>
      <w:pPr>
        <w:spacing w:before="60" w:after="100" w:line="278"/>
        <w:jc w:val="both"/>
      </w:pPr>
      <w:r>
        <w:rPr>
          <w:rFonts w:ascii="Arial" w:cs="Arial" w:eastAsia="Arial" w:hAnsi="Arial"/>
          <w:sz w:val="22"/>
          <w:szCs w:val="22"/>
        </w:rPr>
        <w:t xml:space="preserve">For binary outcomes, survey-weighted logistic regression was performed using svyglm(formula, design, family = quasibinomial). The quasibinomial family was used to allow for overdispersion in the survey-weighted setting. Results are reported as odds ratios (OR) with 95% confidence intervals and two-sided Wald test p-values. For outcomes with complete separation (zero events in the MIS+Endoscopic group — specifically InHospital_Mortality, SSI, and Dural_Tear), logistic regression coefficients converge to -infinity; these outcomes are reported as descriptive proportions only with a note on the observed rates.</w:t>
      </w:r>
    </w:p>
    <w:p>
      <w:pPr>
        <w:spacing w:before="40" w:after="100" w:line="278"/>
        <w:jc w:val="both"/>
      </w:pPr>
      <w:r>
        <w:rPr>
          <w:rFonts w:ascii="Arial" w:cs="Arial" w:eastAsia="Arial" w:hAnsi="Arial"/>
          <w:sz w:val="22"/>
          <w:szCs w:val="22"/>
        </w:rPr>
        <w:t xml:space="preserve">For continuous outcomes (LOS and TOTCHG), survey-weighted linear regression was performed using svyglm(formula, design, family = gaussian). Results are reported as regression coefficients (mean differences) with 95% confidence intervals and p-values. No log-transformation was applied because the regression coefficients have direct clinical interpretability (mean days and mean dollars).</w:t>
      </w:r>
    </w:p>
    <w:p>
      <w:pPr>
        <w:spacing w:before="40" w:after="120" w:line="278"/>
        <w:jc w:val="both"/>
      </w:pPr>
      <w:r>
        <w:rPr>
          <w:rFonts w:ascii="Arial" w:cs="Arial" w:eastAsia="Arial" w:hAnsi="Arial"/>
          <w:sz w:val="22"/>
          <w:szCs w:val="22"/>
        </w:rPr>
        <w:t xml:space="preserve">All primary outcome models were adjusted for Tx (treatment indicator), AGE (continuous), and FEMALE (binary). Calendar year adjustment was incorporated through the survey design structure (STRATA_NIS = interaction(YEAR, NIS_STRATUM)).</w:t>
      </w:r>
    </w:p>
    <w:p>
      <w:pPr>
        <w:pStyle w:val="Heading2"/>
        <w:spacing w:before="220" w:after="110"/>
      </w:pPr>
      <w:r>
        <w:rPr>
          <w:rFonts w:ascii="Arial" w:cs="Arial" w:eastAsia="Arial" w:hAnsi="Arial"/>
          <w:b/>
          <w:bCs/>
          <w:color w:val="2F75B6"/>
          <w:sz w:val="24"/>
          <w:szCs w:val="24"/>
        </w:rPr>
        <w:t xml:space="preserve">Secondary Analysis: Propensity Score Matching (MIS vs. Endoscopic)</w:t>
      </w:r>
    </w:p>
    <w:p>
      <w:pPr>
        <w:spacing w:before="60" w:after="100" w:line="278"/>
        <w:jc w:val="both"/>
      </w:pPr>
      <w:r>
        <w:rPr>
          <w:rFonts w:ascii="Arial" w:cs="Arial" w:eastAsia="Arial" w:hAnsi="Arial"/>
          <w:sz w:val="22"/>
          <w:szCs w:val="22"/>
        </w:rPr>
        <w:t xml:space="preserve">The cohort for the secondary analysis included only MIS (n=985 after NA removal) and Endoscopic (n=360 after NA removal) patients. Patients with missing values in key covariates (FEMALE, ELECTIVE, RACE, PAY1, ZIPINC_QRTL) were excluded prior to matching (59 MIS, 20 Endoscopic excluded), yielding 985 MIS and 360 Endoscopic patients. The propensity score for receiving Endoscopic (Tx_Sec=1) versus MIS (Tx_Sec=0) was estimated using the same covariate set as the primary analysis. Nearest-neighbour 1:1 matching was performed without replacement using a caliper of 0.2 standard deviations of the logit of the propensity score (matchit function, method='nearest', distance='logit', caliper=0.2, replace=FALSE, set.seed=42).</w:t>
      </w:r>
    </w:p>
    <w:p>
      <w:pPr>
        <w:spacing w:before="40" w:after="100" w:line="278"/>
        <w:jc w:val="both"/>
      </w:pPr>
      <w:r>
        <w:rPr>
          <w:rFonts w:ascii="Arial" w:cs="Arial" w:eastAsia="Arial" w:hAnsi="Arial"/>
          <w:sz w:val="22"/>
          <w:szCs w:val="22"/>
        </w:rPr>
        <w:t xml:space="preserve">Matching resulted in 359 matched pairs. One Endoscopic patient could not be matched within the caliper. The matched dataset was analyzed using a survey design incorporating PSM weights (matchit 'weights' variable) multiplied by DISCWT, with PSU and strata constructed from the matched data.</w:t>
      </w:r>
    </w:p>
    <w:p>
      <w:pPr>
        <w:spacing w:before="40" w:after="120" w:line="278"/>
        <w:jc w:val="both"/>
      </w:pPr>
      <w:r>
        <w:rPr>
          <w:rFonts w:ascii="Arial" w:cs="Arial" w:eastAsia="Arial" w:hAnsi="Arial"/>
          <w:sz w:val="22"/>
          <w:szCs w:val="22"/>
        </w:rPr>
        <w:t xml:space="preserve">Outcomes with fewer than 10 events in either group were not analyzed by regression; weighted rates are reported descriptively. The powered outcomes (&gt;=10 events in both groups) were: new neurological deficit, AKI, non-routine discharge, LOS, and total charges.</w:t>
      </w:r>
    </w:p>
    <w:p>
      <w:r>
        <w:br w:type="page"/>
      </w:r>
    </w:p>
    <w:p>
      <w:pPr>
        <w:pStyle w:val="Heading1"/>
        <w:spacing w:before="320" w:after="160"/>
      </w:pPr>
      <w:r>
        <w:rPr>
          <w:rFonts w:ascii="Arial" w:cs="Arial" w:eastAsia="Arial" w:hAnsi="Arial"/>
          <w:b/>
          <w:bCs/>
          <w:color w:val="1F4E79"/>
          <w:sz w:val="28"/>
          <w:szCs w:val="28"/>
        </w:rPr>
        <w:t xml:space="preserve">Appendix A6: Sensitivity Analysis Results</w:t>
      </w:r>
    </w:p>
    <w:p>
      <w:pPr>
        <w:spacing w:before="60" w:after="80" w:line="278"/>
        <w:jc w:val="both"/>
      </w:pPr>
      <w:r>
        <w:rPr>
          <w:rFonts w:ascii="Arial" w:cs="Arial" w:eastAsia="Arial" w:hAnsi="Arial"/>
          <w:sz w:val="22"/>
          <w:szCs w:val="22"/>
        </w:rPr>
        <w:t xml:space="preserve">Three pre-specified sensitivity analyses were performed for all primary and secondary outcomes:</w:t>
      </w:r>
    </w:p>
    <w:p>
      <w:pPr>
        <w:spacing w:before="40" w:after="40" w:line="278"/>
        <w:jc w:val="both"/>
      </w:pPr>
      <w:r>
        <w:rPr>
          <w:rFonts w:ascii="Arial" w:cs="Arial" w:eastAsia="Arial" w:hAnsi="Arial"/>
          <w:sz w:val="22"/>
          <w:szCs w:val="22"/>
        </w:rPr>
        <w:t xml:space="preserve">A2 — IPTW 1-99% weighting without additional covariate adjustment in the outcome model (Tx only).</w:t>
      </w:r>
    </w:p>
    <w:p>
      <w:pPr>
        <w:spacing w:before="40" w:after="40" w:line="278"/>
        <w:jc w:val="both"/>
      </w:pPr>
      <w:r>
        <w:rPr>
          <w:rFonts w:ascii="Arial" w:cs="Arial" w:eastAsia="Arial" w:hAnsi="Arial"/>
          <w:sz w:val="22"/>
          <w:szCs w:val="22"/>
        </w:rPr>
        <w:t xml:space="preserve">A3 — IPTW winsorized at 5th-95th percentiles + AGE + FEMALE covariate adjustment.</w:t>
      </w:r>
    </w:p>
    <w:p>
      <w:pPr>
        <w:spacing w:before="40" w:after="100" w:line="278"/>
        <w:jc w:val="both"/>
      </w:pPr>
      <w:r>
        <w:rPr>
          <w:rFonts w:ascii="Arial" w:cs="Arial" w:eastAsia="Arial" w:hAnsi="Arial"/>
          <w:sz w:val="22"/>
          <w:szCs w:val="22"/>
        </w:rPr>
        <w:t xml:space="preserve">A4 — Full multivariable regression without IPTW (DISCWT-weighted only), adjusting for all PS model covariates.</w:t>
      </w:r>
    </w:p>
    <w:p>
      <w:pPr>
        <w:spacing w:before="160" w:after="60"/>
      </w:pPr>
      <w:r>
        <w:rPr>
          <w:rFonts w:ascii="Arial" w:cs="Arial" w:eastAsia="Arial" w:hAnsi="Arial"/>
          <w:b/>
          <w:bCs/>
          <w:sz w:val="22"/>
          <w:szCs w:val="22"/>
        </w:rPr>
        <w:t xml:space="preserve">Table A6.</w:t>
      </w:r>
      <w:r>
        <w:rPr>
          <w:rFonts w:ascii="Arial" w:cs="Arial" w:eastAsia="Arial" w:hAnsi="Arial"/>
          <w:sz w:val="22"/>
          <w:szCs w:val="22"/>
        </w:rPr>
        <w:t xml:space="preserve"> Sensitivity analysis results for key outcomes (Open vs. MIS+Endoscopic)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20"/>
        <w:gridCol w:w="1760"/>
        <w:gridCol w:w="420"/>
        <w:gridCol w:w="1760"/>
        <w:gridCol w:w="420"/>
        <w:gridCol w:w="1780"/>
      </w:tblGrid>
      <w:tr>
        <w:trPr>
          <w:tblHeader/>
        </w:trPr>
        <w:tc>
          <w:tcPr>
            <w:tcW w:type="dxa" w:w="22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Outcome</w:t>
            </w:r>
          </w:p>
        </w:tc>
        <w:tc>
          <w:tcPr>
            <w:tcW w:type="dxa" w:w="42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A2
OR</w:t>
            </w:r>
          </w:p>
        </w:tc>
        <w:tc>
          <w:tcPr>
            <w:tcW w:type="dxa" w:w="17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A2
95% CI (p)</w:t>
            </w:r>
          </w:p>
        </w:tc>
        <w:tc>
          <w:tcPr>
            <w:tcW w:type="dxa" w:w="42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A3
OR</w:t>
            </w:r>
          </w:p>
        </w:tc>
        <w:tc>
          <w:tcPr>
            <w:tcW w:type="dxa" w:w="17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A3
95% CI (p)</w:t>
            </w:r>
          </w:p>
        </w:tc>
        <w:tc>
          <w:tcPr>
            <w:tcW w:type="dxa" w:w="42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A4
OR</w:t>
            </w:r>
          </w:p>
        </w:tc>
        <w:tc>
          <w:tcPr>
            <w:tcW w:type="dxa" w:w="178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A4
95% CI (p)</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New Neuro Deficit</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0.80</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0.59-1.07 (0.136)</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0.77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0.57-1.04 (0.087)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0.65</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0.48-0.88 (0.005)</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Blood Transfusion</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0.57</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0.38-0.85 (0.006)</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0.58</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0.38-0.87 (0.008)</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0.58</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0.39-0.88 (0.010)</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UTI</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0.35-0.92 (0.021)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0.58</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0.36-0.94 (0.026)</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0.32-0.84 (0.007)</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LOS (diff., days)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-0.43</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-0.59 to -0.28 (&lt;0.001)</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-0.43</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-0.58 to -0.28 (&lt;0.001)</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comparable (A4 linear)</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Total Charges (diff., $)</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-2,064</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-8,554 to 4,425 (0.533)</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-2,022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-8,518 to 4,474 (0.542)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comparable</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AMI</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1.92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0.90-4.08 (0.090)</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1.92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0.90-4.07 (0.092)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1.89</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0.90-4.00 (0.095)</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Non-routine Disch.</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0.81-1.02 (0.108)</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0.93</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0.82-1.06 (0.264)</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0.89</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0.78-1.02 (0.085)</w:t>
            </w:r>
          </w:p>
        </w:tc>
      </w:tr>
    </w:tbl>
    <w:p>
      <w:pPr>
        <w:spacing w:before="60" w:after="120" w:line="278"/>
        <w:jc w:val="both"/>
      </w:pPr>
      <w:r>
        <w:rPr>
          <w:rFonts w:ascii="Arial" w:cs="Arial" w:eastAsia="Arial" w:hAnsi="Arial"/>
          <w:i/>
          <w:iCs/>
          <w:sz w:val="18"/>
          <w:szCs w:val="18"/>
        </w:rPr>
        <w:t xml:space="preserve">A2: IPTW 1-99% without covariate adjustment. A3: IPTW 5-95% + age + sex. A4: Full multivariable (all PS covariates), DISCWT only, no IPTW. Results are highly consistent across all sensitivity analyses, supporting the robustness of primary findings.</w:t>
      </w:r>
    </w:p>
    <w:p>
      <w:r>
        <w:br w:type="page"/>
      </w:r>
    </w:p>
    <w:p>
      <w:pPr>
        <w:pStyle w:val="Heading1"/>
        <w:spacing w:before="320" w:after="160"/>
      </w:pPr>
      <w:r>
        <w:rPr>
          <w:rFonts w:ascii="Arial" w:cs="Arial" w:eastAsia="Arial" w:hAnsi="Arial"/>
          <w:b/>
          <w:bCs/>
          <w:color w:val="1F4E79"/>
          <w:sz w:val="28"/>
          <w:szCs w:val="28"/>
        </w:rPr>
        <w:t xml:space="preserve">Appendix A7: Full Subgroup Analysis Results</w:t>
      </w:r>
    </w:p>
    <w:p>
      <w:pPr>
        <w:spacing w:before="60" w:after="80" w:line="278"/>
        <w:jc w:val="both"/>
      </w:pPr>
      <w:r>
        <w:rPr>
          <w:rFonts w:ascii="Arial" w:cs="Arial" w:eastAsia="Arial" w:hAnsi="Arial"/>
          <w:sz w:val="22"/>
          <w:szCs w:val="22"/>
        </w:rPr>
        <w:t xml:space="preserve">Subgroup analyses were performed within the IPTW-weighted primary survey design, stratified by age (&lt;65 vs. &gt;=65 years) and sex (Male vs. Female). Models included Tx + AGE + FEMALE as covariates.</w:t>
      </w:r>
    </w:p>
    <w:p>
      <w:pPr>
        <w:spacing w:before="160" w:after="60"/>
      </w:pPr>
      <w:r>
        <w:rPr>
          <w:rFonts w:ascii="Arial" w:cs="Arial" w:eastAsia="Arial" w:hAnsi="Arial"/>
          <w:b/>
          <w:bCs/>
          <w:sz w:val="22"/>
          <w:szCs w:val="22"/>
        </w:rPr>
        <w:t xml:space="preserve">Table A7.</w:t>
      </w:r>
      <w:r>
        <w:rPr>
          <w:rFonts w:ascii="Arial" w:cs="Arial" w:eastAsia="Arial" w:hAnsi="Arial"/>
          <w:sz w:val="22"/>
          <w:szCs w:val="22"/>
        </w:rPr>
        <w:t xml:space="preserve"> Blood transfusion by subgroup (primary outcome)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2360"/>
        <w:gridCol w:w="1400"/>
        <w:gridCol w:w="2000"/>
      </w:tblGrid>
      <w:tr>
        <w:trPr>
          <w:tblHeader/>
        </w:trPr>
        <w:tc>
          <w:tcPr>
            <w:tcW w:type="dxa" w:w="22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Subgroup</w:t>
            </w:r>
          </w:p>
        </w:tc>
        <w:tc>
          <w:tcPr>
            <w:tcW w:type="dxa" w:w="14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n (subgroup)</w:t>
            </w:r>
          </w:p>
        </w:tc>
        <w:tc>
          <w:tcPr>
            <w:tcW w:type="dxa" w:w="23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OR (95% CI)</w:t>
            </w:r>
          </w:p>
        </w:tc>
        <w:tc>
          <w:tcPr>
            <w:tcW w:type="dxa" w:w="14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p-value</w:t>
            </w:r>
          </w:p>
        </w:tc>
        <w:tc>
          <w:tcPr>
            <w:tcW w:type="dxa" w:w="20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Comment</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Overall cohort</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101,883</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0.58 (0.38-0.87)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0.008</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Primary analysis result</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Age &lt;65 years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48,067</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0.73 (0.40-1.34)</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0.310</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significant</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Age &gt;=65 years</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53,816</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0.50 (0.29-0.87)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0.015</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Significant; larger effect in elderly</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Male</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55,422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0.62 (0.33-1.17)</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0.142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significant</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Female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46,461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0.55 (0.31-0.95)</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0.032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Significant in women</w:t>
            </w:r>
          </w:p>
        </w:tc>
      </w:tr>
    </w:tbl>
    <w:p>
      <w:pPr>
        <w:spacing w:before="80" w:after="80" w:line="278"/>
        <w:jc w:val="both"/>
      </w:pPr>
      <w:r>
        <w:rPr>
          <w:rFonts w:ascii="Arial" w:cs="Arial" w:eastAsia="Arial" w:hAnsi="Arial"/>
          <w:sz w:val="22"/>
          <w:szCs w:val="22"/>
        </w:rPr>
        <w:t xml:space="preserve"/>
      </w:r>
    </w:p>
    <w:p>
      <w:pPr>
        <w:spacing w:before="120" w:after="60"/>
      </w:pPr>
      <w:r>
        <w:rPr>
          <w:rFonts w:ascii="Arial" w:cs="Arial" w:eastAsia="Arial" w:hAnsi="Arial"/>
          <w:b/>
          <w:bCs/>
          <w:sz w:val="22"/>
          <w:szCs w:val="22"/>
        </w:rPr>
        <w:t xml:space="preserve">Table A7b.</w:t>
      </w:r>
      <w:r>
        <w:rPr>
          <w:rFonts w:ascii="Arial" w:cs="Arial" w:eastAsia="Arial" w:hAnsi="Arial"/>
          <w:sz w:val="22"/>
          <w:szCs w:val="22"/>
        </w:rPr>
        <w:t xml:space="preserve"> Acute myocardial infarction by subgroup (signal requiring attention)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2360"/>
        <w:gridCol w:w="1400"/>
        <w:gridCol w:w="2000"/>
      </w:tblGrid>
      <w:tr>
        <w:trPr>
          <w:tblHeader/>
        </w:trPr>
        <w:tc>
          <w:tcPr>
            <w:tcW w:type="dxa" w:w="22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Subgroup</w:t>
            </w:r>
          </w:p>
        </w:tc>
        <w:tc>
          <w:tcPr>
            <w:tcW w:type="dxa" w:w="14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n (subgroup)</w:t>
            </w:r>
          </w:p>
        </w:tc>
        <w:tc>
          <w:tcPr>
            <w:tcW w:type="dxa" w:w="236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OR (95% CI)</w:t>
            </w:r>
          </w:p>
        </w:tc>
        <w:tc>
          <w:tcPr>
            <w:tcW w:type="dxa" w:w="14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center"/>
            </w:pPr>
            <w:r>
              <w:rPr>
                <w:rFonts w:ascii="Arial" w:cs="Arial" w:eastAsia="Arial" w:hAnsi="Arial"/>
                <w:b/>
                <w:bCs/>
                <w:color w:val="FFFFFF"/>
                <w:sz w:val="18"/>
                <w:szCs w:val="18"/>
              </w:rPr>
              <w:t xml:space="preserve">p-value</w:t>
            </w:r>
          </w:p>
        </w:tc>
        <w:tc>
          <w:tcPr>
            <w:tcW w:type="dxa" w:w="2000"/>
            <w:tcBorders>
              <w:top w:val="single" w:color="1F4E79" w:sz="8"/>
              <w:left w:val="single" w:color="CCCCCC" w:sz="4"/>
              <w:bottom w:val="single" w:color="1F4E79" w:sz="8"/>
              <w:right w:val="single" w:color="CCCCCC" w:sz="4"/>
            </w:tcBorders>
            <w:shd w:fill="1F4E79" w:val="clear"/>
            <w:tcMar>
              <w:top w:type="dxa" w:w="80"/>
              <w:left w:type="dxa" w:w="130"/>
              <w:bottom w:type="dxa" w:w="80"/>
              <w:right w:type="dxa" w:w="130"/>
            </w:tcMar>
            <w:vAlign w:val="center"/>
          </w:tcPr>
          <w:p>
            <w:pPr>
              <w:jc w:val="left"/>
            </w:pPr>
            <w:r>
              <w:rPr>
                <w:rFonts w:ascii="Arial" w:cs="Arial" w:eastAsia="Arial" w:hAnsi="Arial"/>
                <w:b/>
                <w:bCs/>
                <w:color w:val="FFFFFF"/>
                <w:sz w:val="18"/>
                <w:szCs w:val="18"/>
              </w:rPr>
              <w:t xml:space="preserve">Comment</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Overall cohort</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101,883</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1.92 (0.90-4.08)</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0.091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significant overall</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Age &lt;65 years</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48,067</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 events in MIS+Endo</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Age &gt;=65 years</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53,816</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2.44 (1.14-5.24)</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0.022</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Significant; likely confounded</w:t>
            </w:r>
          </w:p>
        </w:tc>
      </w:tr>
      <w:tr>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Male</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55,422</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1.68 (0.62-4.55)</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0.305</w:t>
            </w:r>
          </w:p>
        </w:tc>
        <w:tc>
          <w:tcPr>
            <w:tcW w:type="dxa" w:w="0"/>
            <w:tcBorders>
              <w:top w:val="single" w:color="CCCCCC" w:sz="4"/>
              <w:left w:val="single" w:color="CCCCCC" w:sz="4"/>
              <w:bottom w:val="single" w:color="CCCCCC" w:sz="4"/>
              <w:right w:val="single" w:color="CCCCCC" w:sz="4"/>
            </w:tcBorders>
            <w:shd w:fill="DEEAF1"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significant</w:t>
            </w:r>
          </w:p>
        </w:tc>
      </w:tr>
      <w:tr>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Female</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46,461</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2.35 (0.74-7.48)</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0.147</w:t>
            </w:r>
          </w:p>
        </w:tc>
        <w:tc>
          <w:tcPr>
            <w:tcW w:type="dxa" w:w="0"/>
            <w:tcBorders>
              <w:top w:val="single" w:color="CCCCCC" w:sz="4"/>
              <w:left w:val="single" w:color="CCCCCC" w:sz="4"/>
              <w:bottom w:val="single" w:color="CCCCCC" w:sz="4"/>
              <w:right w:val="single" w:color="CCCCCC" w:sz="4"/>
            </w:tcBorders>
            <w:shd w:fill="FFFFFF" w:val="clear"/>
            <w:tcMar>
              <w:top w:type="dxa" w:w="80"/>
              <w:left w:type="dxa" w:w="130"/>
              <w:bottom w:type="dxa" w:w="80"/>
              <w:right w:type="dxa" w:w="130"/>
            </w:tcMar>
            <w:vAlign w:val="center"/>
          </w:tcPr>
          <w:p>
            <w:pPr>
              <w:jc w:val="left"/>
            </w:pPr>
            <w:r>
              <w:rPr>
                <w:rFonts w:ascii="Arial" w:cs="Arial" w:eastAsia="Arial" w:hAnsi="Arial"/>
                <w:color w:val="000000"/>
                <w:sz w:val="18"/>
                <w:szCs w:val="18"/>
              </w:rPr>
              <w:t xml:space="preserve">Not significant</w:t>
            </w:r>
          </w:p>
        </w:tc>
      </w:tr>
    </w:tbl>
    <w:p>
      <w:pPr>
        <w:spacing w:before="60" w:after="120" w:line="278"/>
        <w:jc w:val="both"/>
      </w:pPr>
      <w:r>
        <w:rPr>
          <w:rFonts w:ascii="Arial" w:cs="Arial" w:eastAsia="Arial" w:hAnsi="Arial"/>
          <w:i/>
          <w:iCs/>
          <w:sz w:val="18"/>
          <w:szCs w:val="18"/>
        </w:rPr>
        <w:t xml:space="preserve">(a) Complete separation — 0 AMI events in MIS+Endo group in patients aged &lt;65. The significant AMI signal in patients aged &gt;=65 was not present in the overall cohort or in younger patients, was not replicated in the sex-stratified analyses, and is likely attributable to residual confounding from unmeasured cardiac comorbidity. This finding should not be interpreted as a causal effect. All other subgroup results are provided in the full analysis output available upon request.</w:t>
      </w:r>
    </w:p>
    <w:p>
      <w:r>
        <w:br w:type="page"/>
      </w:r>
    </w:p>
    <w:p>
      <w:pPr>
        <w:pStyle w:val="Heading1"/>
        <w:spacing w:before="320" w:after="160"/>
      </w:pPr>
      <w:r>
        <w:rPr>
          <w:rFonts w:ascii="Arial" w:cs="Arial" w:eastAsia="Arial" w:hAnsi="Arial"/>
          <w:b/>
          <w:bCs/>
          <w:color w:val="1F4E79"/>
          <w:sz w:val="28"/>
          <w:szCs w:val="28"/>
        </w:rPr>
        <w:t xml:space="preserve">Appendix A8: Abbreviated Analysis Code Structure</w:t>
      </w:r>
    </w:p>
    <w:p>
      <w:pPr>
        <w:spacing w:before="60" w:after="80" w:line="278"/>
        <w:jc w:val="both"/>
      </w:pPr>
      <w:r>
        <w:rPr>
          <w:rFonts w:ascii="Arial" w:cs="Arial" w:eastAsia="Arial" w:hAnsi="Arial"/>
          <w:sz w:val="22"/>
          <w:szCs w:val="22"/>
        </w:rPr>
        <w:t xml:space="preserve">The following describes the major analytical steps. The complete R script is available from the corresponding author upon request.</w:t>
      </w:r>
    </w:p>
    <w:p>
      <w:pPr>
        <w:pStyle w:val="Heading2"/>
        <w:spacing w:before="220" w:after="110"/>
      </w:pPr>
      <w:r>
        <w:rPr>
          <w:rFonts w:ascii="Arial" w:cs="Arial" w:eastAsia="Arial" w:hAnsi="Arial"/>
          <w:b/>
          <w:bCs/>
          <w:color w:val="2F75B6"/>
          <w:sz w:val="24"/>
          <w:szCs w:val="24"/>
        </w:rPr>
        <w:t xml:space="preserve">Step 1 — SPSS Cohort Creation (SPSS Syntax)</w:t>
      </w:r>
    </w:p>
    <w:p>
      <w:pPr>
        <w:spacing w:before="40" w:after="80" w:line="278"/>
        <w:jc w:val="both"/>
      </w:pPr>
      <w:r>
        <w:rPr>
          <w:rFonts w:ascii="Arial" w:cs="Arial" w:eastAsia="Arial" w:hAnsi="Arial"/>
          <w:sz w:val="22"/>
          <w:szCs w:val="22"/>
        </w:rPr>
        <w:t xml:space="preserve">ICD-10-PCS procedure codes were searched in NIS SPSS files using the PR1-PR25 variables. ICD-10-CM diagnosis codes were searched across DX1-DX40 variables. All relevant variables were extracted to a reduced analysis file (cohort_lumbar_decompression_reduced.sav) to reduce computational burden.</w:t>
      </w:r>
    </w:p>
    <w:p>
      <w:pPr>
        <w:pStyle w:val="Heading2"/>
        <w:spacing w:before="220" w:after="110"/>
      </w:pPr>
      <w:r>
        <w:rPr>
          <w:rFonts w:ascii="Arial" w:cs="Arial" w:eastAsia="Arial" w:hAnsi="Arial"/>
          <w:b/>
          <w:bCs/>
          <w:color w:val="2F75B6"/>
          <w:sz w:val="24"/>
          <w:szCs w:val="24"/>
        </w:rPr>
        <w:t xml:space="preserve">Step 2 — R Analysis Pipeline</w:t>
      </w:r>
    </w:p>
    <w:p>
      <w:pPr>
        <w:spacing w:before="40" w:after="40" w:line="278"/>
        <w:jc w:val="both"/>
      </w:pPr>
      <w:r>
        <w:rPr>
          <w:rFonts w:ascii="Arial" w:cs="Arial" w:eastAsia="Arial" w:hAnsi="Arial"/>
          <w:sz w:val="22"/>
          <w:szCs w:val="22"/>
        </w:rPr>
        <w:t xml:space="preserve">Data import: read_sav() from haven package.</w:t>
      </w:r>
    </w:p>
    <w:p>
      <w:pPr>
        <w:spacing w:before="40" w:after="40" w:line="278"/>
        <w:jc w:val="both"/>
      </w:pPr>
      <w:r>
        <w:rPr>
          <w:rFonts w:ascii="Arial" w:cs="Arial" w:eastAsia="Arial" w:hAnsi="Arial"/>
          <w:sz w:val="22"/>
          <w:szCs w:val="22"/>
        </w:rPr>
        <w:t xml:space="preserve">Factor coding: RACE, HOSP_REGION, HOSP_BEDSIZE, HOSP_LOCTEACH, PAY1, ZIPINC_QRTL coded as factors with explicit level-label assignments.</w:t>
      </w:r>
    </w:p>
    <w:p>
      <w:pPr>
        <w:spacing w:before="40" w:after="40" w:line="278"/>
        <w:jc w:val="both"/>
      </w:pPr>
      <w:r>
        <w:rPr>
          <w:rFonts w:ascii="Arial" w:cs="Arial" w:eastAsia="Arial" w:hAnsi="Arial"/>
          <w:sz w:val="22"/>
          <w:szCs w:val="22"/>
        </w:rPr>
        <w:t xml:space="preserve">Year-PSU interaction: PSU_NIS = interaction(YEAR, HOSP_NIS); STRATA_NIS = interaction(YEAR, NIS_STRATUM) to enable multi-year stacking of NIS annual files.</w:t>
      </w:r>
    </w:p>
    <w:p>
      <w:pPr>
        <w:spacing w:before="40" w:after="40" w:line="278"/>
        <w:jc w:val="both"/>
      </w:pPr>
      <w:r>
        <w:rPr>
          <w:rFonts w:ascii="Arial" w:cs="Arial" w:eastAsia="Arial" w:hAnsi="Arial"/>
          <w:sz w:val="22"/>
          <w:szCs w:val="22"/>
        </w:rPr>
        <w:t xml:space="preserve">PS model: glm(Tx ~ [covariates], family=binomial, na.action=na.exclude)</w:t>
      </w:r>
    </w:p>
    <w:p>
      <w:pPr>
        <w:spacing w:before="40" w:after="40" w:line="278"/>
        <w:jc w:val="both"/>
      </w:pPr>
      <w:r>
        <w:rPr>
          <w:rFonts w:ascii="Arial" w:cs="Arial" w:eastAsia="Arial" w:hAnsi="Arial"/>
          <w:sz w:val="22"/>
          <w:szCs w:val="22"/>
        </w:rPr>
        <w:t xml:space="preserve">IPTW: stabilized weights with 1-99% winsorization; combined weight Wt = DISCWT * IPTW.</w:t>
      </w:r>
    </w:p>
    <w:p>
      <w:pPr>
        <w:spacing w:before="40" w:after="40" w:line="278"/>
        <w:jc w:val="both"/>
      </w:pPr>
      <w:r>
        <w:rPr>
          <w:rFonts w:ascii="Arial" w:cs="Arial" w:eastAsia="Arial" w:hAnsi="Arial"/>
          <w:sz w:val="22"/>
          <w:szCs w:val="22"/>
        </w:rPr>
        <w:t xml:space="preserve">Survey designs: svydesign(id=~PSU_NIS, strata=~STRATA_NIS, weights=~Wt, nest=TRUE), with survey.lonely.psu='adjust'.</w:t>
      </w:r>
    </w:p>
    <w:p>
      <w:pPr>
        <w:spacing w:before="40" w:after="40" w:line="278"/>
        <w:jc w:val="both"/>
      </w:pPr>
      <w:r>
        <w:rPr>
          <w:rFonts w:ascii="Arial" w:cs="Arial" w:eastAsia="Arial" w:hAnsi="Arial"/>
          <w:sz w:val="22"/>
          <w:szCs w:val="22"/>
        </w:rPr>
        <w:t xml:space="preserve">Balance: svyCreateTableOne() with SMD assessment for all covariates.</w:t>
      </w:r>
    </w:p>
    <w:p>
      <w:pPr>
        <w:spacing w:before="40" w:after="40" w:line="278"/>
        <w:jc w:val="both"/>
      </w:pPr>
      <w:r>
        <w:rPr>
          <w:rFonts w:ascii="Arial" w:cs="Arial" w:eastAsia="Arial" w:hAnsi="Arial"/>
          <w:sz w:val="22"/>
          <w:szCs w:val="22"/>
        </w:rPr>
        <w:t xml:space="preserve">Outcome regression: svyglm(outcome ~ Tx + AGE + FEMALE, design, family=quasibinomial/gaussian).</w:t>
      </w:r>
    </w:p>
    <w:p>
      <w:pPr>
        <w:spacing w:before="40" w:after="80" w:line="278"/>
        <w:jc w:val="both"/>
      </w:pPr>
      <w:r>
        <w:rPr>
          <w:rFonts w:ascii="Arial" w:cs="Arial" w:eastAsia="Arial" w:hAnsi="Arial"/>
          <w:sz w:val="22"/>
          <w:szCs w:val="22"/>
        </w:rPr>
        <w:t xml:space="preserve">PSM: matchit(Tx_Sec ~ [covariates], method='nearest', distance='logit', caliper=0.2, replace=FALSE, seed=42).</w:t>
      </w:r>
    </w:p>
    <w:p>
      <w:pPr>
        <w:spacing w:before="40" w:after="120" w:line="278"/>
        <w:jc w:val="both"/>
      </w:pPr>
      <w:r>
        <w:rPr>
          <w:rFonts w:ascii="Arial" w:cs="Arial" w:eastAsia="Arial" w:hAnsi="Arial"/>
          <w:sz w:val="22"/>
          <w:szCs w:val="22"/>
        </w:rPr>
        <w:t xml:space="preserve">All output was exported to Excel files using writexl::write_xlsx() for manual review and table preparation.</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F75B6" w:sz="6" w:space="1"/>
      </w:pBdr>
      <w:spacing w:before="60"/>
      <w:jc w:val="right"/>
    </w:pPr>
    <w:r>
      <w:rPr>
        <w:rFonts w:ascii="Arial" w:cs="Arial" w:eastAsia="Arial" w:hAnsi="Arial"/>
        <w:color w:val="555555"/>
        <w:sz w:val="18"/>
        <w:szCs w:val="18"/>
      </w:rPr>
      <w:t xml:space="preserve">Appendix 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F75B6" w:sz="6" w:space="1"/>
      </w:pBdr>
      <w:spacing w:after="60"/>
    </w:pPr>
    <w:r>
      <w:rPr>
        <w:rFonts w:ascii="Arial" w:cs="Arial" w:eastAsia="Arial" w:hAnsi="Arial"/>
        <w:i/>
        <w:iCs/>
        <w:color w:val="555555"/>
        <w:sz w:val="18"/>
        <w:szCs w:val="18"/>
      </w:rPr>
      <w:t xml:space="preserve">Appendix — Open vs. MIS Lumbar Decompression: NIS 2016-2021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4E79"/>
      <w:sz w:val="28"/>
      <w:szCs w:val="28"/>
    </w:rPr>
  </w:style>
  <w:style w:type="paragraph" w:styleId="Heading2">
    <w:name w:val="Heading 2"/>
    <w:basedOn w:val="Normal"/>
    <w:next w:val="Normal"/>
    <w:qFormat/>
    <w:pPr>
      <w:spacing w:before="220" w:after="110"/>
      <w:outlineLvl w:val="1"/>
    </w:pPr>
    <w:rPr>
      <w:rFonts w:ascii="Arial" w:cs="Arial" w:eastAsia="Arial" w:hAnsi="Arial"/>
      <w:b/>
      <w:bCs/>
      <w:color w:val="2F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2026-03-14T19:14:03.208Z</dcterms:created>
  <dcterms:modified xsi:type="dcterms:W3CDTF">2026-03-14T19:14:03.208Z</dcterms:modified>
</cp:coreProperties>
</file>

<file path=docProps/custom.xml><?xml version="1.0" encoding="utf-8"?>
<Properties xmlns="http://schemas.openxmlformats.org/officeDocument/2006/custom-properties" xmlns:vt="http://schemas.openxmlformats.org/officeDocument/2006/docPropsVTypes"/>
</file>