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CustomTitle"/>
      </w:pPr>
      <w:r>
        <w:rPr>
          <w:rFonts w:ascii="Times New Roman" w:hAnsi="Times New Roman"/>
          <w:b/>
          <w:sz w:val="28"/>
        </w:rPr>
        <w:t>Secularity, Religious Pluralism, and Administrative Governance in Kazakhstan:</w:t>
      </w:r>
    </w:p>
    <w:p>
      <w:pPr>
        <w:pStyle w:val="Subtitle"/>
      </w:pPr>
      <w:r>
        <w:rPr>
          <w:rFonts w:ascii="Times New Roman" w:hAnsi="Times New Roman"/>
          <w:b/>
          <w:sz w:val="24"/>
        </w:rPr>
        <w:t>A Human-Sciences Analysis of State–Religion Interfaces</w:t>
      </w:r>
    </w:p>
    <w:p>
      <w:pPr>
        <w:pStyle w:val="Heading1"/>
      </w:pPr>
      <w:r>
        <w:rPr>
          <w:rFonts w:ascii="Times New Roman" w:hAnsi="Times New Roman"/>
          <w:b/>
          <w:sz w:val="22"/>
        </w:rPr>
        <w:t>Author information</w:t>
      </w:r>
    </w:p>
    <w:p>
      <w:pPr>
        <w:jc w:val="left"/>
      </w:pPr>
      <w:r>
        <w:rPr>
          <w:b/>
        </w:rPr>
        <w:t>Zhanna Khamzina</w:t>
      </w:r>
    </w:p>
    <w:p>
      <w:pPr>
        <w:ind w:left="360"/>
        <w:jc w:val="left"/>
      </w:pPr>
      <w:r>
        <w:rPr>
          <w:b w:val="0"/>
        </w:rPr>
        <w:t>Department of Law, Zhetysu University named after I. Zhansugurov, Taldykorgan, Kazakhstan</w:t>
      </w:r>
    </w:p>
    <w:p>
      <w:pPr>
        <w:ind w:left="360"/>
        <w:jc w:val="left"/>
      </w:pPr>
      <w:r>
        <w:rPr>
          <w:b w:val="0"/>
        </w:rPr>
        <w:t>ORCID: 0000-0003-0913-2002</w:t>
      </w:r>
    </w:p>
    <w:p>
      <w:pPr>
        <w:ind w:left="360"/>
        <w:jc w:val="left"/>
      </w:pPr>
      <w:r>
        <w:rPr>
          <w:b w:val="0"/>
        </w:rPr>
        <w:t>E-mail: 292803@mail.ru</w:t>
      </w:r>
    </w:p>
    <w:p>
      <w:pPr>
        <w:jc w:val="left"/>
      </w:pPr>
      <w:r>
        <w:rPr>
          <w:b/>
        </w:rPr>
        <w:t>Amangeldy Khamzin</w:t>
      </w:r>
    </w:p>
    <w:p>
      <w:pPr>
        <w:ind w:left="360"/>
        <w:jc w:val="left"/>
      </w:pPr>
      <w:r>
        <w:rPr>
          <w:b w:val="0"/>
        </w:rPr>
        <w:t>Department of Law, Toraighyrov University, Pavlodar, Kazakhstan</w:t>
      </w:r>
    </w:p>
    <w:p>
      <w:pPr>
        <w:ind w:left="360"/>
        <w:jc w:val="left"/>
      </w:pPr>
      <w:r>
        <w:rPr>
          <w:b w:val="0"/>
        </w:rPr>
        <w:t>ORCID: 0000-0003-2923-5105</w:t>
      </w:r>
    </w:p>
    <w:p>
      <w:pPr>
        <w:ind w:left="360"/>
        <w:jc w:val="left"/>
      </w:pPr>
      <w:r>
        <w:rPr>
          <w:b w:val="0"/>
        </w:rPr>
        <w:t>E-mail: 480609@mail.ru</w:t>
      </w:r>
    </w:p>
    <w:p>
      <w:pPr>
        <w:jc w:val="left"/>
      </w:pPr>
      <w:r>
        <w:rPr>
          <w:b/>
        </w:rPr>
        <w:t>Yermek Buribayev (corresponding author)</w:t>
      </w:r>
    </w:p>
    <w:p>
      <w:pPr>
        <w:ind w:left="360"/>
        <w:jc w:val="left"/>
      </w:pPr>
      <w:r>
        <w:rPr>
          <w:b w:val="0"/>
        </w:rPr>
        <w:t>Department of Law, Zhetysu University named after I. Zhansugurov, Taldykorgan, Kazakhstan</w:t>
      </w:r>
    </w:p>
    <w:p>
      <w:pPr>
        <w:ind w:left="360"/>
        <w:jc w:val="left"/>
      </w:pPr>
      <w:r>
        <w:rPr>
          <w:b w:val="0"/>
        </w:rPr>
        <w:t>ORCID: 0000-0003-2631-6372</w:t>
      </w:r>
    </w:p>
    <w:p>
      <w:pPr>
        <w:ind w:left="360"/>
        <w:jc w:val="left"/>
      </w:pPr>
      <w:r>
        <w:rPr>
          <w:b w:val="0"/>
        </w:rPr>
        <w:t>E-mail: yermek-a@mail.ru</w:t>
      </w:r>
    </w:p>
    <w:p>
      <w:pPr>
        <w:pStyle w:val="Heading1"/>
      </w:pPr>
      <w:r>
        <w:rPr>
          <w:rFonts w:ascii="Times New Roman" w:hAnsi="Times New Roman"/>
          <w:b/>
          <w:sz w:val="22"/>
        </w:rPr>
        <w:t>Acknowledgments</w:t>
      </w:r>
    </w:p>
    <w:p>
      <w:pPr>
        <w:jc w:val="both"/>
      </w:pPr>
      <w:r>
        <w:rPr>
          <w:rFonts w:ascii="Times New Roman" w:hAnsi="Times New Roman"/>
          <w:sz w:val="20"/>
        </w:rPr>
        <w:t>This research was funded by the Science Committee of the Ministry of Science and Higher Education of the Republic of Kazakhstan (Grant No. AP23489033, “The risks of cross-border spread of destructive religious views: legal decisions based on an interdisciplinary approach”; Grant No. BR24993269, “Evolution and Transformation of Value Orientations in Kazakhstani Society During the Independence Period”).</w:t>
      </w:r>
    </w:p>
    <w:p>
      <w:pPr>
        <w:pStyle w:val="Heading1"/>
      </w:pPr>
      <w:r>
        <w:rPr>
          <w:rFonts w:ascii="Times New Roman" w:hAnsi="Times New Roman"/>
          <w:b/>
          <w:sz w:val="22"/>
        </w:rPr>
        <w:t>Declarations</w:t>
      </w:r>
    </w:p>
    <w:p>
      <w:pPr/>
      <w:r>
        <w:t>Funding: This research was funded by the Science Committee of the Ministry of Science and Higher Education of the Republic of Kazakhstan (Grant No. AP23489033, “The risks of cross-border spread of destructive religious views: legal decisions based on an interdisciplinary approach”; Grant No. BR24993269, “Evolution and Transformation of Value Orientations in Kazakhstani Society During the Independence Period”).</w:t>
      </w:r>
    </w:p>
    <w:p>
      <w:pPr/>
      <w:r>
        <w:t>Competing interests: The authors have no competing interests to declare that are relevant to the content of this article.</w:t>
      </w:r>
    </w:p>
    <w:p>
      <w:pPr/>
      <w:r>
        <w:t>Clinical trial number: not applicable.</w:t>
      </w:r>
    </w:p>
    <w:p>
      <w:pPr/>
      <w:r>
        <w:t>Ethics, Consent to Participate, and Consent to Publish declarations: not applicable.</w:t>
      </w:r>
    </w:p>
    <w:p>
      <w:pPr/>
      <w:r>
        <w:t>Data availability: The study draws on public legal texts, official registers of religious associations, and the Committee on Legal Statistics tables (Forms 1AD and 1M). The structured extraction tables and codebook used for the submission version are provided in Online Resource 1.</w:t>
      </w:r>
    </w:p>
    <w:p>
      <w:pPr/>
      <w:r>
        <w:t>Materials availability: The materials analyzed are publicly available from the relevant state registers and statistical publications.</w:t>
      </w:r>
    </w:p>
    <w:p>
      <w:pPr/>
      <w:r>
        <w:t>Code availability: No custom software or proprietary code was used in the production of the reported descriptive tables.</w:t>
      </w:r>
    </w:p>
    <w:p>
      <w:pPr/>
      <w:r>
        <w:t>Author contributions: All authors contributed to the study conception, design, analysis, and writing. All authors read and approved the final manuscript.</w:t>
      </w:r>
    </w:p>
    <w:sectPr w:rsidR="00FC693F" w:rsidRPr="0006063C" w:rsidSect="00034616">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sz w:val="20"/>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40" w:lineRule="auto"/>
      <w:jc w:val="both"/>
    </w:pPr>
    <w:rPr>
      <w:rFonts w:ascii="Times New Roman" w:hAnsi="Times New Roman"/>
      <w:color w:val="000000"/>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jc w:val="left"/>
      <w:outlineLvl w:val="0"/>
    </w:pPr>
    <w:rPr>
      <w:rFonts w:asciiTheme="majorHAnsi" w:eastAsiaTheme="majorEastAsia" w:hAnsiTheme="majorHAnsi" w:cstheme="majorBidi" w:ascii="Times New Roman" w:hAnsi="Times New Roman"/>
      <w:b/>
      <w:bCs/>
      <w:i w:val="0"/>
      <w:color w:val="000000"/>
      <w:sz w:val="22"/>
      <w:szCs w:val="28"/>
    </w:rPr>
  </w:style>
  <w:style w:type="paragraph" w:styleId="Heading2">
    <w:name w:val="heading 2"/>
    <w:basedOn w:val="Normal"/>
    <w:next w:val="Normal"/>
    <w:link w:val="Heading2Char"/>
    <w:uiPriority w:val="9"/>
    <w:unhideWhenUsed/>
    <w:qFormat/>
    <w:rsid w:val="00FC693F"/>
    <w:pPr>
      <w:keepNext/>
      <w:keepLines/>
      <w:spacing w:before="200" w:after="80"/>
      <w:jc w:val="left"/>
      <w:outlineLvl w:val="1"/>
    </w:pPr>
    <w:rPr>
      <w:rFonts w:asciiTheme="majorHAnsi" w:eastAsiaTheme="majorEastAsia" w:hAnsiTheme="majorHAnsi" w:cstheme="majorBidi" w:ascii="Times New Roman" w:hAnsi="Times New Roman"/>
      <w:b/>
      <w:bCs/>
      <w:i w:val="0"/>
      <w:color w:val="000000"/>
      <w:sz w:val="2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120"/>
      <w:jc w:val="center"/>
    </w:pPr>
    <w:rPr>
      <w:rFonts w:asciiTheme="majorHAnsi" w:eastAsiaTheme="majorEastAsia" w:hAnsiTheme="majorHAnsi" w:cstheme="majorBidi" w:ascii="Times New Roman" w:hAnsi="Times New Roman"/>
      <w:b/>
      <w:i w:val="0"/>
      <w:iCs/>
      <w:color w:val="000000"/>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ustomTitle">
    <w:name w:val="CustomTitle"/>
    <w:basedOn w:val="Normal"/>
    <w:pPr>
      <w:spacing w:after="120"/>
      <w:jc w:val="center"/>
    </w:pPr>
    <w:rPr>
      <w:rFonts w:ascii="Times New Roman" w:hAnsi="Times New Roman"/>
      <w:b/>
      <w:color w:val="000000"/>
      <w:sz w:val="28"/>
    </w:rPr>
  </w:style>
  <w:style w:type="paragraph" w:customStyle="1" w:styleId="TableCaption">
    <w:name w:val="TableCaption"/>
    <w:basedOn w:val="Normal"/>
    <w:pPr>
      <w:spacing w:before="160" w:after="40"/>
      <w:jc w:val="left"/>
    </w:pPr>
    <w:rPr>
      <w:rFonts w:ascii="Times New Roman" w:hAnsi="Times New Roman"/>
      <w:b/>
      <w:i w:val="0"/>
      <w:color w:val="000000"/>
      <w:sz w:val="20"/>
    </w:rPr>
  </w:style>
  <w:style w:type="paragraph" w:customStyle="1" w:styleId="TableNote">
    <w:name w:val="TableNote"/>
    <w:basedOn w:val="Normal"/>
    <w:pPr>
      <w:spacing w:before="40" w:after="160"/>
      <w:jc w:val="left"/>
    </w:pPr>
    <w:rPr>
      <w:rFonts w:ascii="Times New Roman" w:hAnsi="Times New Roman"/>
      <w:i/>
      <w:color w:val="000000"/>
      <w:sz w:val="18"/>
    </w:rPr>
  </w:style>
  <w:style w:type="paragraph" w:customStyle="1" w:styleId="RefEntry">
    <w:name w:val="RefEntry"/>
    <w:basedOn w:val="Normal"/>
    <w:pPr>
      <w:spacing w:after="60"/>
      <w:ind w:left="432" w:hanging="432"/>
      <w:jc w:val="left"/>
    </w:pPr>
    <w:rPr>
      <w:rFonts w:ascii="Times New Roman" w:hAnsi="Times New Roman"/>
      <w:color w:val="000000"/>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page</dc:title>
  <dc:subject>Title page</dc:subject>
  <dc:creator>Yermek Buribayev</dc:creator>
  <cp:keywords/>
  <dc:description/>
  <cp:lastModifiedBy>Yermek Buribayev</cp:lastModifiedBy>
  <cp:revision>1</cp:revision>
  <dcterms:created xsi:type="dcterms:W3CDTF">2013-12-23T23:15:00Z</dcterms:created>
  <dcterms:modified xsi:type="dcterms:W3CDTF">2013-12-23T23:15:00Z</dcterms:modified>
  <cp:category>Title page</cp:category>
</cp:coreProperties>
</file>