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ustomTitle"/>
      </w:pPr>
      <w:r>
        <w:rPr>
          <w:rFonts w:ascii="Times New Roman" w:hAnsi="Times New Roman"/>
          <w:b/>
          <w:sz w:val="28"/>
        </w:rPr>
        <w:t>Online Resource 1</w:t>
      </w:r>
    </w:p>
    <w:p>
      <w:pPr>
        <w:pStyle w:val="Subtitle"/>
      </w:pPr>
      <w:r>
        <w:rPr>
          <w:rFonts w:ascii="Times New Roman" w:hAnsi="Times New Roman"/>
          <w:b/>
          <w:sz w:val="24"/>
        </w:rPr>
        <w:t>Codebook, Extended Doctrinal Matrix, and Annual Panels</w:t>
      </w:r>
    </w:p>
    <w:p>
      <w:pPr>
        <w:jc w:val="both"/>
      </w:pPr>
      <w:r>
        <w:rPr>
          <w:b w:val="0"/>
        </w:rPr>
        <w:t>This supplementary file is submitted together with the manuscript. It provides the administrative codebook, the extended doctrinal matrix, and the annual panels underlying the descriptive tables reported in the main text.</w:t>
      </w:r>
    </w:p>
    <w:p>
      <w:pPr>
        <w:pStyle w:val="TableCaption"/>
      </w:pPr>
      <w:r>
        <w:t>Table S1. Administrative variables used in the study</w:t>
      </w:r>
    </w:p>
    <w:tbl>
      <w:tblPr>
        <w:tblStyle w:val="TableGrid"/>
        <w:tblW w:type="auto" w:w="0"/>
        <w:jc w:val="center"/>
        <w:tblLayout w:type="autofit"/>
        <w:tblLook w:firstColumn="1" w:firstRow="1" w:lastColumn="0" w:lastRow="0" w:noHBand="0" w:noVBand="1" w:val="04A0"/>
      </w:tblPr>
      <w:tblGrid>
        <w:gridCol w:w="3528"/>
        <w:gridCol w:w="3528"/>
        <w:gridCol w:w="3528"/>
        <w:gridCol w:w="3528"/>
      </w:tblGrid>
      <w:tr>
        <w:trPr>
          <w:tblHeader w:val="true"/>
        </w:trPr>
        <w:tc>
          <w:tcPr>
            <w:tcW w:type="dxa" w:w="2304"/>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6"/>
              </w:rPr>
              <w:t>Variable</w:t>
            </w:r>
          </w:p>
        </w:tc>
        <w:tc>
          <w:tcPr>
            <w:tcW w:type="dxa" w:w="5328"/>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6"/>
              </w:rPr>
              <w:t>Definition</w:t>
            </w:r>
          </w:p>
        </w:tc>
        <w:tc>
          <w:tcPr>
            <w:tcW w:type="dxa" w:w="1872"/>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Unit/Values</w:t>
            </w:r>
          </w:p>
        </w:tc>
        <w:tc>
          <w:tcPr>
            <w:tcW w:type="dxa" w:w="5760"/>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6"/>
              </w:rPr>
              <w:t>Source &amp; notes</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Year</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Calendar year of observation (coverage intended: 2011–2024)</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YYYY</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Administrative reporting year; align with table snapshot year and extraction date</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Denomination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Denominational label used in official registers (admin taxonomy)</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Categorical (see Table 1)</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Follows the competent authority’s taxonomy; 'Other' aggregates remaining denominations</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Associations_n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Registered religious associations (by denomination; total in Table 1)</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Count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Official administrative register of religious associations (end-year snapshot)</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Institutions_n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Registered spiritual/religious education institutions (by tradition)</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Count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Official register of spiritual/religious educational institutions</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Enrolment_n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Students enrolled in spiritual/religious education institutions</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Count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Administrative education aggregates (end-year snapshot)</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Administrative cases under Art. 489 (unregistered associations/leadership/financing)</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Committee of Legal Statistics, Form 1-AD</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Administrative cases under Art. 490 (violations of legislation on religious activity/associations)</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Committee of Legal Statistics, Form 1-AD</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Adm489_warn_n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Warnings issued under Art. 489 (if reported)</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Form 1-AD; if unavailable, mark n/a and omit shares</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Adm490_warn_n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Warnings issued under Art. 490 (if reported)</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Form 1-AD; if unavailable, mark n/a and omit shares</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Adm489_fine_n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Fines imposed under Art. 489 (if reported)</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Form 1-AD; if unavailable, mark n/a</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Adm490_fine_n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Fines imposed under Art. 490 (if reported)</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Form 1-AD; if unavailable, mark n/a</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Adm489_warn_share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Warnings / Adm489_n</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Ratio</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Computed if Adm489_warn_n available; otherwise n/a</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Adm490_warn_share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Warnings / Adm490_n</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Ratio</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Computed if Adm490_warn_n available; otherwise n/a</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Adm489_fine_share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Fines / Adm489_n</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Ratio</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Computed if Adm489_fine_n available; otherwise n/a</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Adm490_fine_share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Fines / Adm490_n</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Ratio</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Computed if Adm490_fine_n available; otherwise n/a</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Adm489_per100assoc</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Adm489_n / Associations_n × 100</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Rate per 100 associations</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Derived indicator; descriptive, not causal</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Adm490_per100assoc</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Adm490_n / Associations_n × 100</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Rate per 100 associations</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Derived indicator; descriptive, not causal</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CC174_n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Criminal offences under Art. 174 (incitement of social/national/tribal/racial/class/religious discord)</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Committee of Legal Statistics, Form 1-M</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CC405_n</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Criminal offences under Art. 405 (organization/participation in banned associations)</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Cases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Committee of Legal Statistics, Form 1-M</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Population_midyear</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National population (mid-year)</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Count (n)</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Official mid-year totals (national statistical agency); use the same release as the observation year</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CC174_rate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CC174_n / Population_midyear × 100,000</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Rate per 100,000</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Derived from CC174_n and Population_midyear</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CC405_rate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CC405_n / Population_midyear × 100,000</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Rate per 100,000</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Derived from CC405_n and Population_midyear</w:t>
            </w:r>
          </w:p>
        </w:tc>
      </w:tr>
      <w:tr>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6"/>
              </w:rPr>
              <w:t>Extraction_date</w:t>
            </w:r>
          </w:p>
        </w:tc>
        <w:tc>
          <w:tcPr>
            <w:tcW w:type="dxa" w:w="5328"/>
            <w:vAlign w:val="center"/>
            <w:tcMar>
              <w:top w:w="80" w:type="dxa"/>
              <w:start w:w="90" w:type="dxa"/>
              <w:bottom w:w="80" w:type="dxa"/>
              <w:end w:w="90" w:type="dxa"/>
            </w:tcMar>
          </w:tcPr>
          <w:p>
            <w:pPr>
              <w:spacing w:after="0" w:before="0" w:line="240" w:lineRule="auto"/>
              <w:jc w:val="left"/>
            </w:pPr>
            <w:r>
              <w:rPr>
                <w:rFonts w:ascii="Times New Roman" w:hAnsi="Times New Roman"/>
                <w:sz w:val="16"/>
              </w:rPr>
              <w:t>Date of data extraction from administrative sources</w:t>
            </w:r>
          </w:p>
        </w:tc>
        <w:tc>
          <w:tcPr>
            <w:tcW w:type="dxa" w:w="1872"/>
            <w:vAlign w:val="center"/>
            <w:tcMar>
              <w:top w:w="80" w:type="dxa"/>
              <w:start w:w="90" w:type="dxa"/>
              <w:bottom w:w="80" w:type="dxa"/>
              <w:end w:w="90" w:type="dxa"/>
            </w:tcMar>
          </w:tcPr>
          <w:p>
            <w:pPr>
              <w:spacing w:after="0" w:before="0" w:line="240" w:lineRule="auto"/>
              <w:jc w:val="center"/>
            </w:pPr>
            <w:r>
              <w:rPr>
                <w:rFonts w:ascii="Times New Roman" w:hAnsi="Times New Roman"/>
                <w:sz w:val="16"/>
              </w:rPr>
              <w:t>YYYY-MM-DD</w:t>
            </w:r>
          </w:p>
        </w:tc>
        <w:tc>
          <w:tcPr>
            <w:tcW w:type="dxa" w:w="5760"/>
            <w:vAlign w:val="center"/>
            <w:tcMar>
              <w:top w:w="80" w:type="dxa"/>
              <w:start w:w="90" w:type="dxa"/>
              <w:bottom w:w="80" w:type="dxa"/>
              <w:end w:w="90" w:type="dxa"/>
            </w:tcMar>
          </w:tcPr>
          <w:p>
            <w:pPr>
              <w:spacing w:after="0" w:before="0" w:line="240" w:lineRule="auto"/>
              <w:jc w:val="left"/>
            </w:pPr>
            <w:r>
              <w:rPr>
                <w:rFonts w:ascii="Times New Roman" w:hAnsi="Times New Roman"/>
                <w:sz w:val="16"/>
              </w:rPr>
              <w:t>Record per table; e.g., 2024-12-15 for snapshot: 2024</w:t>
            </w:r>
          </w:p>
        </w:tc>
      </w:tr>
    </w:tbl>
    <w:p>
      <w:pPr>
        <w:pStyle w:val="TableNote"/>
      </w:pPr>
      <w:r>
        <w:t>Note. The variables support Tables 1–3 in the main text and the annual panels below. Where outcome structure is not publicly reported, the relevant cells are marked not available and are not imputed.</w:t>
      </w:r>
    </w:p>
    <w:p>
      <w:pPr>
        <w:pStyle w:val="TableCaption"/>
      </w:pPr>
      <w:r>
        <w:t>Table S2. Extended doctrinal test matrix</w:t>
      </w:r>
    </w:p>
    <w:tbl>
      <w:tblPr>
        <w:tblStyle w:val="TableGrid"/>
        <w:tblW w:type="auto" w:w="0"/>
        <w:jc w:val="center"/>
        <w:tblLayout w:type="autofit"/>
        <w:tblLook w:firstColumn="1" w:firstRow="1" w:lastColumn="0" w:lastRow="0" w:noHBand="0" w:noVBand="1" w:val="04A0"/>
      </w:tblPr>
      <w:tblGrid>
        <w:gridCol w:w="1764"/>
        <w:gridCol w:w="1764"/>
        <w:gridCol w:w="1764"/>
        <w:gridCol w:w="1764"/>
        <w:gridCol w:w="1764"/>
        <w:gridCol w:w="1764"/>
        <w:gridCol w:w="1764"/>
        <w:gridCol w:w="1764"/>
      </w:tblGrid>
      <w:tr>
        <w:trPr>
          <w:tblHeader w:val="true"/>
        </w:trPr>
        <w:tc>
          <w:tcPr>
            <w:tcW w:type="dxa" w:w="2736"/>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Norm / instrument</w:t>
            </w:r>
          </w:p>
        </w:tc>
        <w:tc>
          <w:tcPr>
            <w:tcW w:type="dxa" w:w="3024"/>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Legal basis</w:t>
            </w:r>
          </w:p>
        </w:tc>
        <w:tc>
          <w:tcPr>
            <w:tcW w:type="dxa" w:w="1152"/>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Forum</w:t>
            </w:r>
          </w:p>
        </w:tc>
        <w:tc>
          <w:tcPr>
            <w:tcW w:type="dxa" w:w="2016"/>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Legitimate aim</w:t>
            </w:r>
          </w:p>
        </w:tc>
        <w:tc>
          <w:tcPr>
            <w:tcW w:type="dxa" w:w="2304"/>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Foreseeability</w:t>
            </w:r>
          </w:p>
        </w:tc>
        <w:tc>
          <w:tcPr>
            <w:tcW w:type="dxa" w:w="2016"/>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Safeguards</w:t>
            </w:r>
          </w:p>
        </w:tc>
        <w:tc>
          <w:tcPr>
            <w:tcW w:type="dxa" w:w="2592"/>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Less-restrictive alternative</w:t>
            </w:r>
          </w:p>
        </w:tc>
        <w:tc>
          <w:tcPr>
            <w:tcW w:type="dxa" w:w="1440"/>
            <w:vAlign w:val="center"/>
            <w:tcMar>
              <w:top w:w="80" w:type="dxa"/>
              <w:start w:w="90" w:type="dxa"/>
              <w:bottom w:w="80" w:type="dxa"/>
              <w:end w:w="90" w:type="dxa"/>
            </w:tcMar>
            <w:shd w:fill="EDEDED"/>
          </w:tcPr>
          <w:p>
            <w:pPr>
              <w:spacing w:after="0" w:before="0" w:line="240" w:lineRule="auto"/>
              <w:jc w:val="left"/>
            </w:pPr>
            <w:r>
              <w:rPr>
                <w:rFonts w:ascii="Times New Roman" w:hAnsi="Times New Roman"/>
                <w:b/>
                <w:sz w:val="15"/>
              </w:rPr>
              <w:t>Overall assessment</w:t>
            </w:r>
          </w:p>
        </w:tc>
      </w:tr>
      <w:tr>
        <w:tc>
          <w:tcPr>
            <w:tcW w:type="dxa" w:w="2736"/>
            <w:vAlign w:val="center"/>
            <w:tcMar>
              <w:top w:w="80" w:type="dxa"/>
              <w:start w:w="90" w:type="dxa"/>
              <w:bottom w:w="80" w:type="dxa"/>
              <w:end w:w="90" w:type="dxa"/>
            </w:tcMar>
          </w:tcPr>
          <w:p>
            <w:pPr>
              <w:spacing w:after="0" w:before="0" w:line="240" w:lineRule="auto"/>
              <w:jc w:val="left"/>
            </w:pPr>
            <w:r>
              <w:rPr>
                <w:rFonts w:ascii="Times New Roman" w:hAnsi="Times New Roman"/>
                <w:sz w:val="15"/>
              </w:rPr>
              <w:t>Registration of religious associations (requirements/procedure)</w:t>
            </w:r>
          </w:p>
        </w:tc>
        <w:tc>
          <w:tcPr>
            <w:tcW w:type="dxa" w:w="3024"/>
            <w:vAlign w:val="center"/>
            <w:tcMar>
              <w:top w:w="80" w:type="dxa"/>
              <w:start w:w="90" w:type="dxa"/>
              <w:bottom w:w="80" w:type="dxa"/>
              <w:end w:w="90" w:type="dxa"/>
            </w:tcMar>
          </w:tcPr>
          <w:p>
            <w:pPr>
              <w:spacing w:after="0" w:before="0" w:line="240" w:lineRule="auto"/>
              <w:jc w:val="left"/>
            </w:pPr>
            <w:r>
              <w:rPr>
                <w:rFonts w:ascii="Times New Roman" w:hAnsi="Times New Roman"/>
                <w:sz w:val="15"/>
              </w:rPr>
              <w:t>2011 Religion Law (registration chapters; as amended); implementing by-laws</w:t>
            </w:r>
          </w:p>
        </w:tc>
        <w:tc>
          <w:tcPr>
            <w:tcW w:type="dxa" w:w="1152"/>
            <w:vAlign w:val="center"/>
            <w:tcMar>
              <w:top w:w="80" w:type="dxa"/>
              <w:start w:w="90" w:type="dxa"/>
              <w:bottom w:w="80" w:type="dxa"/>
              <w:end w:w="90" w:type="dxa"/>
            </w:tcMar>
          </w:tcPr>
          <w:p>
            <w:pPr>
              <w:spacing w:after="0" w:before="0" w:line="240" w:lineRule="auto"/>
              <w:jc w:val="left"/>
            </w:pPr>
            <w:r>
              <w:rPr>
                <w:rFonts w:ascii="Times New Roman" w:hAnsi="Times New Roman"/>
                <w:sz w:val="15"/>
              </w:rPr>
              <w:t>externum</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public order; rights of others</w:t>
            </w:r>
          </w:p>
        </w:tc>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5"/>
              </w:rPr>
              <w:t>Medium (definitions/thresholds exist; application varies)</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Reason-giving; administrative/judicial review available</w:t>
            </w:r>
          </w:p>
        </w:tc>
        <w:tc>
          <w:tcPr>
            <w:tcW w:type="dxa" w:w="2592"/>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 / Not explicit (e.g., corrective periods/conditional registration not consistently discussed)</w:t>
            </w:r>
          </w:p>
        </w:tc>
        <w:tc>
          <w:tcPr>
            <w:tcW w:type="dxa" w:w="1440"/>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w:t>
            </w:r>
          </w:p>
        </w:tc>
      </w:tr>
      <w:tr>
        <w:tc>
          <w:tcPr>
            <w:tcW w:type="dxa" w:w="2736"/>
            <w:vAlign w:val="center"/>
            <w:tcMar>
              <w:top w:w="80" w:type="dxa"/>
              <w:start w:w="90" w:type="dxa"/>
              <w:bottom w:w="80" w:type="dxa"/>
              <w:end w:w="90" w:type="dxa"/>
            </w:tcMar>
          </w:tcPr>
          <w:p>
            <w:pPr>
              <w:spacing w:after="0" w:before="0" w:line="240" w:lineRule="auto"/>
              <w:jc w:val="left"/>
            </w:pPr>
            <w:r>
              <w:rPr>
                <w:rFonts w:ascii="Times New Roman" w:hAnsi="Times New Roman"/>
                <w:sz w:val="15"/>
              </w:rPr>
              <w:t>Missionary activity authorization (permit rule)</w:t>
            </w:r>
          </w:p>
        </w:tc>
        <w:tc>
          <w:tcPr>
            <w:tcW w:type="dxa" w:w="3024"/>
            <w:vAlign w:val="center"/>
            <w:tcMar>
              <w:top w:w="80" w:type="dxa"/>
              <w:start w:w="90" w:type="dxa"/>
              <w:bottom w:w="80" w:type="dxa"/>
              <w:end w:w="90" w:type="dxa"/>
            </w:tcMar>
          </w:tcPr>
          <w:p>
            <w:pPr>
              <w:spacing w:after="0" w:before="0" w:line="240" w:lineRule="auto"/>
              <w:jc w:val="left"/>
            </w:pPr>
            <w:r>
              <w:rPr>
                <w:rFonts w:ascii="Times New Roman" w:hAnsi="Times New Roman"/>
                <w:sz w:val="15"/>
              </w:rPr>
              <w:t>2011 Religion Law (relevant provisions); implementing by-laws</w:t>
            </w:r>
          </w:p>
        </w:tc>
        <w:tc>
          <w:tcPr>
            <w:tcW w:type="dxa" w:w="1152"/>
            <w:vAlign w:val="center"/>
            <w:tcMar>
              <w:top w:w="80" w:type="dxa"/>
              <w:start w:w="90" w:type="dxa"/>
              <w:bottom w:w="80" w:type="dxa"/>
              <w:end w:w="90" w:type="dxa"/>
            </w:tcMar>
          </w:tcPr>
          <w:p>
            <w:pPr>
              <w:spacing w:after="0" w:before="0" w:line="240" w:lineRule="auto"/>
              <w:jc w:val="left"/>
            </w:pPr>
            <w:r>
              <w:rPr>
                <w:rFonts w:ascii="Times New Roman" w:hAnsi="Times New Roman"/>
                <w:sz w:val="15"/>
              </w:rPr>
              <w:t>externum</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public order; rights of others</w:t>
            </w:r>
          </w:p>
        </w:tc>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5"/>
              </w:rPr>
              <w:t>Medium (criteria partially specified; private-space/application boundaries debated)</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Reasons given; admin/judicial review</w:t>
            </w:r>
          </w:p>
        </w:tc>
        <w:tc>
          <w:tcPr>
            <w:tcW w:type="dxa" w:w="2592"/>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 / Not explicit (time/place/manner rarely addressed in reasons)</w:t>
            </w:r>
          </w:p>
        </w:tc>
        <w:tc>
          <w:tcPr>
            <w:tcW w:type="dxa" w:w="1440"/>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w:t>
            </w:r>
          </w:p>
        </w:tc>
      </w:tr>
      <w:tr>
        <w:tc>
          <w:tcPr>
            <w:tcW w:type="dxa" w:w="2736"/>
            <w:vAlign w:val="center"/>
            <w:tcMar>
              <w:top w:w="80" w:type="dxa"/>
              <w:start w:w="90" w:type="dxa"/>
              <w:bottom w:w="80" w:type="dxa"/>
              <w:end w:w="90" w:type="dxa"/>
            </w:tcMar>
          </w:tcPr>
          <w:p>
            <w:pPr>
              <w:spacing w:after="0" w:before="0" w:line="240" w:lineRule="auto"/>
              <w:jc w:val="left"/>
            </w:pPr>
            <w:r>
              <w:rPr>
                <w:rFonts w:ascii="Times New Roman" w:hAnsi="Times New Roman"/>
                <w:sz w:val="15"/>
              </w:rPr>
              <w:t>Distribution of religious literature outside designated venues</w:t>
            </w:r>
          </w:p>
        </w:tc>
        <w:tc>
          <w:tcPr>
            <w:tcW w:type="dxa" w:w="3024"/>
            <w:vAlign w:val="center"/>
            <w:tcMar>
              <w:top w:w="80" w:type="dxa"/>
              <w:start w:w="90" w:type="dxa"/>
              <w:bottom w:w="80" w:type="dxa"/>
              <w:end w:w="90" w:type="dxa"/>
            </w:tcMar>
          </w:tcPr>
          <w:p>
            <w:pPr>
              <w:spacing w:after="0" w:before="0" w:line="240" w:lineRule="auto"/>
              <w:jc w:val="left"/>
            </w:pPr>
            <w:r>
              <w:rPr>
                <w:rFonts w:ascii="Times New Roman" w:hAnsi="Times New Roman"/>
                <w:sz w:val="15"/>
              </w:rPr>
              <w:t>2011 Religion Law; by-law on designated points / expert review</w:t>
            </w:r>
          </w:p>
        </w:tc>
        <w:tc>
          <w:tcPr>
            <w:tcW w:type="dxa" w:w="1152"/>
            <w:vAlign w:val="center"/>
            <w:tcMar>
              <w:top w:w="80" w:type="dxa"/>
              <w:start w:w="90" w:type="dxa"/>
              <w:bottom w:w="80" w:type="dxa"/>
              <w:end w:w="90" w:type="dxa"/>
            </w:tcMar>
          </w:tcPr>
          <w:p>
            <w:pPr>
              <w:spacing w:after="0" w:before="0" w:line="240" w:lineRule="auto"/>
              <w:jc w:val="left"/>
            </w:pPr>
            <w:r>
              <w:rPr>
                <w:rFonts w:ascii="Times New Roman" w:hAnsi="Times New Roman"/>
                <w:sz w:val="15"/>
              </w:rPr>
              <w:t>externum</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public order</w:t>
            </w:r>
          </w:p>
        </w:tc>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5"/>
              </w:rPr>
              <w:t>Low–Medium (publication/exhaustiveness of venue lists; clarity of “designated” scope)</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Seizure/return rules; review</w:t>
            </w:r>
          </w:p>
        </w:tc>
        <w:tc>
          <w:tcPr>
            <w:tcW w:type="dxa" w:w="2592"/>
            <w:vAlign w:val="center"/>
            <w:tcMar>
              <w:top w:w="80" w:type="dxa"/>
              <w:start w:w="90" w:type="dxa"/>
              <w:bottom w:w="80" w:type="dxa"/>
              <w:end w:w="90" w:type="dxa"/>
            </w:tcMar>
          </w:tcPr>
          <w:p>
            <w:pPr>
              <w:spacing w:after="0" w:before="0" w:line="240" w:lineRule="auto"/>
              <w:jc w:val="left"/>
            </w:pPr>
            <w:r>
              <w:rPr>
                <w:rFonts w:ascii="Times New Roman" w:hAnsi="Times New Roman"/>
                <w:sz w:val="15"/>
              </w:rPr>
              <w:t>No / Not shown (alternatives to seizure/destruction seldom reasoned)</w:t>
            </w:r>
          </w:p>
        </w:tc>
        <w:tc>
          <w:tcPr>
            <w:tcW w:type="dxa" w:w="1440"/>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 (case-dependent: Partially / Does not)</w:t>
            </w:r>
          </w:p>
        </w:tc>
      </w:tr>
      <w:tr>
        <w:tc>
          <w:tcPr>
            <w:tcW w:type="dxa" w:w="2736"/>
            <w:vAlign w:val="center"/>
            <w:tcMar>
              <w:top w:w="80" w:type="dxa"/>
              <w:start w:w="90" w:type="dxa"/>
              <w:bottom w:w="80" w:type="dxa"/>
              <w:end w:w="90" w:type="dxa"/>
            </w:tcMar>
          </w:tcPr>
          <w:p>
            <w:pPr>
              <w:spacing w:after="0" w:before="0" w:line="240" w:lineRule="auto"/>
              <w:jc w:val="left"/>
            </w:pPr>
            <w:r>
              <w:rPr>
                <w:rFonts w:ascii="Times New Roman" w:hAnsi="Times New Roman"/>
                <w:sz w:val="15"/>
              </w:rPr>
              <w:t>Public religious events (notification/permit)</w:t>
            </w:r>
          </w:p>
        </w:tc>
        <w:tc>
          <w:tcPr>
            <w:tcW w:type="dxa" w:w="3024"/>
            <w:vAlign w:val="center"/>
            <w:tcMar>
              <w:top w:w="80" w:type="dxa"/>
              <w:start w:w="90" w:type="dxa"/>
              <w:bottom w:w="80" w:type="dxa"/>
              <w:end w:w="90" w:type="dxa"/>
            </w:tcMar>
          </w:tcPr>
          <w:p>
            <w:pPr>
              <w:spacing w:after="0" w:before="0" w:line="240" w:lineRule="auto"/>
              <w:jc w:val="left"/>
            </w:pPr>
            <w:r>
              <w:rPr>
                <w:rFonts w:ascii="Times New Roman" w:hAnsi="Times New Roman"/>
                <w:sz w:val="15"/>
              </w:rPr>
              <w:t>By-law under the 2011 Law (assembly/public events regulation)</w:t>
            </w:r>
          </w:p>
        </w:tc>
        <w:tc>
          <w:tcPr>
            <w:tcW w:type="dxa" w:w="1152"/>
            <w:vAlign w:val="center"/>
            <w:tcMar>
              <w:top w:w="80" w:type="dxa"/>
              <w:start w:w="90" w:type="dxa"/>
              <w:bottom w:w="80" w:type="dxa"/>
              <w:end w:w="90" w:type="dxa"/>
            </w:tcMar>
          </w:tcPr>
          <w:p>
            <w:pPr>
              <w:spacing w:after="0" w:before="0" w:line="240" w:lineRule="auto"/>
              <w:jc w:val="left"/>
            </w:pPr>
            <w:r>
              <w:rPr>
                <w:rFonts w:ascii="Times New Roman" w:hAnsi="Times New Roman"/>
                <w:sz w:val="15"/>
              </w:rPr>
              <w:t>externum</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public safety; public order</w:t>
            </w:r>
          </w:p>
        </w:tc>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5"/>
              </w:rPr>
              <w:t>Medium–High (thresholds/procedures defined; application of grounds varies)</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Notice; reasons; appeal/judicial review</w:t>
            </w:r>
          </w:p>
        </w:tc>
        <w:tc>
          <w:tcPr>
            <w:tcW w:type="dxa" w:w="2592"/>
            <w:vAlign w:val="center"/>
            <w:tcMar>
              <w:top w:w="80" w:type="dxa"/>
              <w:start w:w="90" w:type="dxa"/>
              <w:bottom w:w="80" w:type="dxa"/>
              <w:end w:w="90" w:type="dxa"/>
            </w:tcMar>
          </w:tcPr>
          <w:p>
            <w:pPr>
              <w:spacing w:after="0" w:before="0" w:line="240" w:lineRule="auto"/>
              <w:jc w:val="left"/>
            </w:pPr>
            <w:r>
              <w:rPr>
                <w:rFonts w:ascii="Times New Roman" w:hAnsi="Times New Roman"/>
                <w:sz w:val="15"/>
              </w:rPr>
              <w:t>Sometimes (route/venue adjustments considered unevenly)</w:t>
            </w:r>
          </w:p>
        </w:tc>
        <w:tc>
          <w:tcPr>
            <w:tcW w:type="dxa" w:w="1440"/>
            <w:vAlign w:val="center"/>
            <w:tcMar>
              <w:top w:w="80" w:type="dxa"/>
              <w:start w:w="90" w:type="dxa"/>
              <w:bottom w:w="80" w:type="dxa"/>
              <w:end w:w="90" w:type="dxa"/>
            </w:tcMar>
          </w:tcPr>
          <w:p>
            <w:pPr>
              <w:spacing w:after="0" w:before="0" w:line="240" w:lineRule="auto"/>
              <w:jc w:val="left"/>
            </w:pPr>
            <w:r>
              <w:rPr>
                <w:rFonts w:ascii="Times New Roman" w:hAnsi="Times New Roman"/>
                <w:sz w:val="15"/>
              </w:rPr>
              <w:t>Complies / Partially (case-dependent)</w:t>
            </w:r>
          </w:p>
        </w:tc>
      </w:tr>
      <w:tr>
        <w:tc>
          <w:tcPr>
            <w:tcW w:type="dxa" w:w="2736"/>
            <w:vAlign w:val="center"/>
            <w:tcMar>
              <w:top w:w="80" w:type="dxa"/>
              <w:start w:w="90" w:type="dxa"/>
              <w:bottom w:w="80" w:type="dxa"/>
              <w:end w:w="90" w:type="dxa"/>
            </w:tcMar>
          </w:tcPr>
          <w:p>
            <w:pPr>
              <w:spacing w:after="0" w:before="0" w:line="240" w:lineRule="auto"/>
              <w:jc w:val="left"/>
            </w:pPr>
            <w:r>
              <w:rPr>
                <w:rFonts w:ascii="Times New Roman" w:hAnsi="Times New Roman"/>
                <w:sz w:val="15"/>
              </w:rPr>
              <w:t>Religious-education institutions (licensing/accreditation)</w:t>
            </w:r>
          </w:p>
        </w:tc>
        <w:tc>
          <w:tcPr>
            <w:tcW w:type="dxa" w:w="3024"/>
            <w:vAlign w:val="center"/>
            <w:tcMar>
              <w:top w:w="80" w:type="dxa"/>
              <w:start w:w="90" w:type="dxa"/>
              <w:bottom w:w="80" w:type="dxa"/>
              <w:end w:w="90" w:type="dxa"/>
            </w:tcMar>
          </w:tcPr>
          <w:p>
            <w:pPr>
              <w:spacing w:after="0" w:before="0" w:line="240" w:lineRule="auto"/>
              <w:jc w:val="left"/>
            </w:pPr>
            <w:r>
              <w:rPr>
                <w:rFonts w:ascii="Times New Roman" w:hAnsi="Times New Roman"/>
                <w:sz w:val="15"/>
              </w:rPr>
              <w:t>2011 Religion Law; education by-laws (licensing/attestation)</w:t>
            </w:r>
          </w:p>
        </w:tc>
        <w:tc>
          <w:tcPr>
            <w:tcW w:type="dxa" w:w="1152"/>
            <w:vAlign w:val="center"/>
            <w:tcMar>
              <w:top w:w="80" w:type="dxa"/>
              <w:start w:w="90" w:type="dxa"/>
              <w:bottom w:w="80" w:type="dxa"/>
              <w:end w:w="90" w:type="dxa"/>
            </w:tcMar>
          </w:tcPr>
          <w:p>
            <w:pPr>
              <w:spacing w:after="0" w:before="0" w:line="240" w:lineRule="auto"/>
              <w:jc w:val="left"/>
            </w:pPr>
            <w:r>
              <w:rPr>
                <w:rFonts w:ascii="Times New Roman" w:hAnsi="Times New Roman"/>
                <w:sz w:val="15"/>
              </w:rPr>
              <w:t>externum</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rights of others; public order</w:t>
            </w:r>
          </w:p>
        </w:tc>
        <w:tc>
          <w:tcPr>
            <w:tcW w:type="dxa" w:w="2304"/>
            <w:vAlign w:val="center"/>
            <w:tcMar>
              <w:top w:w="80" w:type="dxa"/>
              <w:start w:w="90" w:type="dxa"/>
              <w:bottom w:w="80" w:type="dxa"/>
              <w:end w:w="90" w:type="dxa"/>
            </w:tcMar>
          </w:tcPr>
          <w:p>
            <w:pPr>
              <w:spacing w:after="0" w:before="0" w:line="240" w:lineRule="auto"/>
              <w:jc w:val="left"/>
            </w:pPr>
            <w:r>
              <w:rPr>
                <w:rFonts w:ascii="Times New Roman" w:hAnsi="Times New Roman"/>
                <w:sz w:val="15"/>
              </w:rPr>
              <w:t>Medium (terminology/criteria harmonization needed)</w:t>
            </w:r>
          </w:p>
        </w:tc>
        <w:tc>
          <w:tcPr>
            <w:tcW w:type="dxa" w:w="2016"/>
            <w:vAlign w:val="center"/>
            <w:tcMar>
              <w:top w:w="80" w:type="dxa"/>
              <w:start w:w="90" w:type="dxa"/>
              <w:bottom w:w="80" w:type="dxa"/>
              <w:end w:w="90" w:type="dxa"/>
            </w:tcMar>
          </w:tcPr>
          <w:p>
            <w:pPr>
              <w:spacing w:after="0" w:before="0" w:line="240" w:lineRule="auto"/>
              <w:jc w:val="left"/>
            </w:pPr>
            <w:r>
              <w:rPr>
                <w:rFonts w:ascii="Times New Roman" w:hAnsi="Times New Roman"/>
                <w:sz w:val="15"/>
              </w:rPr>
              <w:t>Reason-giving; review; non-discrimination clause</w:t>
            </w:r>
          </w:p>
        </w:tc>
        <w:tc>
          <w:tcPr>
            <w:tcW w:type="dxa" w:w="2592"/>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 (conditional licensing/rectification windows variably used)</w:t>
            </w:r>
          </w:p>
        </w:tc>
        <w:tc>
          <w:tcPr>
            <w:tcW w:type="dxa" w:w="1440"/>
            <w:vAlign w:val="center"/>
            <w:tcMar>
              <w:top w:w="80" w:type="dxa"/>
              <w:start w:w="90" w:type="dxa"/>
              <w:bottom w:w="80" w:type="dxa"/>
              <w:end w:w="90" w:type="dxa"/>
            </w:tcMar>
          </w:tcPr>
          <w:p>
            <w:pPr>
              <w:spacing w:after="0" w:before="0" w:line="240" w:lineRule="auto"/>
              <w:jc w:val="left"/>
            </w:pPr>
            <w:r>
              <w:rPr>
                <w:rFonts w:ascii="Times New Roman" w:hAnsi="Times New Roman"/>
                <w:sz w:val="15"/>
              </w:rPr>
              <w:t>Partially</w:t>
            </w:r>
          </w:p>
        </w:tc>
      </w:tr>
    </w:tbl>
    <w:p>
      <w:pPr>
        <w:pStyle w:val="TableNote"/>
      </w:pPr>
      <w:r>
        <w:t>Scoring note. Foreseeability, safeguards, and less-restrictive alternatives are each coded on a 0–2 scale and then condensed into the qualitative assessments used in the main text.</w:t>
      </w:r>
    </w:p>
    <w:p>
      <w:pPr>
        <w:pStyle w:val="TableCaption"/>
      </w:pPr>
      <w:r>
        <w:t>Table S3. Registered associations by denomination, annual totals (2011–2024)</w:t>
      </w:r>
    </w:p>
    <w:tbl>
      <w:tblPr>
        <w:tblStyle w:val="TableGrid"/>
        <w:tblW w:type="auto" w:w="0"/>
        <w:jc w:val="center"/>
        <w:tblLayout w:type="autofit"/>
        <w:tblLook w:firstColumn="1" w:firstRow="1" w:lastColumn="0" w:lastRow="0" w:noHBand="0" w:noVBand="1" w:val="04A0"/>
      </w:tblPr>
      <w:tblGrid>
        <w:gridCol w:w="1568"/>
        <w:gridCol w:w="1568"/>
        <w:gridCol w:w="1568"/>
        <w:gridCol w:w="1568"/>
        <w:gridCol w:w="1568"/>
        <w:gridCol w:w="1568"/>
        <w:gridCol w:w="1568"/>
        <w:gridCol w:w="1568"/>
        <w:gridCol w:w="1568"/>
      </w:tblGrid>
      <w:tr>
        <w:trPr>
          <w:tblHeader w:val="true"/>
        </w:trPr>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Year</w:t>
            </w:r>
          </w:p>
        </w:tc>
        <w:tc>
          <w:tcPr>
            <w:tcW w:type="dxa" w:w="1440"/>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Islamic</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Orthodox</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Catholic</w:t>
            </w:r>
          </w:p>
        </w:tc>
        <w:tc>
          <w:tcPr>
            <w:tcW w:type="dxa" w:w="1440"/>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Protestant</w:t>
            </w:r>
          </w:p>
        </w:tc>
        <w:tc>
          <w:tcPr>
            <w:tcW w:type="dxa" w:w="1584"/>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Jehovah’s Witnesses</w:t>
            </w:r>
          </w:p>
        </w:tc>
        <w:tc>
          <w:tcPr>
            <w:tcW w:type="dxa" w:w="1584"/>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New Apostolic Church</w:t>
            </w:r>
          </w:p>
        </w:tc>
        <w:tc>
          <w:tcPr>
            <w:tcW w:type="dxa" w:w="1440"/>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Other (aggregate)</w:t>
            </w:r>
          </w:p>
        </w:tc>
        <w:tc>
          <w:tcPr>
            <w:tcW w:type="dxa" w:w="1440"/>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5"/>
              </w:rPr>
              <w:t>Total</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3 194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408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103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710</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72</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4 551</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2 169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277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70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481</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49</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19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3 088</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2 169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277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70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481</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49</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19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3 088</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2 388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305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77</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530</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53</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26</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3 400</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2 453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313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79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544</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55</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27</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3 493</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2016†</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2 512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320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81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558</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56</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27</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3 576</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2017†</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2 568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328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82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571</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58</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28</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3 658</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2018†</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2 607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332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84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578</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58</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28</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3 710</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2019†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2 647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338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85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588</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59</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3 770</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2020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2 680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342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86</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595</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60</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3 816</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2021†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2 721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333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89</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563</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59</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3 818</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2022†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2 797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342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92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578</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60</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3 924</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2023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2 835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347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93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586</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61</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3 977</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2024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2 858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347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5"/>
              </w:rPr>
              <w:t>91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592</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57</w:t>
            </w:r>
          </w:p>
        </w:tc>
        <w:tc>
          <w:tcPr>
            <w:tcW w:type="dxa" w:w="1584"/>
            <w:vAlign w:val="center"/>
            <w:tcMar>
              <w:top w:w="80" w:type="dxa"/>
              <w:start w:w="90" w:type="dxa"/>
              <w:bottom w:w="80" w:type="dxa"/>
              <w:end w:w="90" w:type="dxa"/>
            </w:tcMar>
          </w:tcPr>
          <w:p>
            <w:pPr>
              <w:spacing w:after="0" w:before="0" w:line="240" w:lineRule="auto"/>
              <w:jc w:val="center"/>
            </w:pPr>
            <w:r>
              <w:rPr>
                <w:rFonts w:ascii="Times New Roman" w:hAnsi="Times New Roman"/>
                <w:sz w:val="15"/>
              </w:rPr>
              <w:t>24</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31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5"/>
              </w:rPr>
              <w:t>4 000</w:t>
            </w:r>
          </w:p>
        </w:tc>
      </w:tr>
    </w:tbl>
    <w:p>
      <w:pPr>
        <w:pStyle w:val="TableNote"/>
      </w:pPr>
      <w:r>
        <w:t>Source. Annual end-of-year snapshots of the official administrative register of religious associations. The sharp decline between 2011 and 2012 reflects the re-registration and consolidation effects of the 2011 Law. The 2024 total has been arithmetically recalculated from the denominational counts reported in the compiled dataset.</w:t>
      </w:r>
    </w:p>
    <w:p>
      <w:pPr>
        <w:pStyle w:val="TableCaption"/>
      </w:pPr>
      <w:r>
        <w:t>Table S4. Enforcement counts by article (Arts. 489, 490, 174, 405), annual totals (2011–2024)</w:t>
      </w:r>
    </w:p>
    <w:tbl>
      <w:tblPr>
        <w:tblStyle w:val="TableGrid"/>
        <w:tblW w:type="auto" w:w="0"/>
        <w:jc w:val="center"/>
        <w:tblLayout w:type="autofit"/>
        <w:tblLook w:firstColumn="1" w:firstRow="1" w:lastColumn="0" w:lastRow="0" w:noHBand="0" w:noVBand="1" w:val="04A0"/>
      </w:tblPr>
      <w:tblGrid>
        <w:gridCol w:w="1568"/>
        <w:gridCol w:w="1568"/>
        <w:gridCol w:w="1568"/>
        <w:gridCol w:w="1568"/>
        <w:gridCol w:w="1568"/>
        <w:gridCol w:w="1568"/>
        <w:gridCol w:w="1568"/>
        <w:gridCol w:w="1568"/>
        <w:gridCol w:w="1568"/>
      </w:tblGrid>
      <w:tr>
        <w:trPr>
          <w:tblHeader w:val="true"/>
        </w:trPr>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Year</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Adm489_n</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Adm490_n</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CC174_n</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CC405_n</w:t>
            </w:r>
          </w:p>
        </w:tc>
        <w:tc>
          <w:tcPr>
            <w:tcW w:type="dxa" w:w="1440"/>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Warnings_489</w:t>
            </w:r>
          </w:p>
        </w:tc>
        <w:tc>
          <w:tcPr>
            <w:tcW w:type="dxa" w:w="1440"/>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Warnings_490</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Fines_489</w:t>
            </w:r>
          </w:p>
        </w:tc>
        <w:tc>
          <w:tcPr>
            <w:tcW w:type="dxa" w:w="1296"/>
            <w:vAlign w:val="center"/>
            <w:tcMar>
              <w:top w:w="80" w:type="dxa"/>
              <w:start w:w="90" w:type="dxa"/>
              <w:bottom w:w="80" w:type="dxa"/>
              <w:end w:w="90" w:type="dxa"/>
            </w:tcMar>
            <w:shd w:fill="EDEDED"/>
          </w:tcPr>
          <w:p>
            <w:pPr>
              <w:spacing w:after="0" w:before="0" w:line="240" w:lineRule="auto"/>
              <w:jc w:val="center"/>
            </w:pPr>
            <w:r>
              <w:rPr>
                <w:rFonts w:ascii="Times New Roman" w:hAnsi="Times New Roman"/>
                <w:b/>
                <w:sz w:val="16"/>
              </w:rPr>
              <w:t>Fines_490</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162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159</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173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170</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189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185</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237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18</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232</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74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270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82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73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265</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2016</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80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292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151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6</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79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286</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115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422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1039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63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114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359</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253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300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25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67</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228</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2019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249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25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66</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224</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2020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198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150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30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168</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2021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191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100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50</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10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181</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2022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58</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213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80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45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3</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21</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55</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192</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2023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219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52</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12</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6</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33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186</w:t>
            </w:r>
          </w:p>
        </w:tc>
      </w:tr>
      <w:tr>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2024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60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219</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50</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15</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6</w:t>
            </w:r>
          </w:p>
        </w:tc>
        <w:tc>
          <w:tcPr>
            <w:tcW w:type="dxa" w:w="1440"/>
            <w:vAlign w:val="center"/>
            <w:tcMar>
              <w:top w:w="80" w:type="dxa"/>
              <w:start w:w="90" w:type="dxa"/>
              <w:bottom w:w="80" w:type="dxa"/>
              <w:end w:w="90" w:type="dxa"/>
            </w:tcMar>
          </w:tcPr>
          <w:p>
            <w:pPr>
              <w:spacing w:after="0" w:before="0" w:line="240" w:lineRule="auto"/>
              <w:jc w:val="center"/>
            </w:pPr>
            <w:r>
              <w:rPr>
                <w:rFonts w:ascii="Times New Roman" w:hAnsi="Times New Roman"/>
                <w:sz w:val="16"/>
              </w:rPr>
              <w:t>33</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54</w:t>
            </w:r>
          </w:p>
        </w:tc>
        <w:tc>
          <w:tcPr>
            <w:tcW w:type="dxa" w:w="1296"/>
            <w:vAlign w:val="center"/>
            <w:tcMar>
              <w:top w:w="80" w:type="dxa"/>
              <w:start w:w="90" w:type="dxa"/>
              <w:bottom w:w="80" w:type="dxa"/>
              <w:end w:w="90" w:type="dxa"/>
            </w:tcMar>
          </w:tcPr>
          <w:p>
            <w:pPr>
              <w:spacing w:after="0" w:before="0" w:line="240" w:lineRule="auto"/>
              <w:jc w:val="center"/>
            </w:pPr>
            <w:r>
              <w:rPr>
                <w:rFonts w:ascii="Times New Roman" w:hAnsi="Times New Roman"/>
                <w:sz w:val="16"/>
              </w:rPr>
              <w:t>186</w:t>
            </w:r>
          </w:p>
        </w:tc>
      </w:tr>
    </w:tbl>
    <w:p>
      <w:pPr>
        <w:pStyle w:val="TableNote"/>
      </w:pPr>
      <w:r>
        <w:t>Source. Committee on Legal Statistics and Special Records of the General Prosecutor’s Office of the Republic of Kazakhstan, Forms 1AD and 1M. The 2017 spike in Art. 174 is treated analytically as a potential recording or qualification breakpoint. The 2024 values remain provisional insofar as the latest release may not yet cover a full calendar year.</w:t>
      </w:r>
    </w:p>
    <w:sectPr w:rsidR="00FC693F" w:rsidRPr="0006063C" w:rsidSect="00034616">
      <w:footerReference w:type="default" r:id="rId9"/>
      <w:pgSz w:w="15840" w:h="12240" w:orient="landscape"/>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20"/>
      </w:rPr>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40" w:lineRule="auto"/>
      <w:jc w:val="both"/>
    </w:pPr>
    <w:rPr>
      <w:rFonts w:ascii="Times New Roman" w:hAnsi="Times New Roman"/>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jc w:val="left"/>
      <w:outlineLvl w:val="0"/>
    </w:pPr>
    <w:rPr>
      <w:rFonts w:asciiTheme="majorHAnsi" w:eastAsiaTheme="majorEastAsia" w:hAnsiTheme="majorHAnsi" w:cstheme="majorBidi" w:ascii="Times New Roman" w:hAnsi="Times New Roman"/>
      <w:b/>
      <w:bCs/>
      <w:i w:val="0"/>
      <w:color w:val="000000"/>
      <w:sz w:val="22"/>
      <w:szCs w:val="28"/>
    </w:rPr>
  </w:style>
  <w:style w:type="paragraph" w:styleId="Heading2">
    <w:name w:val="heading 2"/>
    <w:basedOn w:val="Normal"/>
    <w:next w:val="Normal"/>
    <w:link w:val="Heading2Char"/>
    <w:uiPriority w:val="9"/>
    <w:unhideWhenUsed/>
    <w:qFormat/>
    <w:rsid w:val="00FC693F"/>
    <w:pPr>
      <w:keepNext/>
      <w:keepLines/>
      <w:spacing w:before="200" w:after="80"/>
      <w:jc w:val="left"/>
      <w:outlineLvl w:val="1"/>
    </w:pPr>
    <w:rPr>
      <w:rFonts w:asciiTheme="majorHAnsi" w:eastAsiaTheme="majorEastAsia" w:hAnsiTheme="majorHAnsi" w:cstheme="majorBidi" w:ascii="Times New Roman" w:hAnsi="Times New Roman"/>
      <w:b/>
      <w:bCs/>
      <w:i w:val="0"/>
      <w:color w:val="000000"/>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20"/>
      <w:jc w:val="center"/>
    </w:pPr>
    <w:rPr>
      <w:rFonts w:asciiTheme="majorHAnsi" w:eastAsiaTheme="majorEastAsia" w:hAnsiTheme="majorHAnsi" w:cstheme="majorBidi" w:ascii="Times New Roman" w:hAnsi="Times New Roman"/>
      <w:b/>
      <w:i w:val="0"/>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ustomTitle">
    <w:name w:val="CustomTitle"/>
    <w:basedOn w:val="Normal"/>
    <w:pPr>
      <w:spacing w:after="120"/>
      <w:jc w:val="center"/>
    </w:pPr>
    <w:rPr>
      <w:rFonts w:ascii="Times New Roman" w:hAnsi="Times New Roman"/>
      <w:b/>
      <w:color w:val="000000"/>
      <w:sz w:val="28"/>
    </w:rPr>
  </w:style>
  <w:style w:type="paragraph" w:customStyle="1" w:styleId="TableCaption">
    <w:name w:val="TableCaption"/>
    <w:basedOn w:val="Normal"/>
    <w:pPr>
      <w:spacing w:before="160" w:after="40"/>
      <w:jc w:val="left"/>
    </w:pPr>
    <w:rPr>
      <w:rFonts w:ascii="Times New Roman" w:hAnsi="Times New Roman"/>
      <w:b/>
      <w:i w:val="0"/>
      <w:color w:val="000000"/>
      <w:sz w:val="20"/>
    </w:rPr>
  </w:style>
  <w:style w:type="paragraph" w:customStyle="1" w:styleId="TableNote">
    <w:name w:val="TableNote"/>
    <w:basedOn w:val="Normal"/>
    <w:pPr>
      <w:spacing w:before="40" w:after="160"/>
      <w:jc w:val="left"/>
    </w:pPr>
    <w:rPr>
      <w:rFonts w:ascii="Times New Roman" w:hAnsi="Times New Roman"/>
      <w:i/>
      <w:color w:val="000000"/>
      <w:sz w:val="18"/>
    </w:rPr>
  </w:style>
  <w:style w:type="paragraph" w:customStyle="1" w:styleId="RefEntry">
    <w:name w:val="RefEntry"/>
    <w:basedOn w:val="Normal"/>
    <w:pPr>
      <w:spacing w:after="60"/>
      <w:ind w:left="432" w:hanging="432"/>
      <w:jc w:val="left"/>
    </w:pPr>
    <w:rPr>
      <w:rFonts w:ascii="Times New Roman" w:hAnsi="Times New Roman"/>
      <w:color w:val="000000"/>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Resource 1</dc:title>
  <dc:subject>Supplementary information</dc:subject>
  <dc:creator>Anonymous</dc:creator>
  <cp:keywords/>
  <dc:description/>
  <cp:lastModifiedBy>Anonymous</cp:lastModifiedBy>
  <cp:revision>1</cp:revision>
  <dcterms:created xsi:type="dcterms:W3CDTF">2013-12-23T23:15:00Z</dcterms:created>
  <dcterms:modified xsi:type="dcterms:W3CDTF">2013-12-23T23:15:00Z</dcterms:modified>
  <cp:category>Supplementary information</cp:category>
</cp:coreProperties>
</file>