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sz w:val="28"/>
        </w:rPr>
        <w:t>Supplementary File S4. Data-Collection and Instructional Protocol</w:t>
      </w:r>
    </w:p>
    <w:p>
      <w:r>
        <w:t>This document describes the anonymised data-collection and instructional procedures used in the quasi-experimental study of generative-AI-supported Chinese L2 writing instruction.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AF7"/>
          </w:tcPr>
          <w:p>
            <w:r>
              <w:rPr>
                <w:b/>
              </w:rPr>
              <w:t>Component</w:t>
            </w:r>
          </w:p>
        </w:tc>
        <w:tc>
          <w:tcPr>
            <w:tcW w:type="dxa" w:w="4320"/>
            <w:shd w:fill="D9EAF7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  <w:vAlign w:val="center"/>
          </w:tcPr>
          <w:p>
            <w:r>
              <w:t>Design</w:t>
            </w:r>
          </w:p>
        </w:tc>
        <w:tc>
          <w:tcPr>
            <w:tcW w:type="dxa" w:w="4320"/>
            <w:vAlign w:val="center"/>
          </w:tcPr>
          <w:p>
            <w:r>
              <w:t>Quasi-experimental pre-test/post-test design with two pre-existing class sections.</w:t>
            </w:r>
          </w:p>
        </w:tc>
      </w:tr>
      <w:tr>
        <w:tc>
          <w:tcPr>
            <w:tcW w:type="dxa" w:w="4320"/>
            <w:vAlign w:val="center"/>
          </w:tcPr>
          <w:p>
            <w:r>
              <w:t>Participants</w:t>
            </w:r>
          </w:p>
        </w:tc>
        <w:tc>
          <w:tcPr>
            <w:tcW w:type="dxa" w:w="4320"/>
            <w:vAlign w:val="center"/>
          </w:tcPr>
          <w:p>
            <w:r>
              <w:t>Chinese as a second language learners enrolled in an advanced writing course; all had reached HSK Level 4.</w:t>
            </w:r>
          </w:p>
        </w:tc>
      </w:tr>
      <w:tr>
        <w:tc>
          <w:tcPr>
            <w:tcW w:type="dxa" w:w="4320"/>
            <w:vAlign w:val="center"/>
          </w:tcPr>
          <w:p>
            <w:r>
              <w:t>Groups</w:t>
            </w:r>
          </w:p>
        </w:tc>
        <w:tc>
          <w:tcPr>
            <w:tcW w:type="dxa" w:w="4320"/>
            <w:vAlign w:val="center"/>
          </w:tcPr>
          <w:p>
            <w:r>
              <w:t>Treatment group: teacher-facilitated ChatGPT-supported writing instruction. Comparison group: conventional writing instruction without AI support.</w:t>
            </w:r>
          </w:p>
        </w:tc>
      </w:tr>
      <w:tr>
        <w:tc>
          <w:tcPr>
            <w:tcW w:type="dxa" w:w="4320"/>
            <w:vAlign w:val="center"/>
          </w:tcPr>
          <w:p>
            <w:r>
              <w:t>Measurement points</w:t>
            </w:r>
          </w:p>
        </w:tc>
        <w:tc>
          <w:tcPr>
            <w:tcW w:type="dxa" w:w="4320"/>
            <w:vAlign w:val="center"/>
          </w:tcPr>
          <w:p>
            <w:r>
              <w:t>Engagement questionnaire administered before and after the instructional period.</w:t>
            </w:r>
          </w:p>
        </w:tc>
      </w:tr>
      <w:tr>
        <w:tc>
          <w:tcPr>
            <w:tcW w:type="dxa" w:w="4320"/>
            <w:vAlign w:val="center"/>
          </w:tcPr>
          <w:p>
            <w:r>
              <w:t>Engagement dimensions</w:t>
            </w:r>
          </w:p>
        </w:tc>
        <w:tc>
          <w:tcPr>
            <w:tcW w:type="dxa" w:w="4320"/>
            <w:vAlign w:val="center"/>
          </w:tcPr>
          <w:p>
            <w:r>
              <w:t>Behavioral engagement, emotional engagement, and cognitive engagement.</w:t>
            </w:r>
          </w:p>
        </w:tc>
      </w:tr>
      <w:tr>
        <w:tc>
          <w:tcPr>
            <w:tcW w:type="dxa" w:w="4320"/>
            <w:vAlign w:val="center"/>
          </w:tcPr>
          <w:p>
            <w:r>
              <w:t>Scale format</w:t>
            </w:r>
          </w:p>
        </w:tc>
        <w:tc>
          <w:tcPr>
            <w:tcW w:type="dxa" w:w="4320"/>
            <w:vAlign w:val="center"/>
          </w:tcPr>
          <w:p>
            <w:r>
              <w:t>Seven-point Likert-type response scale, from 1 = strongly disagree to 7 = strongly agree.</w:t>
            </w:r>
          </w:p>
        </w:tc>
      </w:tr>
      <w:tr>
        <w:tc>
          <w:tcPr>
            <w:tcW w:type="dxa" w:w="4320"/>
            <w:vAlign w:val="center"/>
          </w:tcPr>
          <w:p>
            <w:r>
              <w:t>Instructional cycle</w:t>
            </w:r>
          </w:p>
        </w:tc>
        <w:tc>
          <w:tcPr>
            <w:tcW w:type="dxa" w:w="4320"/>
            <w:vAlign w:val="center"/>
          </w:tcPr>
          <w:p>
            <w:r>
              <w:t>Reading-based writing tasks, first-week pen-and-paper drafting, second-week AI-supported feedback and revision for the treatment group.</w:t>
            </w:r>
          </w:p>
        </w:tc>
      </w:tr>
      <w:tr>
        <w:tc>
          <w:tcPr>
            <w:tcW w:type="dxa" w:w="4320"/>
            <w:vAlign w:val="center"/>
          </w:tcPr>
          <w:p>
            <w:r>
              <w:t>AI-use control</w:t>
            </w:r>
          </w:p>
        </w:tc>
        <w:tc>
          <w:tcPr>
            <w:tcW w:type="dxa" w:w="4320"/>
            <w:vAlign w:val="center"/>
          </w:tcPr>
          <w:p>
            <w:r>
              <w:t>Initial drafting was kept offline to reduce premature AI dependence. AI use was introduced after preliminary drafting and was guided by instructor-provided prompts.</w:t>
            </w:r>
          </w:p>
        </w:tc>
      </w:tr>
      <w:tr>
        <w:tc>
          <w:tcPr>
            <w:tcW w:type="dxa" w:w="4320"/>
            <w:vAlign w:val="center"/>
          </w:tcPr>
          <w:p>
            <w:r>
              <w:t>Data anonymisation</w:t>
            </w:r>
          </w:p>
        </w:tc>
        <w:tc>
          <w:tcPr>
            <w:tcW w:type="dxa" w:w="4320"/>
            <w:vAlign w:val="center"/>
          </w:tcPr>
          <w:p>
            <w:r>
              <w:t>Participant identifiers were recoded as P001–P082. No names, student IDs, email addresses, or contact information are included in the shared data.</w:t>
            </w:r>
          </w:p>
        </w:tc>
      </w:tr>
      <w:tr>
        <w:tc>
          <w:tcPr>
            <w:tcW w:type="dxa" w:w="4320"/>
            <w:vAlign w:val="center"/>
          </w:tcPr>
          <w:p>
            <w:r>
              <w:t>Analysis dataset</w:t>
            </w:r>
          </w:p>
        </w:tc>
        <w:tc>
          <w:tcPr>
            <w:tcW w:type="dxa" w:w="4320"/>
            <w:vAlign w:val="center"/>
          </w:tcPr>
          <w:p>
            <w:r>
              <w:t>Dimension scores were calculated as item means. Change scores were calculated as post-test score minus pre-test score.</w:t>
            </w:r>
          </w:p>
        </w:tc>
      </w:tr>
    </w:tbl>
    <w:p>
      <w:r>
        <w:t>Treatment-group procedure</w:t>
      </w:r>
    </w:p>
    <w:p>
      <w:pPr>
        <w:pStyle w:val="ListBullet"/>
      </w:pPr>
      <w:r>
        <w:t>Learners completed the baseline engagement questionnaire before the intervention.</w:t>
      </w:r>
    </w:p>
    <w:p>
      <w:pPr>
        <w:pStyle w:val="ListBullet"/>
      </w:pPr>
      <w:r>
        <w:t>Learners completed reading-based writing activities and drafted initial paragraphs without AI assistance.</w:t>
      </w:r>
    </w:p>
    <w:p>
      <w:pPr>
        <w:pStyle w:val="ListBullet"/>
      </w:pPr>
      <w:r>
        <w:t>Learners used ChatGPT during the revision phase to request feedback on grammatical accuracy, lexical appropriateness, coherence, and logical organization.</w:t>
      </w:r>
    </w:p>
    <w:p>
      <w:pPr>
        <w:pStyle w:val="ListBullet"/>
      </w:pPr>
      <w:r>
        <w:t>The instructor facilitated interpretation and verification of AI feedback and guided responsible revision.</w:t>
      </w:r>
    </w:p>
    <w:p>
      <w:pPr>
        <w:pStyle w:val="ListBullet"/>
      </w:pPr>
      <w:r>
        <w:t>Learners completed the post-test engagement questionnaire after the instructional period.</w:t>
      </w:r>
    </w:p>
    <w:p>
      <w:r>
        <w:t>Comparison-group procedure</w:t>
      </w:r>
    </w:p>
    <w:p>
      <w:pPr>
        <w:pStyle w:val="ListBullet"/>
      </w:pPr>
      <w:r>
        <w:t>Learners completed the same baseline and post-test engagement questionnaire.</w:t>
      </w:r>
    </w:p>
    <w:p>
      <w:pPr>
        <w:pStyle w:val="ListBullet"/>
      </w:pPr>
      <w:r>
        <w:t>Learners completed comparable writing tasks under conventional teacher-led instruction.</w:t>
      </w:r>
    </w:p>
    <w:p>
      <w:pPr>
        <w:pStyle w:val="ListBullet"/>
      </w:pPr>
      <w:r>
        <w:t>No ChatGPT-supported feedback procedure was included during the intervention period.</w:t>
      </w:r>
    </w:p>
    <w:p>
      <w:r>
        <w:t>Scoring and transformation rules</w:t>
      </w:r>
    </w:p>
    <w:p>
      <w:pPr>
        <w:pStyle w:val="ListBullet"/>
      </w:pPr>
      <w:r>
        <w:t>Behavioral engagement = mean of Items 1-4.</w:t>
      </w:r>
    </w:p>
    <w:p>
      <w:pPr>
        <w:pStyle w:val="ListBullet"/>
      </w:pPr>
      <w:r>
        <w:t>Cognitive engagement = mean of Items 5-9.</w:t>
      </w:r>
    </w:p>
    <w:p>
      <w:pPr>
        <w:pStyle w:val="ListBullet"/>
      </w:pPr>
      <w:r>
        <w:t>Emotional engagement = mean of Items 10-13.</w:t>
      </w:r>
    </w:p>
    <w:p>
      <w:pPr>
        <w:pStyle w:val="ListBullet"/>
      </w:pPr>
      <w:r>
        <w:t>No reverse scoring was applied in the current analysis.</w:t>
      </w:r>
    </w:p>
    <w:p>
      <w:pPr>
        <w:pStyle w:val="ListBullet"/>
      </w:pPr>
      <w:r>
        <w:t>Group was coded as Treatment = 1 and Comparison = 0 in the processed dataset.</w:t>
      </w:r>
    </w:p>
    <w:sect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