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B729" w14:textId="0FCAEE7C" w:rsidR="003661C2" w:rsidRPr="00E54F09" w:rsidRDefault="003661C2" w:rsidP="00EF6916">
      <w:pPr>
        <w:pStyle w:val="Caption"/>
        <w:ind w:left="-284"/>
        <w:rPr>
          <w:rFonts w:ascii="Times New Roman" w:hAnsi="Times New Roman" w:cs="Times New Roman"/>
          <w:b/>
          <w:sz w:val="20"/>
          <w:szCs w:val="20"/>
        </w:rPr>
      </w:pPr>
      <w:r w:rsidRPr="00623862">
        <w:rPr>
          <w:rFonts w:ascii="Times New Roman" w:hAnsi="Times New Roman" w:cs="Times New Roman"/>
          <w:b/>
          <w:bCs/>
          <w:sz w:val="20"/>
          <w:szCs w:val="20"/>
        </w:rPr>
        <w:t xml:space="preserve">Table </w:t>
      </w:r>
      <w:r w:rsidRPr="00623862">
        <w:rPr>
          <w:rFonts w:ascii="Times New Roman" w:hAnsi="Times New Roman" w:cs="Times New Roman"/>
          <w:b/>
          <w:bCs/>
          <w:sz w:val="20"/>
          <w:szCs w:val="20"/>
        </w:rPr>
        <w:fldChar w:fldCharType="begin"/>
      </w:r>
      <w:r w:rsidRPr="00623862">
        <w:rPr>
          <w:rFonts w:ascii="Times New Roman" w:hAnsi="Times New Roman" w:cs="Times New Roman"/>
          <w:b/>
          <w:bCs/>
          <w:sz w:val="20"/>
          <w:szCs w:val="20"/>
        </w:rPr>
        <w:instrText xml:space="preserve"> SEQ Table \* ARABIC </w:instrText>
      </w:r>
      <w:r w:rsidRPr="00623862">
        <w:rPr>
          <w:rFonts w:ascii="Times New Roman" w:hAnsi="Times New Roman" w:cs="Times New Roman"/>
          <w:b/>
          <w:bCs/>
          <w:sz w:val="20"/>
          <w:szCs w:val="20"/>
        </w:rPr>
        <w:fldChar w:fldCharType="separate"/>
      </w:r>
      <w:r w:rsidRPr="00623862">
        <w:rPr>
          <w:rFonts w:ascii="Times New Roman" w:hAnsi="Times New Roman" w:cs="Times New Roman"/>
          <w:b/>
          <w:bCs/>
          <w:noProof/>
          <w:sz w:val="20"/>
          <w:szCs w:val="20"/>
        </w:rPr>
        <w:t>1</w:t>
      </w:r>
      <w:r w:rsidRPr="00623862">
        <w:rPr>
          <w:rFonts w:ascii="Times New Roman" w:hAnsi="Times New Roman" w:cs="Times New Roman"/>
          <w:b/>
          <w:bCs/>
          <w:sz w:val="20"/>
          <w:szCs w:val="20"/>
        </w:rPr>
        <w:fldChar w:fldCharType="end"/>
      </w:r>
      <w:r w:rsidRPr="00623862">
        <w:rPr>
          <w:rFonts w:ascii="Times New Roman" w:hAnsi="Times New Roman" w:cs="Times New Roman"/>
          <w:sz w:val="20"/>
          <w:szCs w:val="20"/>
        </w:rPr>
        <w:t xml:space="preserve"> </w:t>
      </w:r>
      <w:r w:rsidR="00C054C4" w:rsidRPr="00623862">
        <w:rPr>
          <w:rFonts w:ascii="Times New Roman" w:hAnsi="Times New Roman" w:cs="Times New Roman"/>
          <w:sz w:val="20"/>
          <w:szCs w:val="20"/>
        </w:rPr>
        <w:t>Studies assessing feasibility and usability of VR applications in people with dementia and MCI</w:t>
      </w:r>
    </w:p>
    <w:tbl>
      <w:tblPr>
        <w:tblW w:w="5201" w:type="pct"/>
        <w:tblInd w:w="-176" w:type="dxa"/>
        <w:tblLayout w:type="fixed"/>
        <w:tblLook w:val="04A0" w:firstRow="1" w:lastRow="0" w:firstColumn="1" w:lastColumn="0" w:noHBand="0" w:noVBand="1"/>
      </w:tblPr>
      <w:tblGrid>
        <w:gridCol w:w="1477"/>
        <w:gridCol w:w="1275"/>
        <w:gridCol w:w="1901"/>
        <w:gridCol w:w="2327"/>
        <w:gridCol w:w="845"/>
        <w:gridCol w:w="634"/>
        <w:gridCol w:w="1271"/>
        <w:gridCol w:w="1478"/>
        <w:gridCol w:w="1835"/>
        <w:gridCol w:w="3454"/>
        <w:gridCol w:w="1791"/>
        <w:gridCol w:w="3709"/>
      </w:tblGrid>
      <w:tr w:rsidR="00623862" w:rsidRPr="00E54F09" w14:paraId="4CB788E2" w14:textId="77777777" w:rsidTr="00181CF9">
        <w:trPr>
          <w:trHeight w:val="300"/>
        </w:trPr>
        <w:tc>
          <w:tcPr>
            <w:tcW w:w="336" w:type="pct"/>
            <w:tcBorders>
              <w:top w:val="single" w:sz="4" w:space="0" w:color="auto"/>
              <w:left w:val="nil"/>
              <w:bottom w:val="single" w:sz="4" w:space="0" w:color="auto"/>
              <w:right w:val="nil"/>
            </w:tcBorders>
            <w:noWrap/>
            <w:hideMark/>
          </w:tcPr>
          <w:p w14:paraId="3037EA55" w14:textId="5EE2A9D0"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Study</w:t>
            </w:r>
          </w:p>
        </w:tc>
        <w:tc>
          <w:tcPr>
            <w:tcW w:w="290" w:type="pct"/>
            <w:tcBorders>
              <w:top w:val="single" w:sz="4" w:space="0" w:color="auto"/>
              <w:left w:val="nil"/>
              <w:bottom w:val="single" w:sz="4" w:space="0" w:color="auto"/>
              <w:right w:val="nil"/>
            </w:tcBorders>
            <w:noWrap/>
            <w:hideMark/>
          </w:tcPr>
          <w:p w14:paraId="6C258D2D" w14:textId="73513A89"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Condition</w:t>
            </w:r>
          </w:p>
        </w:tc>
        <w:tc>
          <w:tcPr>
            <w:tcW w:w="432" w:type="pct"/>
            <w:tcBorders>
              <w:top w:val="single" w:sz="4" w:space="0" w:color="auto"/>
              <w:left w:val="nil"/>
              <w:bottom w:val="single" w:sz="4" w:space="0" w:color="auto"/>
              <w:right w:val="nil"/>
            </w:tcBorders>
            <w:noWrap/>
            <w:hideMark/>
          </w:tcPr>
          <w:p w14:paraId="77A5F06E" w14:textId="365F3585"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Type of dementia / cognitive status</w:t>
            </w:r>
          </w:p>
        </w:tc>
        <w:tc>
          <w:tcPr>
            <w:tcW w:w="529" w:type="pct"/>
            <w:tcBorders>
              <w:top w:val="single" w:sz="4" w:space="0" w:color="auto"/>
              <w:left w:val="nil"/>
              <w:bottom w:val="single" w:sz="4" w:space="0" w:color="auto"/>
              <w:right w:val="nil"/>
            </w:tcBorders>
            <w:noWrap/>
            <w:hideMark/>
          </w:tcPr>
          <w:p w14:paraId="34059A2E" w14:textId="5AE325D0"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Global cognitive assessment</w:t>
            </w:r>
          </w:p>
        </w:tc>
        <w:tc>
          <w:tcPr>
            <w:tcW w:w="192" w:type="pct"/>
            <w:tcBorders>
              <w:top w:val="single" w:sz="4" w:space="0" w:color="auto"/>
              <w:left w:val="nil"/>
              <w:bottom w:val="single" w:sz="4" w:space="0" w:color="auto"/>
              <w:right w:val="nil"/>
            </w:tcBorders>
            <w:noWrap/>
            <w:hideMark/>
          </w:tcPr>
          <w:p w14:paraId="55F8B80B" w14:textId="2DB1D162"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N</w:t>
            </w:r>
          </w:p>
        </w:tc>
        <w:tc>
          <w:tcPr>
            <w:tcW w:w="144" w:type="pct"/>
            <w:tcBorders>
              <w:top w:val="single" w:sz="4" w:space="0" w:color="auto"/>
              <w:left w:val="nil"/>
              <w:bottom w:val="single" w:sz="4" w:space="0" w:color="auto"/>
              <w:right w:val="nil"/>
            </w:tcBorders>
            <w:noWrap/>
            <w:hideMark/>
          </w:tcPr>
          <w:p w14:paraId="41B955F6" w14:textId="1F14391C"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m</w:t>
            </w:r>
          </w:p>
        </w:tc>
        <w:tc>
          <w:tcPr>
            <w:tcW w:w="289" w:type="pct"/>
            <w:tcBorders>
              <w:top w:val="single" w:sz="4" w:space="0" w:color="auto"/>
              <w:left w:val="nil"/>
              <w:bottom w:val="single" w:sz="4" w:space="0" w:color="auto"/>
              <w:right w:val="nil"/>
            </w:tcBorders>
            <w:noWrap/>
            <w:hideMark/>
          </w:tcPr>
          <w:p w14:paraId="7E23A1A5" w14:textId="4DACEA71"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Age</w:t>
            </w:r>
          </w:p>
        </w:tc>
        <w:tc>
          <w:tcPr>
            <w:tcW w:w="336" w:type="pct"/>
            <w:tcBorders>
              <w:top w:val="single" w:sz="4" w:space="0" w:color="auto"/>
              <w:left w:val="nil"/>
              <w:bottom w:val="single" w:sz="4" w:space="0" w:color="auto"/>
              <w:right w:val="nil"/>
            </w:tcBorders>
            <w:noWrap/>
            <w:hideMark/>
          </w:tcPr>
          <w:p w14:paraId="37FD2AA2" w14:textId="1E4746B5"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Presence</w:t>
            </w:r>
          </w:p>
        </w:tc>
        <w:tc>
          <w:tcPr>
            <w:tcW w:w="417" w:type="pct"/>
            <w:tcBorders>
              <w:top w:val="single" w:sz="4" w:space="0" w:color="auto"/>
              <w:left w:val="nil"/>
              <w:bottom w:val="single" w:sz="4" w:space="0" w:color="auto"/>
              <w:right w:val="nil"/>
            </w:tcBorders>
            <w:noWrap/>
            <w:hideMark/>
          </w:tcPr>
          <w:p w14:paraId="06594DB7" w14:textId="01D0B71C"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Cybersickness</w:t>
            </w:r>
          </w:p>
        </w:tc>
        <w:tc>
          <w:tcPr>
            <w:tcW w:w="785" w:type="pct"/>
            <w:tcBorders>
              <w:top w:val="single" w:sz="4" w:space="0" w:color="auto"/>
              <w:left w:val="nil"/>
              <w:bottom w:val="single" w:sz="4" w:space="0" w:color="auto"/>
              <w:right w:val="nil"/>
            </w:tcBorders>
            <w:noWrap/>
            <w:hideMark/>
          </w:tcPr>
          <w:p w14:paraId="2B07162F" w14:textId="7C89F146"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Task</w:t>
            </w:r>
          </w:p>
        </w:tc>
        <w:tc>
          <w:tcPr>
            <w:tcW w:w="407" w:type="pct"/>
            <w:tcBorders>
              <w:top w:val="single" w:sz="4" w:space="0" w:color="auto"/>
              <w:left w:val="nil"/>
              <w:bottom w:val="single" w:sz="4" w:space="0" w:color="auto"/>
              <w:right w:val="nil"/>
            </w:tcBorders>
            <w:noWrap/>
            <w:hideMark/>
          </w:tcPr>
          <w:p w14:paraId="49EAE576" w14:textId="5B127638"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Type of VR</w:t>
            </w:r>
          </w:p>
        </w:tc>
        <w:tc>
          <w:tcPr>
            <w:tcW w:w="843" w:type="pct"/>
            <w:tcBorders>
              <w:top w:val="single" w:sz="4" w:space="0" w:color="auto"/>
              <w:left w:val="nil"/>
              <w:bottom w:val="single" w:sz="4" w:space="0" w:color="auto"/>
              <w:right w:val="nil"/>
            </w:tcBorders>
            <w:noWrap/>
            <w:hideMark/>
          </w:tcPr>
          <w:p w14:paraId="5371B848" w14:textId="46F2195B" w:rsidR="00623862" w:rsidRPr="00E54F09" w:rsidRDefault="00623862" w:rsidP="00623862">
            <w:pPr>
              <w:pStyle w:val="Tables"/>
              <w:rPr>
                <w:rFonts w:ascii="Times New Roman" w:hAnsi="Times New Roman" w:cs="Times New Roman"/>
                <w:b/>
                <w:bCs w:val="0"/>
                <w:lang w:eastAsia="en-GB"/>
              </w:rPr>
            </w:pPr>
            <w:r w:rsidRPr="00E54F09">
              <w:rPr>
                <w:rFonts w:ascii="Times New Roman" w:hAnsi="Times New Roman" w:cs="Times New Roman"/>
                <w:b/>
                <w:bCs w:val="0"/>
              </w:rPr>
              <w:t>Main findings</w:t>
            </w:r>
          </w:p>
        </w:tc>
      </w:tr>
      <w:tr w:rsidR="00623862" w:rsidRPr="00623862" w14:paraId="2D399F76" w14:textId="77777777" w:rsidTr="00181CF9">
        <w:trPr>
          <w:trHeight w:val="600"/>
        </w:trPr>
        <w:tc>
          <w:tcPr>
            <w:tcW w:w="336" w:type="pct"/>
            <w:tcBorders>
              <w:top w:val="single" w:sz="4" w:space="0" w:color="auto"/>
              <w:left w:val="nil"/>
              <w:bottom w:val="nil"/>
              <w:right w:val="nil"/>
            </w:tcBorders>
            <w:noWrap/>
            <w:hideMark/>
          </w:tcPr>
          <w:p w14:paraId="380B2111" w14:textId="7AF1A88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Afifi et al. (2021)</w:t>
            </w:r>
          </w:p>
        </w:tc>
        <w:tc>
          <w:tcPr>
            <w:tcW w:w="290" w:type="pct"/>
            <w:tcBorders>
              <w:top w:val="single" w:sz="4" w:space="0" w:color="auto"/>
              <w:left w:val="nil"/>
              <w:bottom w:val="nil"/>
              <w:right w:val="nil"/>
            </w:tcBorders>
            <w:noWrap/>
            <w:hideMark/>
          </w:tcPr>
          <w:p w14:paraId="1E005049" w14:textId="1A25FAA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MCI, dementia</w:t>
            </w:r>
          </w:p>
        </w:tc>
        <w:tc>
          <w:tcPr>
            <w:tcW w:w="432" w:type="pct"/>
            <w:tcBorders>
              <w:top w:val="single" w:sz="4" w:space="0" w:color="auto"/>
              <w:left w:val="nil"/>
              <w:bottom w:val="nil"/>
              <w:right w:val="nil"/>
            </w:tcBorders>
            <w:noWrap/>
            <w:hideMark/>
          </w:tcPr>
          <w:p w14:paraId="0D14C276" w14:textId="3A810CE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Mild-to-moderate dementia</w:t>
            </w:r>
          </w:p>
        </w:tc>
        <w:tc>
          <w:tcPr>
            <w:tcW w:w="529" w:type="pct"/>
            <w:tcBorders>
              <w:top w:val="single" w:sz="4" w:space="0" w:color="auto"/>
              <w:left w:val="nil"/>
              <w:bottom w:val="nil"/>
              <w:right w:val="nil"/>
            </w:tcBorders>
            <w:hideMark/>
          </w:tcPr>
          <w:p w14:paraId="7074D659" w14:textId="381F907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CDR 0.5</w:t>
            </w:r>
          </w:p>
        </w:tc>
        <w:tc>
          <w:tcPr>
            <w:tcW w:w="192" w:type="pct"/>
            <w:tcBorders>
              <w:top w:val="single" w:sz="4" w:space="0" w:color="auto"/>
              <w:left w:val="nil"/>
              <w:bottom w:val="nil"/>
              <w:right w:val="nil"/>
            </w:tcBorders>
            <w:noWrap/>
            <w:hideMark/>
          </w:tcPr>
          <w:p w14:paraId="4D4FF7FC" w14:textId="77B68C8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21</w:t>
            </w:r>
          </w:p>
        </w:tc>
        <w:tc>
          <w:tcPr>
            <w:tcW w:w="144" w:type="pct"/>
            <w:tcBorders>
              <w:top w:val="single" w:sz="4" w:space="0" w:color="auto"/>
              <w:left w:val="nil"/>
              <w:bottom w:val="nil"/>
              <w:right w:val="nil"/>
            </w:tcBorders>
            <w:noWrap/>
            <w:hideMark/>
          </w:tcPr>
          <w:p w14:paraId="0FE96EDE" w14:textId="187BAD0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3</w:t>
            </w:r>
          </w:p>
        </w:tc>
        <w:tc>
          <w:tcPr>
            <w:tcW w:w="289" w:type="pct"/>
            <w:tcBorders>
              <w:top w:val="single" w:sz="4" w:space="0" w:color="auto"/>
              <w:left w:val="nil"/>
              <w:bottom w:val="nil"/>
              <w:right w:val="nil"/>
            </w:tcBorders>
            <w:noWrap/>
            <w:hideMark/>
          </w:tcPr>
          <w:p w14:paraId="094EF8D8" w14:textId="10FEED6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83.10 (9.76)</w:t>
            </w:r>
          </w:p>
        </w:tc>
        <w:tc>
          <w:tcPr>
            <w:tcW w:w="336" w:type="pct"/>
            <w:tcBorders>
              <w:top w:val="single" w:sz="4" w:space="0" w:color="auto"/>
              <w:left w:val="nil"/>
              <w:bottom w:val="nil"/>
              <w:right w:val="nil"/>
            </w:tcBorders>
            <w:noWrap/>
            <w:hideMark/>
          </w:tcPr>
          <w:p w14:paraId="35AD20CE" w14:textId="1A6DD3A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 xml:space="preserve">Yes; presence, social presence, and co-presence based on Nowak and </w:t>
            </w:r>
            <w:proofErr w:type="spellStart"/>
            <w:r w:rsidRPr="00623862">
              <w:rPr>
                <w:rFonts w:ascii="Times New Roman" w:hAnsi="Times New Roman" w:cs="Times New Roman"/>
              </w:rPr>
              <w:t>Biocca</w:t>
            </w:r>
            <w:proofErr w:type="spellEnd"/>
            <w:r w:rsidRPr="00623862">
              <w:rPr>
                <w:rFonts w:ascii="Times New Roman" w:hAnsi="Times New Roman" w:cs="Times New Roman"/>
              </w:rPr>
              <w:t xml:space="preserve"> (2003)</w:t>
            </w:r>
          </w:p>
        </w:tc>
        <w:tc>
          <w:tcPr>
            <w:tcW w:w="417" w:type="pct"/>
            <w:tcBorders>
              <w:top w:val="single" w:sz="4" w:space="0" w:color="auto"/>
              <w:left w:val="nil"/>
              <w:bottom w:val="nil"/>
              <w:right w:val="nil"/>
            </w:tcBorders>
            <w:noWrap/>
            <w:hideMark/>
          </w:tcPr>
          <w:p w14:paraId="4DD04A5D" w14:textId="6BE79FC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One item based on Maani et al. (2011)</w:t>
            </w:r>
          </w:p>
        </w:tc>
        <w:tc>
          <w:tcPr>
            <w:tcW w:w="785" w:type="pct"/>
            <w:tcBorders>
              <w:top w:val="single" w:sz="4" w:space="0" w:color="auto"/>
              <w:left w:val="nil"/>
              <w:bottom w:val="nil"/>
              <w:right w:val="nil"/>
            </w:tcBorders>
            <w:noWrap/>
            <w:hideMark/>
          </w:tcPr>
          <w:p w14:paraId="4AC1AF38" w14:textId="2FEA1B3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Passive viewing of scenery and reminiscence tasks.</w:t>
            </w:r>
          </w:p>
        </w:tc>
        <w:tc>
          <w:tcPr>
            <w:tcW w:w="407" w:type="pct"/>
            <w:tcBorders>
              <w:top w:val="single" w:sz="4" w:space="0" w:color="auto"/>
              <w:left w:val="nil"/>
              <w:bottom w:val="nil"/>
              <w:right w:val="nil"/>
            </w:tcBorders>
            <w:noWrap/>
            <w:hideMark/>
          </w:tcPr>
          <w:p w14:paraId="036BE498" w14:textId="58C85F9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CAVE with controller, movement platform, and 3D glasses</w:t>
            </w:r>
          </w:p>
        </w:tc>
        <w:tc>
          <w:tcPr>
            <w:tcW w:w="843" w:type="pct"/>
            <w:tcBorders>
              <w:top w:val="single" w:sz="4" w:space="0" w:color="auto"/>
              <w:left w:val="nil"/>
              <w:bottom w:val="nil"/>
              <w:right w:val="nil"/>
            </w:tcBorders>
            <w:noWrap/>
            <w:hideMark/>
          </w:tcPr>
          <w:p w14:paraId="339320FB"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Conversational and behavioural engagement increased during VR sessions. Behavioural engagement varied by cognitive impairment level, whereas psychological and emotional engagement remained high. VR was safe and highly acceptable, with no significant side effects. Greater immersion was reported by participants with dementia than by those with MCI, whereas participants with MCI showed more kinetic engagement.</w:t>
            </w:r>
          </w:p>
          <w:p w14:paraId="5D2D4840" w14:textId="3FDBA47E" w:rsidR="00A504E9" w:rsidRPr="00623862" w:rsidRDefault="00A504E9" w:rsidP="00623862">
            <w:pPr>
              <w:pStyle w:val="Tables"/>
              <w:rPr>
                <w:rFonts w:ascii="Times New Roman" w:hAnsi="Times New Roman" w:cs="Times New Roman"/>
                <w:lang w:eastAsia="en-GB"/>
              </w:rPr>
            </w:pPr>
          </w:p>
        </w:tc>
      </w:tr>
      <w:tr w:rsidR="00623862" w:rsidRPr="00623862" w14:paraId="33C07728" w14:textId="77777777" w:rsidTr="00181CF9">
        <w:trPr>
          <w:trHeight w:val="300"/>
        </w:trPr>
        <w:tc>
          <w:tcPr>
            <w:tcW w:w="336" w:type="pct"/>
            <w:tcBorders>
              <w:top w:val="nil"/>
              <w:left w:val="nil"/>
              <w:bottom w:val="nil"/>
              <w:right w:val="nil"/>
            </w:tcBorders>
            <w:noWrap/>
            <w:hideMark/>
          </w:tcPr>
          <w:p w14:paraId="16A72E0A" w14:textId="50CD248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Alizai et al. (2025)</w:t>
            </w:r>
          </w:p>
        </w:tc>
        <w:tc>
          <w:tcPr>
            <w:tcW w:w="290" w:type="pct"/>
            <w:tcBorders>
              <w:top w:val="nil"/>
              <w:left w:val="nil"/>
              <w:bottom w:val="nil"/>
              <w:right w:val="nil"/>
            </w:tcBorders>
            <w:noWrap/>
            <w:hideMark/>
          </w:tcPr>
          <w:p w14:paraId="269DE3A4" w14:textId="2ED64AB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MCI</w:t>
            </w:r>
          </w:p>
        </w:tc>
        <w:tc>
          <w:tcPr>
            <w:tcW w:w="432" w:type="pct"/>
            <w:tcBorders>
              <w:top w:val="nil"/>
              <w:left w:val="nil"/>
              <w:bottom w:val="nil"/>
              <w:right w:val="nil"/>
            </w:tcBorders>
            <w:noWrap/>
            <w:hideMark/>
          </w:tcPr>
          <w:p w14:paraId="1232D24A" w14:textId="423AC751"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529" w:type="pct"/>
            <w:tcBorders>
              <w:top w:val="nil"/>
              <w:left w:val="nil"/>
              <w:bottom w:val="nil"/>
              <w:right w:val="nil"/>
            </w:tcBorders>
            <w:noWrap/>
            <w:hideMark/>
          </w:tcPr>
          <w:p w14:paraId="42BA0DD7" w14:textId="05B636C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Self-reported; Clinical Frailty Scale</w:t>
            </w:r>
          </w:p>
        </w:tc>
        <w:tc>
          <w:tcPr>
            <w:tcW w:w="192" w:type="pct"/>
            <w:tcBorders>
              <w:top w:val="nil"/>
              <w:left w:val="nil"/>
              <w:bottom w:val="nil"/>
              <w:right w:val="nil"/>
            </w:tcBorders>
            <w:noWrap/>
            <w:hideMark/>
          </w:tcPr>
          <w:p w14:paraId="76B1CA58" w14:textId="2E02B17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14</w:t>
            </w:r>
          </w:p>
        </w:tc>
        <w:tc>
          <w:tcPr>
            <w:tcW w:w="144" w:type="pct"/>
            <w:tcBorders>
              <w:top w:val="nil"/>
              <w:left w:val="nil"/>
              <w:bottom w:val="nil"/>
              <w:right w:val="nil"/>
            </w:tcBorders>
            <w:noWrap/>
            <w:hideMark/>
          </w:tcPr>
          <w:p w14:paraId="1DAC789F" w14:textId="2BC8B4F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7</w:t>
            </w:r>
          </w:p>
        </w:tc>
        <w:tc>
          <w:tcPr>
            <w:tcW w:w="289" w:type="pct"/>
            <w:tcBorders>
              <w:top w:val="nil"/>
              <w:left w:val="nil"/>
              <w:bottom w:val="nil"/>
              <w:right w:val="nil"/>
            </w:tcBorders>
            <w:hideMark/>
          </w:tcPr>
          <w:p w14:paraId="7C9C3FE7" w14:textId="17233E5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71.6 viewer; 53.9 navigator</w:t>
            </w:r>
          </w:p>
        </w:tc>
        <w:tc>
          <w:tcPr>
            <w:tcW w:w="336" w:type="pct"/>
            <w:tcBorders>
              <w:top w:val="nil"/>
              <w:left w:val="nil"/>
              <w:bottom w:val="nil"/>
              <w:right w:val="nil"/>
            </w:tcBorders>
            <w:noWrap/>
            <w:hideMark/>
          </w:tcPr>
          <w:p w14:paraId="114C8073" w14:textId="6332503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417" w:type="pct"/>
            <w:tcBorders>
              <w:top w:val="nil"/>
              <w:left w:val="nil"/>
              <w:bottom w:val="nil"/>
              <w:right w:val="nil"/>
            </w:tcBorders>
            <w:noWrap/>
            <w:hideMark/>
          </w:tcPr>
          <w:p w14:paraId="3EE8753F" w14:textId="6F2092B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Yes; three participants (21.4%) experienced mild cybersickness, including dizziness and nausea, under specific conditions such as quick head movements or fast-moving content</w:t>
            </w:r>
          </w:p>
        </w:tc>
        <w:tc>
          <w:tcPr>
            <w:tcW w:w="785" w:type="pct"/>
            <w:tcBorders>
              <w:top w:val="nil"/>
              <w:left w:val="nil"/>
              <w:bottom w:val="nil"/>
              <w:right w:val="nil"/>
            </w:tcBorders>
            <w:noWrap/>
            <w:hideMark/>
          </w:tcPr>
          <w:p w14:paraId="76E6D7F0" w14:textId="3699428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Participants provided input about content they were interested in viewing, looked around in all directions while viewing 360° content, including above, below, and behind, and voiced their observations, feelings, and feedback aloud.</w:t>
            </w:r>
          </w:p>
        </w:tc>
        <w:tc>
          <w:tcPr>
            <w:tcW w:w="407" w:type="pct"/>
            <w:tcBorders>
              <w:top w:val="nil"/>
              <w:left w:val="nil"/>
              <w:bottom w:val="nil"/>
              <w:right w:val="nil"/>
            </w:tcBorders>
            <w:noWrap/>
            <w:hideMark/>
          </w:tcPr>
          <w:p w14:paraId="10F6FB2A" w14:textId="1B26ABB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Viewer: immersive HMD; navigator: non-immersive tablet</w:t>
            </w:r>
          </w:p>
        </w:tc>
        <w:tc>
          <w:tcPr>
            <w:tcW w:w="843" w:type="pct"/>
            <w:tcBorders>
              <w:top w:val="nil"/>
              <w:left w:val="nil"/>
              <w:bottom w:val="nil"/>
              <w:right w:val="nil"/>
            </w:tcBorders>
            <w:noWrap/>
            <w:hideMark/>
          </w:tcPr>
          <w:p w14:paraId="775C30E9"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Themes included headset comfort and safety, usability and navigation, quality, including video, audio, and connectivity, and content. The platform supported socialisation and bonding between older adults and caregivers and received positive feedback. The findings indicated a need to improve the application’s audio quality, streamline navigation, and enlarge interface elements for easier use.</w:t>
            </w:r>
          </w:p>
          <w:p w14:paraId="6E0E402A" w14:textId="35974F79" w:rsidR="00A504E9" w:rsidRPr="00623862" w:rsidRDefault="00A504E9" w:rsidP="00623862">
            <w:pPr>
              <w:pStyle w:val="Tables"/>
              <w:rPr>
                <w:rFonts w:ascii="Times New Roman" w:hAnsi="Times New Roman" w:cs="Times New Roman"/>
                <w:lang w:eastAsia="en-GB"/>
              </w:rPr>
            </w:pPr>
          </w:p>
        </w:tc>
      </w:tr>
      <w:tr w:rsidR="00623862" w:rsidRPr="00623862" w14:paraId="70F0DA07" w14:textId="77777777" w:rsidTr="00181CF9">
        <w:trPr>
          <w:trHeight w:val="1200"/>
        </w:trPr>
        <w:tc>
          <w:tcPr>
            <w:tcW w:w="336" w:type="pct"/>
            <w:tcBorders>
              <w:top w:val="nil"/>
              <w:left w:val="nil"/>
              <w:bottom w:val="nil"/>
              <w:right w:val="nil"/>
            </w:tcBorders>
            <w:noWrap/>
            <w:hideMark/>
          </w:tcPr>
          <w:p w14:paraId="79A80295" w14:textId="4570409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Appel et al. (2020)</w:t>
            </w:r>
          </w:p>
        </w:tc>
        <w:tc>
          <w:tcPr>
            <w:tcW w:w="290" w:type="pct"/>
            <w:tcBorders>
              <w:top w:val="nil"/>
              <w:left w:val="nil"/>
              <w:bottom w:val="nil"/>
              <w:right w:val="nil"/>
            </w:tcBorders>
            <w:noWrap/>
            <w:hideMark/>
          </w:tcPr>
          <w:p w14:paraId="3D781227" w14:textId="4F8608C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N/A</w:t>
            </w:r>
          </w:p>
        </w:tc>
        <w:tc>
          <w:tcPr>
            <w:tcW w:w="432" w:type="pct"/>
            <w:tcBorders>
              <w:top w:val="nil"/>
              <w:left w:val="nil"/>
              <w:bottom w:val="nil"/>
              <w:right w:val="nil"/>
            </w:tcBorders>
            <w:noWrap/>
            <w:hideMark/>
          </w:tcPr>
          <w:p w14:paraId="425D3E1B" w14:textId="09BD2FEF"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529" w:type="pct"/>
            <w:tcBorders>
              <w:top w:val="nil"/>
              <w:left w:val="nil"/>
              <w:bottom w:val="nil"/>
              <w:right w:val="nil"/>
            </w:tcBorders>
            <w:hideMark/>
          </w:tcPr>
          <w:p w14:paraId="0E2466C8" w14:textId="14A0D33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MoCA 21–26</w:t>
            </w:r>
          </w:p>
        </w:tc>
        <w:tc>
          <w:tcPr>
            <w:tcW w:w="192" w:type="pct"/>
            <w:tcBorders>
              <w:top w:val="nil"/>
              <w:left w:val="nil"/>
              <w:bottom w:val="nil"/>
              <w:right w:val="nil"/>
            </w:tcBorders>
            <w:noWrap/>
            <w:hideMark/>
          </w:tcPr>
          <w:p w14:paraId="2587B962" w14:textId="65FD2FA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66</w:t>
            </w:r>
          </w:p>
        </w:tc>
        <w:tc>
          <w:tcPr>
            <w:tcW w:w="144" w:type="pct"/>
            <w:tcBorders>
              <w:top w:val="nil"/>
              <w:left w:val="nil"/>
              <w:bottom w:val="nil"/>
              <w:right w:val="nil"/>
            </w:tcBorders>
            <w:noWrap/>
            <w:hideMark/>
          </w:tcPr>
          <w:p w14:paraId="62DFBD51" w14:textId="35E7EF6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26</w:t>
            </w:r>
          </w:p>
        </w:tc>
        <w:tc>
          <w:tcPr>
            <w:tcW w:w="289" w:type="pct"/>
            <w:tcBorders>
              <w:top w:val="nil"/>
              <w:left w:val="nil"/>
              <w:bottom w:val="nil"/>
              <w:right w:val="nil"/>
            </w:tcBorders>
            <w:hideMark/>
          </w:tcPr>
          <w:p w14:paraId="3C6EA8AA" w14:textId="7D410F0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80.5 (10.5)</w:t>
            </w:r>
          </w:p>
        </w:tc>
        <w:tc>
          <w:tcPr>
            <w:tcW w:w="336" w:type="pct"/>
            <w:tcBorders>
              <w:top w:val="nil"/>
              <w:left w:val="nil"/>
              <w:bottom w:val="nil"/>
              <w:right w:val="nil"/>
            </w:tcBorders>
            <w:noWrap/>
            <w:hideMark/>
          </w:tcPr>
          <w:p w14:paraId="7C494C3C" w14:textId="3DAE4D6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 custom questionnaire assessed enjoyment, engagement, and immersion</w:t>
            </w:r>
          </w:p>
        </w:tc>
        <w:tc>
          <w:tcPr>
            <w:tcW w:w="417" w:type="pct"/>
            <w:tcBorders>
              <w:top w:val="nil"/>
              <w:left w:val="nil"/>
              <w:bottom w:val="nil"/>
              <w:right w:val="nil"/>
            </w:tcBorders>
            <w:noWrap/>
            <w:hideMark/>
          </w:tcPr>
          <w:p w14:paraId="22FE88C5" w14:textId="565FE52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 authors reported no adverse effects</w:t>
            </w:r>
          </w:p>
        </w:tc>
        <w:tc>
          <w:tcPr>
            <w:tcW w:w="785" w:type="pct"/>
            <w:tcBorders>
              <w:top w:val="nil"/>
              <w:left w:val="nil"/>
              <w:bottom w:val="nil"/>
              <w:right w:val="nil"/>
            </w:tcBorders>
            <w:noWrap/>
            <w:hideMark/>
          </w:tcPr>
          <w:p w14:paraId="19D1A17F" w14:textId="29363F3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Viewing VR videos of rural and nature scenes.</w:t>
            </w:r>
          </w:p>
        </w:tc>
        <w:tc>
          <w:tcPr>
            <w:tcW w:w="407" w:type="pct"/>
            <w:tcBorders>
              <w:top w:val="nil"/>
              <w:left w:val="nil"/>
              <w:bottom w:val="nil"/>
              <w:right w:val="nil"/>
            </w:tcBorders>
            <w:noWrap/>
            <w:hideMark/>
          </w:tcPr>
          <w:p w14:paraId="1A2D33E5" w14:textId="267856D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 with motion control</w:t>
            </w:r>
          </w:p>
        </w:tc>
        <w:tc>
          <w:tcPr>
            <w:tcW w:w="843" w:type="pct"/>
            <w:tcBorders>
              <w:top w:val="nil"/>
              <w:left w:val="nil"/>
              <w:bottom w:val="nil"/>
              <w:right w:val="nil"/>
            </w:tcBorders>
            <w:noWrap/>
            <w:hideMark/>
          </w:tcPr>
          <w:p w14:paraId="2B8E11C3"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Feedback was positive, with high enjoyment and tolerability. Most participants expressed a desire to use VR again. No considerable adverse side effects were reported. Some fatigue and loneliness occurred after the intervention. Fitting the HMD over eyeglasses was problematic for many participants. More positive emotions and physical movement were observed after the intervention. Participants preferred mildly stimulating and calming nature scenes, as well as more dynamic, social, and familiar real-world scenes.</w:t>
            </w:r>
          </w:p>
          <w:p w14:paraId="532C98DB" w14:textId="71A911A2" w:rsidR="00A504E9" w:rsidRPr="00623862" w:rsidRDefault="00A504E9" w:rsidP="00623862">
            <w:pPr>
              <w:pStyle w:val="Tables"/>
              <w:rPr>
                <w:rFonts w:ascii="Times New Roman" w:hAnsi="Times New Roman" w:cs="Times New Roman"/>
                <w:lang w:eastAsia="en-GB"/>
              </w:rPr>
            </w:pPr>
          </w:p>
        </w:tc>
      </w:tr>
      <w:tr w:rsidR="00623862" w:rsidRPr="00623862" w14:paraId="5D9E6C1D" w14:textId="77777777" w:rsidTr="00181CF9">
        <w:trPr>
          <w:trHeight w:val="600"/>
        </w:trPr>
        <w:tc>
          <w:tcPr>
            <w:tcW w:w="336" w:type="pct"/>
            <w:tcBorders>
              <w:top w:val="nil"/>
              <w:left w:val="nil"/>
              <w:bottom w:val="nil"/>
              <w:right w:val="nil"/>
            </w:tcBorders>
            <w:noWrap/>
            <w:hideMark/>
          </w:tcPr>
          <w:p w14:paraId="62E941E4" w14:textId="3A923B52"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Arlati</w:t>
            </w:r>
            <w:proofErr w:type="spellEnd"/>
            <w:r w:rsidRPr="00623862">
              <w:rPr>
                <w:rFonts w:ascii="Times New Roman" w:hAnsi="Times New Roman" w:cs="Times New Roman"/>
              </w:rPr>
              <w:t xml:space="preserve"> et al. (2021)</w:t>
            </w:r>
          </w:p>
        </w:tc>
        <w:tc>
          <w:tcPr>
            <w:tcW w:w="290" w:type="pct"/>
            <w:tcBorders>
              <w:top w:val="nil"/>
              <w:left w:val="nil"/>
              <w:bottom w:val="nil"/>
              <w:right w:val="nil"/>
            </w:tcBorders>
            <w:noWrap/>
            <w:hideMark/>
          </w:tcPr>
          <w:p w14:paraId="2991B1B4" w14:textId="268FF3E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MCI, SCD</w:t>
            </w:r>
          </w:p>
        </w:tc>
        <w:tc>
          <w:tcPr>
            <w:tcW w:w="432" w:type="pct"/>
            <w:tcBorders>
              <w:top w:val="nil"/>
              <w:left w:val="nil"/>
              <w:bottom w:val="nil"/>
              <w:right w:val="nil"/>
            </w:tcBorders>
            <w:noWrap/>
            <w:hideMark/>
          </w:tcPr>
          <w:p w14:paraId="555B131E" w14:textId="4566EDB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Not applicable; participants had objective cognitive decline/MCI or subjective cognitive decline</w:t>
            </w:r>
          </w:p>
        </w:tc>
        <w:tc>
          <w:tcPr>
            <w:tcW w:w="529" w:type="pct"/>
            <w:tcBorders>
              <w:top w:val="nil"/>
              <w:left w:val="nil"/>
              <w:bottom w:val="nil"/>
              <w:right w:val="nil"/>
            </w:tcBorders>
            <w:noWrap/>
            <w:hideMark/>
          </w:tcPr>
          <w:p w14:paraId="21F93FBD" w14:textId="4B02AA1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CDR 2–3</w:t>
            </w:r>
          </w:p>
        </w:tc>
        <w:tc>
          <w:tcPr>
            <w:tcW w:w="192" w:type="pct"/>
            <w:tcBorders>
              <w:top w:val="nil"/>
              <w:left w:val="nil"/>
              <w:bottom w:val="nil"/>
              <w:right w:val="nil"/>
            </w:tcBorders>
            <w:noWrap/>
            <w:hideMark/>
          </w:tcPr>
          <w:p w14:paraId="720F0754" w14:textId="6D291EB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24</w:t>
            </w:r>
          </w:p>
        </w:tc>
        <w:tc>
          <w:tcPr>
            <w:tcW w:w="144" w:type="pct"/>
            <w:tcBorders>
              <w:top w:val="nil"/>
              <w:left w:val="nil"/>
              <w:bottom w:val="nil"/>
              <w:right w:val="nil"/>
            </w:tcBorders>
            <w:noWrap/>
            <w:hideMark/>
          </w:tcPr>
          <w:p w14:paraId="45992145" w14:textId="4325A3C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11</w:t>
            </w:r>
          </w:p>
        </w:tc>
        <w:tc>
          <w:tcPr>
            <w:tcW w:w="289" w:type="pct"/>
            <w:tcBorders>
              <w:top w:val="nil"/>
              <w:left w:val="nil"/>
              <w:bottom w:val="nil"/>
              <w:right w:val="nil"/>
            </w:tcBorders>
            <w:hideMark/>
          </w:tcPr>
          <w:p w14:paraId="1E9E225E" w14:textId="0106A5D2"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72.45 (5.83)</w:t>
            </w:r>
          </w:p>
        </w:tc>
        <w:tc>
          <w:tcPr>
            <w:tcW w:w="336" w:type="pct"/>
            <w:tcBorders>
              <w:top w:val="nil"/>
              <w:left w:val="nil"/>
              <w:bottom w:val="nil"/>
              <w:right w:val="nil"/>
            </w:tcBorders>
            <w:noWrap/>
            <w:hideMark/>
          </w:tcPr>
          <w:p w14:paraId="339942DF" w14:textId="591942F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ITC-SOPI</w:t>
            </w:r>
          </w:p>
        </w:tc>
        <w:tc>
          <w:tcPr>
            <w:tcW w:w="417" w:type="pct"/>
            <w:tcBorders>
              <w:top w:val="nil"/>
              <w:left w:val="nil"/>
              <w:bottom w:val="nil"/>
              <w:right w:val="nil"/>
            </w:tcBorders>
            <w:noWrap/>
            <w:hideMark/>
          </w:tcPr>
          <w:p w14:paraId="19A72CDF" w14:textId="2C51BDD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SSQ</w:t>
            </w:r>
          </w:p>
        </w:tc>
        <w:tc>
          <w:tcPr>
            <w:tcW w:w="785" w:type="pct"/>
            <w:tcBorders>
              <w:top w:val="nil"/>
              <w:left w:val="nil"/>
              <w:bottom w:val="nil"/>
              <w:right w:val="nil"/>
            </w:tcBorders>
            <w:noWrap/>
            <w:hideMark/>
          </w:tcPr>
          <w:p w14:paraId="3D7121E8" w14:textId="65C0CD4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Shopping task in a virtual supermarket, including buying groceries from a list and paying at the counter. Participants completed the task while standing.</w:t>
            </w:r>
          </w:p>
        </w:tc>
        <w:tc>
          <w:tcPr>
            <w:tcW w:w="407" w:type="pct"/>
            <w:tcBorders>
              <w:top w:val="nil"/>
              <w:left w:val="nil"/>
              <w:bottom w:val="nil"/>
              <w:right w:val="nil"/>
            </w:tcBorders>
            <w:noWrap/>
            <w:hideMark/>
          </w:tcPr>
          <w:p w14:paraId="382E9248" w14:textId="2780C89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 with controllers</w:t>
            </w:r>
          </w:p>
        </w:tc>
        <w:tc>
          <w:tcPr>
            <w:tcW w:w="843" w:type="pct"/>
            <w:tcBorders>
              <w:top w:val="nil"/>
              <w:left w:val="nil"/>
              <w:bottom w:val="nil"/>
              <w:right w:val="nil"/>
            </w:tcBorders>
            <w:noWrap/>
            <w:hideMark/>
          </w:tcPr>
          <w:p w14:paraId="77EC9927"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VR was enjoyable for older adults. Some risky behaviours were observed, including one participant falling while attempting to lean on a virtual shelf. Participants with MCI made more errors. Errors correlated with computer anxiety and reduced control. VR was well accepted and highly engaging, with negligible side effects and no SSQ differences between groups. Presence levels were good. Findings may have been influenced by sex in the SCD group, with higher scores for males. No age- or cognition-related negative attitudes towards technology were found. Participants with MCI reported greater perceived ease of control and enjoyment when cognitive symptoms were less severe. Higher education correlated with better performance and fewer errors in the SCD group.</w:t>
            </w:r>
          </w:p>
          <w:p w14:paraId="6DAE9531" w14:textId="129C6323" w:rsidR="00A504E9" w:rsidRPr="00623862" w:rsidRDefault="00A504E9" w:rsidP="00623862">
            <w:pPr>
              <w:pStyle w:val="Tables"/>
              <w:rPr>
                <w:rFonts w:ascii="Times New Roman" w:hAnsi="Times New Roman" w:cs="Times New Roman"/>
                <w:lang w:eastAsia="en-GB"/>
              </w:rPr>
            </w:pPr>
          </w:p>
        </w:tc>
      </w:tr>
      <w:tr w:rsidR="00623862" w:rsidRPr="00623862" w14:paraId="2C6FA72B" w14:textId="77777777" w:rsidTr="00181CF9">
        <w:trPr>
          <w:trHeight w:val="600"/>
        </w:trPr>
        <w:tc>
          <w:tcPr>
            <w:tcW w:w="336" w:type="pct"/>
            <w:tcBorders>
              <w:top w:val="nil"/>
              <w:left w:val="nil"/>
              <w:bottom w:val="nil"/>
              <w:right w:val="nil"/>
            </w:tcBorders>
            <w:noWrap/>
            <w:hideMark/>
          </w:tcPr>
          <w:p w14:paraId="21A6835B" w14:textId="0962EE9B"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Burdea</w:t>
            </w:r>
            <w:proofErr w:type="spellEnd"/>
            <w:r w:rsidRPr="00623862">
              <w:rPr>
                <w:rFonts w:ascii="Times New Roman" w:hAnsi="Times New Roman" w:cs="Times New Roman"/>
              </w:rPr>
              <w:t xml:space="preserve"> et al. (2015)</w:t>
            </w:r>
          </w:p>
        </w:tc>
        <w:tc>
          <w:tcPr>
            <w:tcW w:w="290" w:type="pct"/>
            <w:tcBorders>
              <w:top w:val="nil"/>
              <w:left w:val="nil"/>
              <w:bottom w:val="nil"/>
              <w:right w:val="nil"/>
            </w:tcBorders>
            <w:noWrap/>
            <w:hideMark/>
          </w:tcPr>
          <w:p w14:paraId="0C0A0657" w14:textId="4755C15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77A1E7A2" w14:textId="3172907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Unspecified dementia (2)</w:t>
            </w:r>
          </w:p>
        </w:tc>
        <w:tc>
          <w:tcPr>
            <w:tcW w:w="529" w:type="pct"/>
            <w:tcBorders>
              <w:top w:val="nil"/>
              <w:left w:val="nil"/>
              <w:bottom w:val="nil"/>
              <w:right w:val="nil"/>
            </w:tcBorders>
            <w:noWrap/>
            <w:hideMark/>
          </w:tcPr>
          <w:p w14:paraId="19401C41" w14:textId="5578C080"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192" w:type="pct"/>
            <w:tcBorders>
              <w:top w:val="nil"/>
              <w:left w:val="nil"/>
              <w:bottom w:val="nil"/>
              <w:right w:val="nil"/>
            </w:tcBorders>
            <w:noWrap/>
            <w:hideMark/>
          </w:tcPr>
          <w:p w14:paraId="4B889A64" w14:textId="3BCB7D2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10</w:t>
            </w:r>
          </w:p>
        </w:tc>
        <w:tc>
          <w:tcPr>
            <w:tcW w:w="144" w:type="pct"/>
            <w:tcBorders>
              <w:top w:val="nil"/>
              <w:left w:val="nil"/>
              <w:bottom w:val="nil"/>
              <w:right w:val="nil"/>
            </w:tcBorders>
            <w:noWrap/>
            <w:hideMark/>
          </w:tcPr>
          <w:p w14:paraId="5297D1AF" w14:textId="01CB891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7</w:t>
            </w:r>
          </w:p>
        </w:tc>
        <w:tc>
          <w:tcPr>
            <w:tcW w:w="289" w:type="pct"/>
            <w:tcBorders>
              <w:top w:val="nil"/>
              <w:left w:val="nil"/>
              <w:bottom w:val="nil"/>
              <w:right w:val="nil"/>
            </w:tcBorders>
            <w:hideMark/>
          </w:tcPr>
          <w:p w14:paraId="2553FADF" w14:textId="64E76AF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63.40 (6.04)</w:t>
            </w:r>
          </w:p>
        </w:tc>
        <w:tc>
          <w:tcPr>
            <w:tcW w:w="336" w:type="pct"/>
            <w:tcBorders>
              <w:top w:val="nil"/>
              <w:left w:val="nil"/>
              <w:bottom w:val="nil"/>
              <w:right w:val="nil"/>
            </w:tcBorders>
            <w:noWrap/>
            <w:hideMark/>
          </w:tcPr>
          <w:p w14:paraId="21CBFDC0" w14:textId="7617322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417" w:type="pct"/>
            <w:tcBorders>
              <w:top w:val="nil"/>
              <w:left w:val="nil"/>
              <w:bottom w:val="nil"/>
              <w:right w:val="nil"/>
            </w:tcBorders>
            <w:noWrap/>
            <w:hideMark/>
          </w:tcPr>
          <w:p w14:paraId="29D28631" w14:textId="61469DB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785" w:type="pct"/>
            <w:tcBorders>
              <w:top w:val="nil"/>
              <w:left w:val="nil"/>
              <w:bottom w:val="nil"/>
              <w:right w:val="nil"/>
            </w:tcBorders>
            <w:noWrap/>
            <w:hideMark/>
          </w:tcPr>
          <w:p w14:paraId="0C72DEAB" w14:textId="29BDC78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 xml:space="preserve">Interactive serious games targeting attention, including concentration, short-term memory, and dual tasking; memory recall; executive functioning; and emotional wellbeing. Tasks automatically adapted to each participant’s </w:t>
            </w:r>
            <w:r w:rsidRPr="00623862">
              <w:rPr>
                <w:rFonts w:ascii="Times New Roman" w:hAnsi="Times New Roman" w:cs="Times New Roman"/>
              </w:rPr>
              <w:lastRenderedPageBreak/>
              <w:t>level of motor functioning and involved arm movements to destroy crates, fly kites, play drums, play and remember cards, and move balls.</w:t>
            </w:r>
          </w:p>
        </w:tc>
        <w:tc>
          <w:tcPr>
            <w:tcW w:w="407" w:type="pct"/>
            <w:tcBorders>
              <w:top w:val="nil"/>
              <w:left w:val="nil"/>
              <w:bottom w:val="nil"/>
              <w:right w:val="nil"/>
            </w:tcBorders>
            <w:noWrap/>
            <w:hideMark/>
          </w:tcPr>
          <w:p w14:paraId="2DD509EF" w14:textId="66C7B00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lastRenderedPageBreak/>
              <w:t>Non-immersive with controller</w:t>
            </w:r>
          </w:p>
        </w:tc>
        <w:tc>
          <w:tcPr>
            <w:tcW w:w="843" w:type="pct"/>
            <w:tcBorders>
              <w:top w:val="nil"/>
              <w:left w:val="nil"/>
              <w:bottom w:val="nil"/>
              <w:right w:val="nil"/>
            </w:tcBorders>
            <w:noWrap/>
            <w:hideMark/>
          </w:tcPr>
          <w:p w14:paraId="39410CBF"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 xml:space="preserve">Improvements were reported in decision-making and executive functioning, with trends towards improvement in depression and processing speed. VR was feasible and associated with high satisfaction and engagement. Some usability </w:t>
            </w:r>
            <w:r w:rsidRPr="00623862">
              <w:rPr>
                <w:rFonts w:ascii="Times New Roman" w:hAnsi="Times New Roman" w:cs="Times New Roman"/>
              </w:rPr>
              <w:lastRenderedPageBreak/>
              <w:t>issues occurred, including difficulty with HMD weight and visual acuity control. No significant negative effects were reported. Emotional improvements were observed. Three participants experienced slight increases in depression scores after the intervention.</w:t>
            </w:r>
          </w:p>
          <w:p w14:paraId="60EAD80F" w14:textId="19DE51C5" w:rsidR="00A504E9" w:rsidRPr="00623862" w:rsidRDefault="00A504E9" w:rsidP="00623862">
            <w:pPr>
              <w:pStyle w:val="Tables"/>
              <w:rPr>
                <w:rFonts w:ascii="Times New Roman" w:hAnsi="Times New Roman" w:cs="Times New Roman"/>
                <w:lang w:eastAsia="en-GB"/>
              </w:rPr>
            </w:pPr>
          </w:p>
        </w:tc>
      </w:tr>
      <w:tr w:rsidR="00623862" w:rsidRPr="00623862" w14:paraId="4444037B" w14:textId="77777777" w:rsidTr="00181CF9">
        <w:trPr>
          <w:trHeight w:val="1050"/>
        </w:trPr>
        <w:tc>
          <w:tcPr>
            <w:tcW w:w="336" w:type="pct"/>
            <w:tcBorders>
              <w:top w:val="nil"/>
              <w:left w:val="nil"/>
              <w:bottom w:val="nil"/>
              <w:right w:val="nil"/>
            </w:tcBorders>
            <w:noWrap/>
            <w:hideMark/>
          </w:tcPr>
          <w:p w14:paraId="526CEFCA" w14:textId="1E97814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lastRenderedPageBreak/>
              <w:t>Coelho et al. (2020)</w:t>
            </w:r>
          </w:p>
        </w:tc>
        <w:tc>
          <w:tcPr>
            <w:tcW w:w="290" w:type="pct"/>
            <w:tcBorders>
              <w:top w:val="nil"/>
              <w:left w:val="nil"/>
              <w:bottom w:val="nil"/>
              <w:right w:val="nil"/>
            </w:tcBorders>
            <w:noWrap/>
            <w:hideMark/>
          </w:tcPr>
          <w:p w14:paraId="38380A0D" w14:textId="03DBC43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58E65D41" w14:textId="1024223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AD</w:t>
            </w:r>
          </w:p>
        </w:tc>
        <w:tc>
          <w:tcPr>
            <w:tcW w:w="529" w:type="pct"/>
            <w:tcBorders>
              <w:top w:val="nil"/>
              <w:left w:val="nil"/>
              <w:bottom w:val="nil"/>
              <w:right w:val="nil"/>
            </w:tcBorders>
            <w:noWrap/>
            <w:hideMark/>
          </w:tcPr>
          <w:p w14:paraId="189459DD" w14:textId="58304BD5"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MoCA M = 7.20, SD = 5.30; GDS 4–6</w:t>
            </w:r>
          </w:p>
        </w:tc>
        <w:tc>
          <w:tcPr>
            <w:tcW w:w="192" w:type="pct"/>
            <w:tcBorders>
              <w:top w:val="nil"/>
              <w:left w:val="nil"/>
              <w:bottom w:val="nil"/>
              <w:right w:val="nil"/>
            </w:tcBorders>
            <w:noWrap/>
            <w:hideMark/>
          </w:tcPr>
          <w:p w14:paraId="0E481F32" w14:textId="7D86DFF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9</w:t>
            </w:r>
          </w:p>
        </w:tc>
        <w:tc>
          <w:tcPr>
            <w:tcW w:w="144" w:type="pct"/>
            <w:tcBorders>
              <w:top w:val="nil"/>
              <w:left w:val="nil"/>
              <w:bottom w:val="nil"/>
              <w:right w:val="nil"/>
            </w:tcBorders>
            <w:noWrap/>
            <w:hideMark/>
          </w:tcPr>
          <w:p w14:paraId="7FE18592" w14:textId="02C4E2B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3</w:t>
            </w:r>
          </w:p>
        </w:tc>
        <w:tc>
          <w:tcPr>
            <w:tcW w:w="289" w:type="pct"/>
            <w:tcBorders>
              <w:top w:val="nil"/>
              <w:left w:val="nil"/>
              <w:bottom w:val="nil"/>
              <w:right w:val="nil"/>
            </w:tcBorders>
            <w:hideMark/>
          </w:tcPr>
          <w:p w14:paraId="09CE2C07" w14:textId="41BAC13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85.60 (7.40)</w:t>
            </w:r>
          </w:p>
        </w:tc>
        <w:tc>
          <w:tcPr>
            <w:tcW w:w="336" w:type="pct"/>
            <w:tcBorders>
              <w:top w:val="nil"/>
              <w:left w:val="nil"/>
              <w:bottom w:val="nil"/>
              <w:right w:val="nil"/>
            </w:tcBorders>
            <w:noWrap/>
            <w:hideMark/>
          </w:tcPr>
          <w:p w14:paraId="457BB0EE" w14:textId="1DBA7D0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417" w:type="pct"/>
            <w:tcBorders>
              <w:top w:val="nil"/>
              <w:left w:val="nil"/>
              <w:bottom w:val="nil"/>
              <w:right w:val="nil"/>
            </w:tcBorders>
            <w:noWrap/>
            <w:hideMark/>
          </w:tcPr>
          <w:p w14:paraId="353F70A1" w14:textId="5F33E91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SSQ</w:t>
            </w:r>
          </w:p>
        </w:tc>
        <w:tc>
          <w:tcPr>
            <w:tcW w:w="785" w:type="pct"/>
            <w:tcBorders>
              <w:top w:val="nil"/>
              <w:left w:val="nil"/>
              <w:bottom w:val="nil"/>
              <w:right w:val="nil"/>
            </w:tcBorders>
            <w:noWrap/>
            <w:hideMark/>
          </w:tcPr>
          <w:p w14:paraId="5DD0A5FB" w14:textId="3F9F9B6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Viewing 360° reminiscence videos.</w:t>
            </w:r>
          </w:p>
        </w:tc>
        <w:tc>
          <w:tcPr>
            <w:tcW w:w="407" w:type="pct"/>
            <w:tcBorders>
              <w:top w:val="nil"/>
              <w:left w:val="nil"/>
              <w:bottom w:val="nil"/>
              <w:right w:val="nil"/>
            </w:tcBorders>
            <w:noWrap/>
            <w:hideMark/>
          </w:tcPr>
          <w:p w14:paraId="287C71B1" w14:textId="3E145F7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w:t>
            </w:r>
          </w:p>
        </w:tc>
        <w:tc>
          <w:tcPr>
            <w:tcW w:w="843" w:type="pct"/>
            <w:tcBorders>
              <w:top w:val="nil"/>
              <w:left w:val="nil"/>
              <w:bottom w:val="nil"/>
              <w:right w:val="nil"/>
            </w:tcBorders>
            <w:noWrap/>
            <w:hideMark/>
          </w:tcPr>
          <w:p w14:paraId="687CAB90"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Participants showed positive engagement and high satisfaction. VR was feasible, safe, immersive, motivating, and engaging despite its difficulty. Simulator sickness symptoms were minimal.</w:t>
            </w:r>
          </w:p>
          <w:p w14:paraId="49224F2B" w14:textId="2E9E27ED" w:rsidR="00A504E9" w:rsidRPr="00623862" w:rsidRDefault="00A504E9" w:rsidP="00623862">
            <w:pPr>
              <w:pStyle w:val="Tables"/>
              <w:rPr>
                <w:rFonts w:ascii="Times New Roman" w:hAnsi="Times New Roman" w:cs="Times New Roman"/>
                <w:lang w:eastAsia="en-GB"/>
              </w:rPr>
            </w:pPr>
          </w:p>
        </w:tc>
      </w:tr>
      <w:tr w:rsidR="00623862" w:rsidRPr="00623862" w14:paraId="02D6A2A3" w14:textId="77777777" w:rsidTr="00181CF9">
        <w:trPr>
          <w:trHeight w:val="600"/>
        </w:trPr>
        <w:tc>
          <w:tcPr>
            <w:tcW w:w="336" w:type="pct"/>
            <w:tcBorders>
              <w:top w:val="nil"/>
              <w:left w:val="nil"/>
              <w:bottom w:val="nil"/>
              <w:right w:val="nil"/>
            </w:tcBorders>
            <w:noWrap/>
            <w:hideMark/>
          </w:tcPr>
          <w:p w14:paraId="00465DE1" w14:textId="1D3AEB6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Flynn et al. (2003)</w:t>
            </w:r>
          </w:p>
        </w:tc>
        <w:tc>
          <w:tcPr>
            <w:tcW w:w="290" w:type="pct"/>
            <w:tcBorders>
              <w:top w:val="nil"/>
              <w:left w:val="nil"/>
              <w:bottom w:val="nil"/>
              <w:right w:val="nil"/>
            </w:tcBorders>
            <w:noWrap/>
            <w:hideMark/>
          </w:tcPr>
          <w:p w14:paraId="268C2C33" w14:textId="41052EB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6A88617D" w14:textId="2D80473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Mild-to-moderate dementia; AD, mixed dementia, vascular dementia, primary progressive aphasia, and organic brain syndrome</w:t>
            </w:r>
          </w:p>
        </w:tc>
        <w:tc>
          <w:tcPr>
            <w:tcW w:w="529" w:type="pct"/>
            <w:tcBorders>
              <w:top w:val="nil"/>
              <w:left w:val="nil"/>
              <w:bottom w:val="nil"/>
              <w:right w:val="nil"/>
            </w:tcBorders>
            <w:noWrap/>
            <w:hideMark/>
          </w:tcPr>
          <w:p w14:paraId="0D10F325" w14:textId="23080FC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MMSE = 12 for one participant only</w:t>
            </w:r>
          </w:p>
        </w:tc>
        <w:tc>
          <w:tcPr>
            <w:tcW w:w="192" w:type="pct"/>
            <w:tcBorders>
              <w:top w:val="nil"/>
              <w:left w:val="nil"/>
              <w:bottom w:val="nil"/>
              <w:right w:val="nil"/>
            </w:tcBorders>
            <w:noWrap/>
            <w:hideMark/>
          </w:tcPr>
          <w:p w14:paraId="5E4C9A25" w14:textId="17B1D7B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6</w:t>
            </w:r>
          </w:p>
        </w:tc>
        <w:tc>
          <w:tcPr>
            <w:tcW w:w="144" w:type="pct"/>
            <w:tcBorders>
              <w:top w:val="nil"/>
              <w:left w:val="nil"/>
              <w:bottom w:val="nil"/>
              <w:right w:val="nil"/>
            </w:tcBorders>
            <w:noWrap/>
            <w:hideMark/>
          </w:tcPr>
          <w:p w14:paraId="3BC27720" w14:textId="445E42B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3</w:t>
            </w:r>
          </w:p>
        </w:tc>
        <w:tc>
          <w:tcPr>
            <w:tcW w:w="289" w:type="pct"/>
            <w:tcBorders>
              <w:top w:val="nil"/>
              <w:left w:val="nil"/>
              <w:bottom w:val="nil"/>
              <w:right w:val="nil"/>
            </w:tcBorders>
            <w:hideMark/>
          </w:tcPr>
          <w:p w14:paraId="2E60DFDE" w14:textId="1242D445"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52–91</w:t>
            </w:r>
          </w:p>
        </w:tc>
        <w:tc>
          <w:tcPr>
            <w:tcW w:w="336" w:type="pct"/>
            <w:tcBorders>
              <w:top w:val="nil"/>
              <w:left w:val="nil"/>
              <w:bottom w:val="nil"/>
              <w:right w:val="nil"/>
            </w:tcBorders>
            <w:noWrap/>
            <w:hideMark/>
          </w:tcPr>
          <w:p w14:paraId="557907F0" w14:textId="382F2E3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 xml:space="preserve">Yes; modified version of </w:t>
            </w:r>
            <w:proofErr w:type="spellStart"/>
            <w:r w:rsidRPr="00623862">
              <w:rPr>
                <w:rFonts w:ascii="Times New Roman" w:hAnsi="Times New Roman" w:cs="Times New Roman"/>
              </w:rPr>
              <w:t>VRUse</w:t>
            </w:r>
            <w:proofErr w:type="spellEnd"/>
            <w:r w:rsidRPr="00623862">
              <w:rPr>
                <w:rFonts w:ascii="Times New Roman" w:hAnsi="Times New Roman" w:cs="Times New Roman"/>
              </w:rPr>
              <w:t xml:space="preserve"> (</w:t>
            </w:r>
            <w:proofErr w:type="spellStart"/>
            <w:r w:rsidRPr="00623862">
              <w:rPr>
                <w:rFonts w:ascii="Times New Roman" w:hAnsi="Times New Roman" w:cs="Times New Roman"/>
              </w:rPr>
              <w:t>Kalawsky</w:t>
            </w:r>
            <w:proofErr w:type="spellEnd"/>
            <w:r w:rsidRPr="00623862">
              <w:rPr>
                <w:rFonts w:ascii="Times New Roman" w:hAnsi="Times New Roman" w:cs="Times New Roman"/>
              </w:rPr>
              <w:t>, 1999)</w:t>
            </w:r>
          </w:p>
        </w:tc>
        <w:tc>
          <w:tcPr>
            <w:tcW w:w="417" w:type="pct"/>
            <w:tcBorders>
              <w:top w:val="nil"/>
              <w:left w:val="nil"/>
              <w:bottom w:val="nil"/>
              <w:right w:val="nil"/>
            </w:tcBorders>
            <w:noWrap/>
            <w:hideMark/>
          </w:tcPr>
          <w:p w14:paraId="1F32562F" w14:textId="427AF23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Yes; modified version of SSQ</w:t>
            </w:r>
          </w:p>
        </w:tc>
        <w:tc>
          <w:tcPr>
            <w:tcW w:w="785" w:type="pct"/>
            <w:tcBorders>
              <w:top w:val="nil"/>
              <w:left w:val="nil"/>
              <w:bottom w:val="nil"/>
              <w:right w:val="nil"/>
            </w:tcBorders>
            <w:noWrap/>
            <w:hideMark/>
          </w:tcPr>
          <w:p w14:paraId="6921144D" w14:textId="16D3B99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Navigating a park.</w:t>
            </w:r>
          </w:p>
        </w:tc>
        <w:tc>
          <w:tcPr>
            <w:tcW w:w="407" w:type="pct"/>
            <w:tcBorders>
              <w:top w:val="nil"/>
              <w:left w:val="nil"/>
              <w:bottom w:val="nil"/>
              <w:right w:val="nil"/>
            </w:tcBorders>
            <w:noWrap/>
            <w:hideMark/>
          </w:tcPr>
          <w:p w14:paraId="3514B5E6" w14:textId="75194E8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Semi-immersive with controller</w:t>
            </w:r>
          </w:p>
        </w:tc>
        <w:tc>
          <w:tcPr>
            <w:tcW w:w="843" w:type="pct"/>
            <w:tcBorders>
              <w:top w:val="nil"/>
              <w:left w:val="nil"/>
              <w:bottom w:val="nil"/>
              <w:right w:val="nil"/>
            </w:tcBorders>
            <w:noWrap/>
            <w:hideMark/>
          </w:tcPr>
          <w:p w14:paraId="40681088"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VR was feasible and supported realistic object perception, ease of use, sense of control, and enjoyment. No significant adverse effects or reduction in psychological wellbeing were reported. Participants had little difficulty understanding and responding to questionnaire items. Participants experienced presence in the virtual environment, perceiving it as realistic and feeling in control of their interactions. Carer involvement provided social support, reduced anxiety, and enhanced motivation. Some participants paused the task to answer presence items, indicating divided attention during interaction. A slight increase in heart rate was observed, possibly due to situational anxiety or the physical effort of operating the controller.</w:t>
            </w:r>
          </w:p>
          <w:p w14:paraId="76930FEB" w14:textId="66E59C4D" w:rsidR="00A504E9" w:rsidRPr="00623862" w:rsidRDefault="00A504E9" w:rsidP="00623862">
            <w:pPr>
              <w:pStyle w:val="Tables"/>
              <w:rPr>
                <w:rFonts w:ascii="Times New Roman" w:hAnsi="Times New Roman" w:cs="Times New Roman"/>
                <w:lang w:eastAsia="en-GB"/>
              </w:rPr>
            </w:pPr>
          </w:p>
        </w:tc>
      </w:tr>
      <w:tr w:rsidR="00623862" w:rsidRPr="00623862" w14:paraId="14D3BD55" w14:textId="77777777" w:rsidTr="00181CF9">
        <w:trPr>
          <w:trHeight w:val="600"/>
        </w:trPr>
        <w:tc>
          <w:tcPr>
            <w:tcW w:w="336" w:type="pct"/>
            <w:tcBorders>
              <w:top w:val="nil"/>
              <w:left w:val="nil"/>
              <w:bottom w:val="nil"/>
              <w:right w:val="nil"/>
            </w:tcBorders>
            <w:noWrap/>
            <w:hideMark/>
          </w:tcPr>
          <w:p w14:paraId="7F29E8DB" w14:textId="49F8AD8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Goodall et al. (2021)</w:t>
            </w:r>
          </w:p>
        </w:tc>
        <w:tc>
          <w:tcPr>
            <w:tcW w:w="290" w:type="pct"/>
            <w:tcBorders>
              <w:top w:val="nil"/>
              <w:left w:val="nil"/>
              <w:bottom w:val="nil"/>
              <w:right w:val="nil"/>
            </w:tcBorders>
            <w:noWrap/>
            <w:hideMark/>
          </w:tcPr>
          <w:p w14:paraId="05D708C2" w14:textId="791BB34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2577B3F3" w14:textId="18E8345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Moderate-to-severe dementia; AD, vascular dementia, Parkinson’s disease, Lewy bodies and Parkinson’s disease, and alcohol-related dementia</w:t>
            </w:r>
          </w:p>
        </w:tc>
        <w:tc>
          <w:tcPr>
            <w:tcW w:w="529" w:type="pct"/>
            <w:tcBorders>
              <w:top w:val="nil"/>
              <w:left w:val="nil"/>
              <w:bottom w:val="nil"/>
              <w:right w:val="nil"/>
            </w:tcBorders>
            <w:noWrap/>
            <w:hideMark/>
          </w:tcPr>
          <w:p w14:paraId="7C3F30F7" w14:textId="39A39FAE"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192" w:type="pct"/>
            <w:tcBorders>
              <w:top w:val="nil"/>
              <w:left w:val="nil"/>
              <w:bottom w:val="nil"/>
              <w:right w:val="nil"/>
            </w:tcBorders>
            <w:noWrap/>
            <w:hideMark/>
          </w:tcPr>
          <w:p w14:paraId="1F465CB5" w14:textId="6F2489E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12</w:t>
            </w:r>
          </w:p>
        </w:tc>
        <w:tc>
          <w:tcPr>
            <w:tcW w:w="144" w:type="pct"/>
            <w:tcBorders>
              <w:top w:val="nil"/>
              <w:left w:val="nil"/>
              <w:bottom w:val="nil"/>
              <w:right w:val="nil"/>
            </w:tcBorders>
            <w:noWrap/>
            <w:hideMark/>
          </w:tcPr>
          <w:p w14:paraId="695F51A9" w14:textId="138C346E"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289" w:type="pct"/>
            <w:tcBorders>
              <w:top w:val="nil"/>
              <w:left w:val="nil"/>
              <w:bottom w:val="nil"/>
              <w:right w:val="nil"/>
            </w:tcBorders>
            <w:hideMark/>
          </w:tcPr>
          <w:p w14:paraId="08CCAC4C" w14:textId="74637C3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84.1 (8.93)</w:t>
            </w:r>
          </w:p>
        </w:tc>
        <w:tc>
          <w:tcPr>
            <w:tcW w:w="336" w:type="pct"/>
            <w:tcBorders>
              <w:top w:val="nil"/>
              <w:left w:val="nil"/>
              <w:bottom w:val="nil"/>
              <w:right w:val="nil"/>
            </w:tcBorders>
            <w:noWrap/>
            <w:hideMark/>
          </w:tcPr>
          <w:p w14:paraId="2EFA824D" w14:textId="150F06F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417" w:type="pct"/>
            <w:tcBorders>
              <w:top w:val="nil"/>
              <w:left w:val="nil"/>
              <w:bottom w:val="nil"/>
              <w:right w:val="nil"/>
            </w:tcBorders>
            <w:noWrap/>
            <w:hideMark/>
          </w:tcPr>
          <w:p w14:paraId="5B65A1A2" w14:textId="15ED35D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785" w:type="pct"/>
            <w:tcBorders>
              <w:top w:val="nil"/>
              <w:left w:val="nil"/>
              <w:bottom w:val="nil"/>
              <w:right w:val="nil"/>
            </w:tcBorders>
            <w:noWrap/>
            <w:hideMark/>
          </w:tcPr>
          <w:p w14:paraId="64F69FA3" w14:textId="0E9B126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Exergames, film watching, family photographs, touchscreen activities, and memory and sensory tasks.</w:t>
            </w:r>
          </w:p>
        </w:tc>
        <w:tc>
          <w:tcPr>
            <w:tcW w:w="407" w:type="pct"/>
            <w:tcBorders>
              <w:top w:val="nil"/>
              <w:left w:val="nil"/>
              <w:bottom w:val="nil"/>
              <w:right w:val="nil"/>
            </w:tcBorders>
            <w:noWrap/>
            <w:hideMark/>
          </w:tcPr>
          <w:p w14:paraId="64571D9C" w14:textId="7DECDF0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Semi-immersive</w:t>
            </w:r>
          </w:p>
        </w:tc>
        <w:tc>
          <w:tcPr>
            <w:tcW w:w="843" w:type="pct"/>
            <w:tcBorders>
              <w:top w:val="nil"/>
              <w:left w:val="nil"/>
              <w:bottom w:val="nil"/>
              <w:right w:val="nil"/>
            </w:tcBorders>
            <w:noWrap/>
            <w:hideMark/>
          </w:tcPr>
          <w:p w14:paraId="3B97543D"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VR stimulated emotional experiences, preserved a sense of narrative identity, and improved interpersonal relationships at familial and professional levels. Music prompted meaningful interactions, with patients expressing their identities through dancing and singing. This was important for individuals with advanced dementia who may have difficulty with verbal communication.</w:t>
            </w:r>
          </w:p>
          <w:p w14:paraId="7D17CB00" w14:textId="0334340F" w:rsidR="00A504E9" w:rsidRPr="00623862" w:rsidRDefault="00A504E9" w:rsidP="00623862">
            <w:pPr>
              <w:pStyle w:val="Tables"/>
              <w:rPr>
                <w:rFonts w:ascii="Times New Roman" w:hAnsi="Times New Roman" w:cs="Times New Roman"/>
                <w:lang w:eastAsia="en-GB"/>
              </w:rPr>
            </w:pPr>
          </w:p>
        </w:tc>
      </w:tr>
      <w:tr w:rsidR="00623862" w:rsidRPr="00623862" w14:paraId="58D057EE" w14:textId="77777777" w:rsidTr="00181CF9">
        <w:trPr>
          <w:trHeight w:val="600"/>
        </w:trPr>
        <w:tc>
          <w:tcPr>
            <w:tcW w:w="336" w:type="pct"/>
            <w:tcBorders>
              <w:top w:val="nil"/>
              <w:left w:val="nil"/>
              <w:bottom w:val="nil"/>
              <w:right w:val="nil"/>
            </w:tcBorders>
            <w:noWrap/>
            <w:hideMark/>
          </w:tcPr>
          <w:p w14:paraId="1A1322F3" w14:textId="032D054B"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Hassandra</w:t>
            </w:r>
            <w:proofErr w:type="spellEnd"/>
            <w:r w:rsidRPr="00623862">
              <w:rPr>
                <w:rFonts w:ascii="Times New Roman" w:hAnsi="Times New Roman" w:cs="Times New Roman"/>
              </w:rPr>
              <w:t xml:space="preserve"> et al. (2021)</w:t>
            </w:r>
          </w:p>
        </w:tc>
        <w:tc>
          <w:tcPr>
            <w:tcW w:w="290" w:type="pct"/>
            <w:tcBorders>
              <w:top w:val="nil"/>
              <w:left w:val="nil"/>
              <w:bottom w:val="nil"/>
              <w:right w:val="nil"/>
            </w:tcBorders>
            <w:noWrap/>
            <w:hideMark/>
          </w:tcPr>
          <w:p w14:paraId="6B30792D" w14:textId="73F7C94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MCI</w:t>
            </w:r>
          </w:p>
        </w:tc>
        <w:tc>
          <w:tcPr>
            <w:tcW w:w="432" w:type="pct"/>
            <w:tcBorders>
              <w:top w:val="nil"/>
              <w:left w:val="nil"/>
              <w:bottom w:val="nil"/>
              <w:right w:val="nil"/>
            </w:tcBorders>
            <w:noWrap/>
            <w:hideMark/>
          </w:tcPr>
          <w:p w14:paraId="3DA59654" w14:textId="41559863"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529" w:type="pct"/>
            <w:tcBorders>
              <w:top w:val="nil"/>
              <w:left w:val="nil"/>
              <w:bottom w:val="nil"/>
              <w:right w:val="nil"/>
            </w:tcBorders>
            <w:noWrap/>
            <w:hideMark/>
          </w:tcPr>
          <w:p w14:paraId="1484EC69" w14:textId="75477F8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MMSE M = 26.63, SD = 1.85</w:t>
            </w:r>
          </w:p>
        </w:tc>
        <w:tc>
          <w:tcPr>
            <w:tcW w:w="192" w:type="pct"/>
            <w:tcBorders>
              <w:top w:val="nil"/>
              <w:left w:val="nil"/>
              <w:bottom w:val="nil"/>
              <w:right w:val="nil"/>
            </w:tcBorders>
            <w:noWrap/>
            <w:hideMark/>
          </w:tcPr>
          <w:p w14:paraId="4A6E2E18" w14:textId="6EA5FC7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27</w:t>
            </w:r>
          </w:p>
        </w:tc>
        <w:tc>
          <w:tcPr>
            <w:tcW w:w="144" w:type="pct"/>
            <w:tcBorders>
              <w:top w:val="nil"/>
              <w:left w:val="nil"/>
              <w:bottom w:val="nil"/>
              <w:right w:val="nil"/>
            </w:tcBorders>
            <w:noWrap/>
            <w:hideMark/>
          </w:tcPr>
          <w:p w14:paraId="7FEB202A" w14:textId="1423908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w:t>
            </w:r>
          </w:p>
        </w:tc>
        <w:tc>
          <w:tcPr>
            <w:tcW w:w="289" w:type="pct"/>
            <w:tcBorders>
              <w:top w:val="nil"/>
              <w:left w:val="nil"/>
              <w:bottom w:val="nil"/>
              <w:right w:val="nil"/>
            </w:tcBorders>
            <w:hideMark/>
          </w:tcPr>
          <w:p w14:paraId="7A3DD61A" w14:textId="7D76351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73.22 (9.26)</w:t>
            </w:r>
          </w:p>
        </w:tc>
        <w:tc>
          <w:tcPr>
            <w:tcW w:w="336" w:type="pct"/>
            <w:tcBorders>
              <w:top w:val="nil"/>
              <w:left w:val="nil"/>
              <w:bottom w:val="nil"/>
              <w:right w:val="nil"/>
            </w:tcBorders>
            <w:noWrap/>
            <w:hideMark/>
          </w:tcPr>
          <w:p w14:paraId="314BA48C" w14:textId="1BDC90D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417" w:type="pct"/>
            <w:tcBorders>
              <w:top w:val="nil"/>
              <w:left w:val="nil"/>
              <w:bottom w:val="nil"/>
              <w:right w:val="nil"/>
            </w:tcBorders>
            <w:noWrap/>
            <w:hideMark/>
          </w:tcPr>
          <w:p w14:paraId="3DF46780" w14:textId="5E7A1DF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 authors reported no adverse effects</w:t>
            </w:r>
          </w:p>
        </w:tc>
        <w:tc>
          <w:tcPr>
            <w:tcW w:w="785" w:type="pct"/>
            <w:tcBorders>
              <w:top w:val="nil"/>
              <w:left w:val="nil"/>
              <w:bottom w:val="nil"/>
              <w:right w:val="nil"/>
            </w:tcBorders>
            <w:noWrap/>
            <w:hideMark/>
          </w:tcPr>
          <w:p w14:paraId="64336EC4" w14:textId="01120E2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Exergame involving cycling and cognitive tasks involving numerical calculations.</w:t>
            </w:r>
          </w:p>
        </w:tc>
        <w:tc>
          <w:tcPr>
            <w:tcW w:w="407" w:type="pct"/>
            <w:tcBorders>
              <w:top w:val="nil"/>
              <w:left w:val="nil"/>
              <w:bottom w:val="nil"/>
              <w:right w:val="nil"/>
            </w:tcBorders>
            <w:noWrap/>
            <w:hideMark/>
          </w:tcPr>
          <w:p w14:paraId="242D4A2B" w14:textId="778FF5B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w:t>
            </w:r>
          </w:p>
        </w:tc>
        <w:tc>
          <w:tcPr>
            <w:tcW w:w="843" w:type="pct"/>
            <w:tcBorders>
              <w:top w:val="nil"/>
              <w:left w:val="nil"/>
              <w:bottom w:val="nil"/>
              <w:right w:val="nil"/>
            </w:tcBorders>
            <w:noWrap/>
            <w:hideMark/>
          </w:tcPr>
          <w:p w14:paraId="6425D096"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Usability was good, with minimal adverse effects and 93% tolerability. Enjoyment and intention to use VR again were high. The system was perceived as attractive and interesting, regardless of whether users were innovation-seeking.</w:t>
            </w:r>
          </w:p>
          <w:p w14:paraId="78831BD9" w14:textId="68D38D38" w:rsidR="00A504E9" w:rsidRPr="00623862" w:rsidRDefault="00A504E9" w:rsidP="00623862">
            <w:pPr>
              <w:pStyle w:val="Tables"/>
              <w:rPr>
                <w:rFonts w:ascii="Times New Roman" w:hAnsi="Times New Roman" w:cs="Times New Roman"/>
                <w:lang w:eastAsia="en-GB"/>
              </w:rPr>
            </w:pPr>
          </w:p>
        </w:tc>
      </w:tr>
      <w:tr w:rsidR="00623862" w:rsidRPr="00623862" w14:paraId="70BC0AD2" w14:textId="77777777" w:rsidTr="00181CF9">
        <w:trPr>
          <w:trHeight w:val="600"/>
        </w:trPr>
        <w:tc>
          <w:tcPr>
            <w:tcW w:w="336" w:type="pct"/>
            <w:tcBorders>
              <w:top w:val="nil"/>
              <w:left w:val="nil"/>
              <w:bottom w:val="nil"/>
              <w:right w:val="nil"/>
            </w:tcBorders>
            <w:noWrap/>
            <w:hideMark/>
          </w:tcPr>
          <w:p w14:paraId="4BCA284A" w14:textId="4B20818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Kim et al. (2021)</w:t>
            </w:r>
          </w:p>
        </w:tc>
        <w:tc>
          <w:tcPr>
            <w:tcW w:w="290" w:type="pct"/>
            <w:tcBorders>
              <w:top w:val="nil"/>
              <w:left w:val="nil"/>
              <w:bottom w:val="nil"/>
              <w:right w:val="nil"/>
            </w:tcBorders>
            <w:noWrap/>
            <w:hideMark/>
          </w:tcPr>
          <w:p w14:paraId="25788F21" w14:textId="74A02A6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1D179C37" w14:textId="4190C38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Moderate to severe</w:t>
            </w:r>
          </w:p>
        </w:tc>
        <w:tc>
          <w:tcPr>
            <w:tcW w:w="529" w:type="pct"/>
            <w:tcBorders>
              <w:top w:val="nil"/>
              <w:left w:val="nil"/>
              <w:bottom w:val="nil"/>
              <w:right w:val="nil"/>
            </w:tcBorders>
            <w:noWrap/>
            <w:hideMark/>
          </w:tcPr>
          <w:p w14:paraId="2DD09870" w14:textId="0D310DE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MMSE-K M = 21.44, SD = 4.59</w:t>
            </w:r>
          </w:p>
        </w:tc>
        <w:tc>
          <w:tcPr>
            <w:tcW w:w="192" w:type="pct"/>
            <w:tcBorders>
              <w:top w:val="nil"/>
              <w:left w:val="nil"/>
              <w:bottom w:val="nil"/>
              <w:right w:val="nil"/>
            </w:tcBorders>
            <w:noWrap/>
            <w:hideMark/>
          </w:tcPr>
          <w:p w14:paraId="3674CBD7" w14:textId="6E98A7C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10</w:t>
            </w:r>
          </w:p>
        </w:tc>
        <w:tc>
          <w:tcPr>
            <w:tcW w:w="144" w:type="pct"/>
            <w:tcBorders>
              <w:top w:val="nil"/>
              <w:left w:val="nil"/>
              <w:bottom w:val="nil"/>
              <w:right w:val="nil"/>
            </w:tcBorders>
            <w:noWrap/>
            <w:hideMark/>
          </w:tcPr>
          <w:p w14:paraId="39BCD810" w14:textId="5E82FD0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0</w:t>
            </w:r>
          </w:p>
        </w:tc>
        <w:tc>
          <w:tcPr>
            <w:tcW w:w="289" w:type="pct"/>
            <w:tcBorders>
              <w:top w:val="nil"/>
              <w:left w:val="nil"/>
              <w:bottom w:val="nil"/>
              <w:right w:val="nil"/>
            </w:tcBorders>
            <w:hideMark/>
          </w:tcPr>
          <w:p w14:paraId="1CB9B94D" w14:textId="1E5D508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85.80 (3.26)</w:t>
            </w:r>
          </w:p>
        </w:tc>
        <w:tc>
          <w:tcPr>
            <w:tcW w:w="336" w:type="pct"/>
            <w:tcBorders>
              <w:top w:val="nil"/>
              <w:left w:val="nil"/>
              <w:bottom w:val="nil"/>
              <w:right w:val="nil"/>
            </w:tcBorders>
            <w:noWrap/>
            <w:hideMark/>
          </w:tcPr>
          <w:p w14:paraId="1C06907F" w14:textId="20D6639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One item assessed by a researcher</w:t>
            </w:r>
          </w:p>
        </w:tc>
        <w:tc>
          <w:tcPr>
            <w:tcW w:w="417" w:type="pct"/>
            <w:tcBorders>
              <w:top w:val="nil"/>
              <w:left w:val="nil"/>
              <w:bottom w:val="nil"/>
              <w:right w:val="nil"/>
            </w:tcBorders>
            <w:noWrap/>
            <w:hideMark/>
          </w:tcPr>
          <w:p w14:paraId="42E22397" w14:textId="0DD533C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Yes/no assessment by a researcher</w:t>
            </w:r>
          </w:p>
        </w:tc>
        <w:tc>
          <w:tcPr>
            <w:tcW w:w="785" w:type="pct"/>
            <w:tcBorders>
              <w:top w:val="nil"/>
              <w:left w:val="nil"/>
              <w:bottom w:val="nil"/>
              <w:right w:val="nil"/>
            </w:tcBorders>
            <w:noWrap/>
            <w:hideMark/>
          </w:tcPr>
          <w:p w14:paraId="787C2E52" w14:textId="780D7355"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Viewing 360° videos. Environments targeted different psychological needs and included looking at and listening to natural scenes, boarding a train, drinking tea, playing with puppies, viewing family photographs, and walking through orchards.</w:t>
            </w:r>
          </w:p>
        </w:tc>
        <w:tc>
          <w:tcPr>
            <w:tcW w:w="407" w:type="pct"/>
            <w:tcBorders>
              <w:top w:val="nil"/>
              <w:left w:val="nil"/>
              <w:bottom w:val="nil"/>
              <w:right w:val="nil"/>
            </w:tcBorders>
            <w:noWrap/>
            <w:hideMark/>
          </w:tcPr>
          <w:p w14:paraId="4F09F128" w14:textId="431BE94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 with motion control</w:t>
            </w:r>
          </w:p>
        </w:tc>
        <w:tc>
          <w:tcPr>
            <w:tcW w:w="843" w:type="pct"/>
            <w:tcBorders>
              <w:top w:val="nil"/>
              <w:left w:val="nil"/>
              <w:bottom w:val="nil"/>
              <w:right w:val="nil"/>
            </w:tcBorders>
            <w:noWrap/>
            <w:hideMark/>
          </w:tcPr>
          <w:p w14:paraId="720EDDE4"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VR was feasible and safe and helped participants recall the past. Satisfaction and immersion were high. The system was considered safe and convenient. Usability issues included HMD weight, visual acuity control, and hand-movement capture. Satisfaction of psychological needs reduced anxiety and behavioural psychological symptoms. Cybersickness was reported by two participants.</w:t>
            </w:r>
          </w:p>
          <w:p w14:paraId="4B755EA0" w14:textId="20D2407C" w:rsidR="00A504E9" w:rsidRPr="00623862" w:rsidRDefault="00A504E9" w:rsidP="00623862">
            <w:pPr>
              <w:pStyle w:val="Tables"/>
              <w:rPr>
                <w:rFonts w:ascii="Times New Roman" w:hAnsi="Times New Roman" w:cs="Times New Roman"/>
                <w:lang w:eastAsia="en-GB"/>
              </w:rPr>
            </w:pPr>
          </w:p>
        </w:tc>
      </w:tr>
      <w:tr w:rsidR="00623862" w:rsidRPr="00623862" w14:paraId="5A5E9CC0" w14:textId="77777777" w:rsidTr="00181CF9">
        <w:trPr>
          <w:trHeight w:val="300"/>
        </w:trPr>
        <w:tc>
          <w:tcPr>
            <w:tcW w:w="336" w:type="pct"/>
            <w:tcBorders>
              <w:top w:val="nil"/>
              <w:left w:val="nil"/>
              <w:bottom w:val="nil"/>
              <w:right w:val="nil"/>
            </w:tcBorders>
            <w:noWrap/>
            <w:hideMark/>
          </w:tcPr>
          <w:p w14:paraId="78F80D4D" w14:textId="5CCC5CF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Lau et al. (2025)</w:t>
            </w:r>
          </w:p>
        </w:tc>
        <w:tc>
          <w:tcPr>
            <w:tcW w:w="290" w:type="pct"/>
            <w:tcBorders>
              <w:top w:val="nil"/>
              <w:left w:val="nil"/>
              <w:bottom w:val="nil"/>
              <w:right w:val="nil"/>
            </w:tcBorders>
            <w:noWrap/>
            <w:hideMark/>
          </w:tcPr>
          <w:p w14:paraId="5F233C48" w14:textId="2C2A43A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NA</w:t>
            </w:r>
          </w:p>
        </w:tc>
        <w:tc>
          <w:tcPr>
            <w:tcW w:w="432" w:type="pct"/>
            <w:tcBorders>
              <w:top w:val="nil"/>
              <w:left w:val="nil"/>
              <w:bottom w:val="nil"/>
              <w:right w:val="nil"/>
            </w:tcBorders>
            <w:noWrap/>
            <w:hideMark/>
          </w:tcPr>
          <w:p w14:paraId="65CC72FE" w14:textId="14C8975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Vascular</w:t>
            </w:r>
          </w:p>
        </w:tc>
        <w:tc>
          <w:tcPr>
            <w:tcW w:w="529" w:type="pct"/>
            <w:tcBorders>
              <w:top w:val="nil"/>
              <w:left w:val="nil"/>
              <w:bottom w:val="nil"/>
              <w:right w:val="nil"/>
            </w:tcBorders>
            <w:noWrap/>
            <w:hideMark/>
          </w:tcPr>
          <w:p w14:paraId="6F645622" w14:textId="3F80C30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NA</w:t>
            </w:r>
          </w:p>
        </w:tc>
        <w:tc>
          <w:tcPr>
            <w:tcW w:w="192" w:type="pct"/>
            <w:tcBorders>
              <w:top w:val="nil"/>
              <w:left w:val="nil"/>
              <w:bottom w:val="nil"/>
              <w:right w:val="nil"/>
            </w:tcBorders>
            <w:noWrap/>
            <w:hideMark/>
          </w:tcPr>
          <w:p w14:paraId="77494AB6" w14:textId="62B36B7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101</w:t>
            </w:r>
          </w:p>
        </w:tc>
        <w:tc>
          <w:tcPr>
            <w:tcW w:w="144" w:type="pct"/>
            <w:tcBorders>
              <w:top w:val="nil"/>
              <w:left w:val="nil"/>
              <w:bottom w:val="nil"/>
              <w:right w:val="nil"/>
            </w:tcBorders>
            <w:noWrap/>
            <w:hideMark/>
          </w:tcPr>
          <w:p w14:paraId="51C42BC4" w14:textId="3C8B9852"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53</w:t>
            </w:r>
          </w:p>
        </w:tc>
        <w:tc>
          <w:tcPr>
            <w:tcW w:w="289" w:type="pct"/>
            <w:tcBorders>
              <w:top w:val="nil"/>
              <w:left w:val="nil"/>
              <w:bottom w:val="nil"/>
              <w:right w:val="nil"/>
            </w:tcBorders>
            <w:hideMark/>
          </w:tcPr>
          <w:p w14:paraId="6DCFDD96" w14:textId="2EB587E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40–80+</w:t>
            </w:r>
          </w:p>
        </w:tc>
        <w:tc>
          <w:tcPr>
            <w:tcW w:w="336" w:type="pct"/>
            <w:tcBorders>
              <w:top w:val="nil"/>
              <w:left w:val="nil"/>
              <w:bottom w:val="nil"/>
              <w:right w:val="nil"/>
            </w:tcBorders>
            <w:noWrap/>
            <w:hideMark/>
          </w:tcPr>
          <w:p w14:paraId="5A74A619" w14:textId="57D2833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417" w:type="pct"/>
            <w:tcBorders>
              <w:top w:val="nil"/>
              <w:left w:val="nil"/>
              <w:bottom w:val="nil"/>
              <w:right w:val="nil"/>
            </w:tcBorders>
            <w:noWrap/>
            <w:hideMark/>
          </w:tcPr>
          <w:p w14:paraId="4814E86B" w14:textId="1A966DE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785" w:type="pct"/>
            <w:tcBorders>
              <w:top w:val="nil"/>
              <w:left w:val="nil"/>
              <w:bottom w:val="nil"/>
              <w:right w:val="nil"/>
            </w:tcBorders>
            <w:noWrap/>
            <w:hideMark/>
          </w:tcPr>
          <w:p w14:paraId="661960A2"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 xml:space="preserve">Interactive Hong Kong scenery environments. </w:t>
            </w:r>
            <w:proofErr w:type="gramStart"/>
            <w:r w:rsidRPr="00623862">
              <w:rPr>
                <w:rFonts w:ascii="Times New Roman" w:hAnsi="Times New Roman" w:cs="Times New Roman"/>
              </w:rPr>
              <w:t>Scene</w:t>
            </w:r>
            <w:proofErr w:type="gramEnd"/>
            <w:r w:rsidRPr="00623862">
              <w:rPr>
                <w:rFonts w:ascii="Times New Roman" w:hAnsi="Times New Roman" w:cs="Times New Roman"/>
              </w:rPr>
              <w:t xml:space="preserve"> I included the rickshaw and the Kowloon-Canton Railway Terminus in Tsim Sha Tsui. Scene II included nostalgic </w:t>
            </w:r>
            <w:r w:rsidRPr="00623862">
              <w:rPr>
                <w:rFonts w:ascii="Times New Roman" w:hAnsi="Times New Roman" w:cs="Times New Roman"/>
              </w:rPr>
              <w:lastRenderedPageBreak/>
              <w:t>posters associated with martial arts and old Hong Kong movies, and the Kowloon-Canton Railway Terminus in Tsim Sha Tsui. Scene III included posters and magazines related to Cantonese pop and the mobile soft-ice-cream truck.</w:t>
            </w:r>
          </w:p>
          <w:p w14:paraId="65253AD1" w14:textId="635A409C" w:rsidR="00A504E9" w:rsidRPr="00623862" w:rsidRDefault="00A504E9" w:rsidP="00623862">
            <w:pPr>
              <w:pStyle w:val="Tables"/>
              <w:rPr>
                <w:rFonts w:ascii="Times New Roman" w:hAnsi="Times New Roman" w:cs="Times New Roman"/>
                <w:lang w:eastAsia="en-GB"/>
              </w:rPr>
            </w:pPr>
          </w:p>
        </w:tc>
        <w:tc>
          <w:tcPr>
            <w:tcW w:w="407" w:type="pct"/>
            <w:tcBorders>
              <w:top w:val="nil"/>
              <w:left w:val="nil"/>
              <w:bottom w:val="nil"/>
              <w:right w:val="nil"/>
            </w:tcBorders>
            <w:noWrap/>
            <w:hideMark/>
          </w:tcPr>
          <w:p w14:paraId="604E5DFB" w14:textId="3E1B219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lastRenderedPageBreak/>
              <w:t>Immersive HMD</w:t>
            </w:r>
          </w:p>
        </w:tc>
        <w:tc>
          <w:tcPr>
            <w:tcW w:w="843" w:type="pct"/>
            <w:tcBorders>
              <w:top w:val="nil"/>
              <w:left w:val="nil"/>
              <w:bottom w:val="nil"/>
              <w:right w:val="nil"/>
            </w:tcBorders>
            <w:noWrap/>
            <w:hideMark/>
          </w:tcPr>
          <w:p w14:paraId="39786244" w14:textId="31E39E8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The proof-of-concept VR-based reminiscence therapy received overall positive feedback, and the VR content produced a sense of familiarity.</w:t>
            </w:r>
          </w:p>
        </w:tc>
      </w:tr>
      <w:tr w:rsidR="00623862" w:rsidRPr="00623862" w14:paraId="38AB5231" w14:textId="77777777" w:rsidTr="00181CF9">
        <w:trPr>
          <w:trHeight w:val="300"/>
        </w:trPr>
        <w:tc>
          <w:tcPr>
            <w:tcW w:w="336" w:type="pct"/>
            <w:tcBorders>
              <w:top w:val="nil"/>
              <w:left w:val="nil"/>
              <w:bottom w:val="nil"/>
              <w:right w:val="nil"/>
            </w:tcBorders>
            <w:noWrap/>
            <w:hideMark/>
          </w:tcPr>
          <w:p w14:paraId="7AB0479D" w14:textId="1D483A7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Maeng et al. (2021)</w:t>
            </w:r>
          </w:p>
        </w:tc>
        <w:tc>
          <w:tcPr>
            <w:tcW w:w="290" w:type="pct"/>
            <w:tcBorders>
              <w:top w:val="nil"/>
              <w:left w:val="nil"/>
              <w:bottom w:val="nil"/>
              <w:right w:val="nil"/>
            </w:tcBorders>
            <w:noWrap/>
            <w:hideMark/>
          </w:tcPr>
          <w:p w14:paraId="57B85861" w14:textId="3E7C99A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MCI</w:t>
            </w:r>
          </w:p>
        </w:tc>
        <w:tc>
          <w:tcPr>
            <w:tcW w:w="432" w:type="pct"/>
            <w:tcBorders>
              <w:top w:val="nil"/>
              <w:left w:val="nil"/>
              <w:bottom w:val="nil"/>
              <w:right w:val="nil"/>
            </w:tcBorders>
            <w:noWrap/>
            <w:hideMark/>
          </w:tcPr>
          <w:p w14:paraId="5623754D" w14:textId="62F8F8E1"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529" w:type="pct"/>
            <w:tcBorders>
              <w:top w:val="nil"/>
              <w:left w:val="nil"/>
              <w:bottom w:val="nil"/>
              <w:right w:val="nil"/>
            </w:tcBorders>
            <w:hideMark/>
          </w:tcPr>
          <w:p w14:paraId="2957F2AD" w14:textId="7645297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CERAD, MMSE, MoCA, CPS; severe to normal cognition; unknown (6)</w:t>
            </w:r>
          </w:p>
        </w:tc>
        <w:tc>
          <w:tcPr>
            <w:tcW w:w="192" w:type="pct"/>
            <w:tcBorders>
              <w:top w:val="nil"/>
              <w:left w:val="nil"/>
              <w:bottom w:val="nil"/>
              <w:right w:val="nil"/>
            </w:tcBorders>
            <w:noWrap/>
            <w:hideMark/>
          </w:tcPr>
          <w:p w14:paraId="2E05994F" w14:textId="05C7080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31</w:t>
            </w:r>
          </w:p>
        </w:tc>
        <w:tc>
          <w:tcPr>
            <w:tcW w:w="144" w:type="pct"/>
            <w:tcBorders>
              <w:top w:val="nil"/>
              <w:left w:val="nil"/>
              <w:bottom w:val="nil"/>
              <w:right w:val="nil"/>
            </w:tcBorders>
            <w:noWrap/>
            <w:hideMark/>
          </w:tcPr>
          <w:p w14:paraId="27D749F6" w14:textId="71373A3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w:t>
            </w:r>
          </w:p>
        </w:tc>
        <w:tc>
          <w:tcPr>
            <w:tcW w:w="289" w:type="pct"/>
            <w:tcBorders>
              <w:top w:val="nil"/>
              <w:left w:val="nil"/>
              <w:bottom w:val="nil"/>
              <w:right w:val="nil"/>
            </w:tcBorders>
            <w:noWrap/>
            <w:hideMark/>
          </w:tcPr>
          <w:p w14:paraId="093D292E" w14:textId="340F9F0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73.2 (7.3)</w:t>
            </w:r>
          </w:p>
        </w:tc>
        <w:tc>
          <w:tcPr>
            <w:tcW w:w="336" w:type="pct"/>
            <w:tcBorders>
              <w:top w:val="nil"/>
              <w:left w:val="nil"/>
              <w:bottom w:val="nil"/>
              <w:right w:val="nil"/>
            </w:tcBorders>
            <w:noWrap/>
            <w:hideMark/>
          </w:tcPr>
          <w:p w14:paraId="0A616FC7" w14:textId="6155AE8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Yes; modified 18-item scale based on Witmer and Singer (1998) and Lombard et al. (2019)</w:t>
            </w:r>
          </w:p>
        </w:tc>
        <w:tc>
          <w:tcPr>
            <w:tcW w:w="417" w:type="pct"/>
            <w:tcBorders>
              <w:top w:val="nil"/>
              <w:left w:val="nil"/>
              <w:bottom w:val="nil"/>
              <w:right w:val="nil"/>
            </w:tcBorders>
            <w:noWrap/>
            <w:hideMark/>
          </w:tcPr>
          <w:p w14:paraId="5709E342" w14:textId="6A3DCF2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SSQ</w:t>
            </w:r>
          </w:p>
        </w:tc>
        <w:tc>
          <w:tcPr>
            <w:tcW w:w="785" w:type="pct"/>
            <w:tcBorders>
              <w:top w:val="nil"/>
              <w:left w:val="nil"/>
              <w:bottom w:val="nil"/>
              <w:right w:val="nil"/>
            </w:tcBorders>
            <w:noWrap/>
            <w:hideMark/>
          </w:tcPr>
          <w:p w14:paraId="31603D22" w14:textId="3772AEC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Training tasks targeted memory, attention, and executive function. Participants memorised a list and purchased goods in a supermarket. Tasks were completed standing, except for one participant using a wheelchair. Difficulty levels varied according to performance.</w:t>
            </w:r>
          </w:p>
        </w:tc>
        <w:tc>
          <w:tcPr>
            <w:tcW w:w="407" w:type="pct"/>
            <w:tcBorders>
              <w:top w:val="nil"/>
              <w:left w:val="nil"/>
              <w:bottom w:val="nil"/>
              <w:right w:val="nil"/>
            </w:tcBorders>
            <w:noWrap/>
            <w:hideMark/>
          </w:tcPr>
          <w:p w14:paraId="5416193E" w14:textId="022037B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Semi-immersive</w:t>
            </w:r>
          </w:p>
        </w:tc>
        <w:tc>
          <w:tcPr>
            <w:tcW w:w="843" w:type="pct"/>
            <w:tcBorders>
              <w:top w:val="nil"/>
              <w:left w:val="nil"/>
              <w:bottom w:val="nil"/>
              <w:right w:val="nil"/>
            </w:tcBorders>
            <w:noWrap/>
            <w:hideMark/>
          </w:tcPr>
          <w:p w14:paraId="031E9639"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Cognitive improvement was reported. Some cybersickness symptoms occurred, mainly disorientation. High dropout rates were noted because of dizziness and discomfort during the initial sessions. Discomfort reduced over time. Standing may have increased discomfort. Participants experienced presence. No difference was found compared with the normative group.</w:t>
            </w:r>
          </w:p>
          <w:p w14:paraId="6ED33BD5" w14:textId="29071452" w:rsidR="00A504E9" w:rsidRPr="00623862" w:rsidRDefault="00A504E9" w:rsidP="00623862">
            <w:pPr>
              <w:pStyle w:val="Tables"/>
              <w:rPr>
                <w:rFonts w:ascii="Times New Roman" w:hAnsi="Times New Roman" w:cs="Times New Roman"/>
                <w:lang w:eastAsia="en-GB"/>
              </w:rPr>
            </w:pPr>
          </w:p>
        </w:tc>
      </w:tr>
      <w:tr w:rsidR="00623862" w:rsidRPr="00623862" w14:paraId="4B606EDC" w14:textId="77777777" w:rsidTr="00181CF9">
        <w:trPr>
          <w:trHeight w:val="2100"/>
        </w:trPr>
        <w:tc>
          <w:tcPr>
            <w:tcW w:w="336" w:type="pct"/>
            <w:tcBorders>
              <w:top w:val="nil"/>
              <w:left w:val="nil"/>
              <w:bottom w:val="nil"/>
              <w:right w:val="nil"/>
            </w:tcBorders>
            <w:noWrap/>
            <w:hideMark/>
          </w:tcPr>
          <w:p w14:paraId="1F7CE65D" w14:textId="06B2435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Manera et al. (2016b)</w:t>
            </w:r>
          </w:p>
        </w:tc>
        <w:tc>
          <w:tcPr>
            <w:tcW w:w="290" w:type="pct"/>
            <w:tcBorders>
              <w:top w:val="nil"/>
              <w:left w:val="nil"/>
              <w:bottom w:val="nil"/>
              <w:right w:val="nil"/>
            </w:tcBorders>
            <w:noWrap/>
            <w:hideMark/>
          </w:tcPr>
          <w:p w14:paraId="159E38FB" w14:textId="4DA9AC2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MCI, dementia</w:t>
            </w:r>
          </w:p>
        </w:tc>
        <w:tc>
          <w:tcPr>
            <w:tcW w:w="432" w:type="pct"/>
            <w:tcBorders>
              <w:top w:val="nil"/>
              <w:left w:val="nil"/>
              <w:bottom w:val="nil"/>
              <w:right w:val="nil"/>
            </w:tcBorders>
            <w:noWrap/>
            <w:hideMark/>
          </w:tcPr>
          <w:p w14:paraId="71FCBBB0" w14:textId="6145C23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 xml:space="preserve">AD; </w:t>
            </w: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529" w:type="pct"/>
            <w:tcBorders>
              <w:top w:val="nil"/>
              <w:left w:val="nil"/>
              <w:bottom w:val="nil"/>
              <w:right w:val="nil"/>
            </w:tcBorders>
            <w:hideMark/>
          </w:tcPr>
          <w:p w14:paraId="07B94C39" w14:textId="43F3EAF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MMSE 18–28; MCI: M = 25.40, SD = 2.60; dementia: M = 20.20, SD = 3.10. CDR 0.00–11.00; MCI: M = 1.40, SD = 1.50; dementia: M = 4.80, SD = 3.10</w:t>
            </w:r>
          </w:p>
        </w:tc>
        <w:tc>
          <w:tcPr>
            <w:tcW w:w="192" w:type="pct"/>
            <w:tcBorders>
              <w:top w:val="nil"/>
              <w:left w:val="nil"/>
              <w:bottom w:val="nil"/>
              <w:right w:val="nil"/>
            </w:tcBorders>
            <w:noWrap/>
            <w:hideMark/>
          </w:tcPr>
          <w:p w14:paraId="6AADCECB" w14:textId="6C015FC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60</w:t>
            </w:r>
          </w:p>
        </w:tc>
        <w:tc>
          <w:tcPr>
            <w:tcW w:w="144" w:type="pct"/>
            <w:tcBorders>
              <w:top w:val="nil"/>
              <w:left w:val="nil"/>
              <w:bottom w:val="nil"/>
              <w:right w:val="nil"/>
            </w:tcBorders>
            <w:noWrap/>
            <w:hideMark/>
          </w:tcPr>
          <w:p w14:paraId="28E32268" w14:textId="07302DF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35</w:t>
            </w:r>
          </w:p>
        </w:tc>
        <w:tc>
          <w:tcPr>
            <w:tcW w:w="289" w:type="pct"/>
            <w:tcBorders>
              <w:top w:val="nil"/>
              <w:left w:val="nil"/>
              <w:bottom w:val="nil"/>
              <w:right w:val="nil"/>
            </w:tcBorders>
            <w:hideMark/>
          </w:tcPr>
          <w:p w14:paraId="2CABAF66" w14:textId="1790DD4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MCI: 75.00 (6.70); dementia: 76.30 (7.20)</w:t>
            </w:r>
          </w:p>
        </w:tc>
        <w:tc>
          <w:tcPr>
            <w:tcW w:w="336" w:type="pct"/>
            <w:tcBorders>
              <w:top w:val="nil"/>
              <w:left w:val="nil"/>
              <w:bottom w:val="nil"/>
              <w:right w:val="nil"/>
            </w:tcBorders>
            <w:noWrap/>
            <w:hideMark/>
          </w:tcPr>
          <w:p w14:paraId="517497B2" w14:textId="1ACD599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417" w:type="pct"/>
            <w:tcBorders>
              <w:top w:val="nil"/>
              <w:left w:val="nil"/>
              <w:bottom w:val="nil"/>
              <w:right w:val="nil"/>
            </w:tcBorders>
            <w:noWrap/>
            <w:hideMark/>
          </w:tcPr>
          <w:p w14:paraId="00EC77FC" w14:textId="4B21AE4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785" w:type="pct"/>
            <w:tcBorders>
              <w:top w:val="nil"/>
              <w:left w:val="nil"/>
              <w:bottom w:val="nil"/>
              <w:right w:val="nil"/>
            </w:tcBorders>
            <w:noWrap/>
            <w:hideMark/>
          </w:tcPr>
          <w:p w14:paraId="0AC3BCBE" w14:textId="2CAD410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Selective and sustained attention tasks requiring participants to find and select targets surrounded by distractors, based on colour and pattern.</w:t>
            </w:r>
          </w:p>
        </w:tc>
        <w:tc>
          <w:tcPr>
            <w:tcW w:w="407" w:type="pct"/>
            <w:tcBorders>
              <w:top w:val="nil"/>
              <w:left w:val="nil"/>
              <w:bottom w:val="nil"/>
              <w:right w:val="nil"/>
            </w:tcBorders>
            <w:noWrap/>
            <w:hideMark/>
          </w:tcPr>
          <w:p w14:paraId="122C6F5D" w14:textId="79E9C87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projector with stereoscopic glasses</w:t>
            </w:r>
          </w:p>
        </w:tc>
        <w:tc>
          <w:tcPr>
            <w:tcW w:w="843" w:type="pct"/>
            <w:tcBorders>
              <w:top w:val="nil"/>
              <w:left w:val="nil"/>
              <w:bottom w:val="nil"/>
              <w:right w:val="nil"/>
            </w:tcBorders>
            <w:noWrap/>
            <w:hideMark/>
          </w:tcPr>
          <w:p w14:paraId="0A7C2BDB"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VR was highly satisfactory, safe, and associated with low discomfort, anxiety, and fatigue. The VR condition was perceived as more immersive, engaging, and motivating by 70% of participants, despite being more challenging. Nine of 12 participants continued using VR after the experiment. Apathetic participants showed as much interest as non-apathetic participants and displayed a stronger preference for VR. Lower performance was attributed to difficulty using a mouse, eye strain from 3D glasses, and unfamiliarity with VR.</w:t>
            </w:r>
          </w:p>
          <w:p w14:paraId="4DB8F373" w14:textId="18BB5A7D" w:rsidR="00A504E9" w:rsidRPr="00623862" w:rsidRDefault="00A504E9" w:rsidP="00623862">
            <w:pPr>
              <w:pStyle w:val="Tables"/>
              <w:rPr>
                <w:rFonts w:ascii="Times New Roman" w:hAnsi="Times New Roman" w:cs="Times New Roman"/>
                <w:lang w:eastAsia="en-GB"/>
              </w:rPr>
            </w:pPr>
          </w:p>
        </w:tc>
      </w:tr>
      <w:tr w:rsidR="00623862" w:rsidRPr="00623862" w14:paraId="51EFF247" w14:textId="77777777" w:rsidTr="00181CF9">
        <w:trPr>
          <w:trHeight w:val="300"/>
        </w:trPr>
        <w:tc>
          <w:tcPr>
            <w:tcW w:w="336" w:type="pct"/>
            <w:tcBorders>
              <w:top w:val="nil"/>
              <w:left w:val="nil"/>
              <w:bottom w:val="nil"/>
              <w:right w:val="nil"/>
            </w:tcBorders>
            <w:noWrap/>
            <w:hideMark/>
          </w:tcPr>
          <w:p w14:paraId="4D89DB9E" w14:textId="0536D69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McEwen et al. (2014)</w:t>
            </w:r>
          </w:p>
        </w:tc>
        <w:tc>
          <w:tcPr>
            <w:tcW w:w="290" w:type="pct"/>
            <w:tcBorders>
              <w:top w:val="nil"/>
              <w:left w:val="nil"/>
              <w:bottom w:val="nil"/>
              <w:right w:val="nil"/>
            </w:tcBorders>
            <w:noWrap/>
            <w:hideMark/>
          </w:tcPr>
          <w:p w14:paraId="3CBB133E" w14:textId="6C6BA982"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6FDDF901" w14:textId="7711E06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Frontotemporal dementia</w:t>
            </w:r>
          </w:p>
        </w:tc>
        <w:tc>
          <w:tcPr>
            <w:tcW w:w="529" w:type="pct"/>
            <w:tcBorders>
              <w:top w:val="nil"/>
              <w:left w:val="nil"/>
              <w:bottom w:val="nil"/>
              <w:right w:val="nil"/>
            </w:tcBorders>
            <w:noWrap/>
            <w:hideMark/>
          </w:tcPr>
          <w:p w14:paraId="31A68025" w14:textId="783A081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MoCA = 12</w:t>
            </w:r>
          </w:p>
        </w:tc>
        <w:tc>
          <w:tcPr>
            <w:tcW w:w="192" w:type="pct"/>
            <w:tcBorders>
              <w:top w:val="nil"/>
              <w:left w:val="nil"/>
              <w:bottom w:val="nil"/>
              <w:right w:val="nil"/>
            </w:tcBorders>
            <w:noWrap/>
            <w:hideMark/>
          </w:tcPr>
          <w:p w14:paraId="5B8ECAC1" w14:textId="2047A12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1</w:t>
            </w:r>
          </w:p>
        </w:tc>
        <w:tc>
          <w:tcPr>
            <w:tcW w:w="144" w:type="pct"/>
            <w:tcBorders>
              <w:top w:val="nil"/>
              <w:left w:val="nil"/>
              <w:bottom w:val="nil"/>
              <w:right w:val="nil"/>
            </w:tcBorders>
            <w:noWrap/>
            <w:hideMark/>
          </w:tcPr>
          <w:p w14:paraId="10053A9D" w14:textId="6CA66CC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1</w:t>
            </w:r>
          </w:p>
        </w:tc>
        <w:tc>
          <w:tcPr>
            <w:tcW w:w="289" w:type="pct"/>
            <w:tcBorders>
              <w:top w:val="nil"/>
              <w:left w:val="nil"/>
              <w:bottom w:val="nil"/>
              <w:right w:val="nil"/>
            </w:tcBorders>
            <w:hideMark/>
          </w:tcPr>
          <w:p w14:paraId="33A64D1D" w14:textId="1946019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78</w:t>
            </w:r>
          </w:p>
        </w:tc>
        <w:tc>
          <w:tcPr>
            <w:tcW w:w="336" w:type="pct"/>
            <w:tcBorders>
              <w:top w:val="nil"/>
              <w:left w:val="nil"/>
              <w:bottom w:val="nil"/>
              <w:right w:val="nil"/>
            </w:tcBorders>
            <w:noWrap/>
            <w:hideMark/>
          </w:tcPr>
          <w:p w14:paraId="0DE90E3B" w14:textId="79744E8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417" w:type="pct"/>
            <w:tcBorders>
              <w:top w:val="nil"/>
              <w:left w:val="nil"/>
              <w:bottom w:val="nil"/>
              <w:right w:val="nil"/>
            </w:tcBorders>
            <w:noWrap/>
            <w:hideMark/>
          </w:tcPr>
          <w:p w14:paraId="40D3A5DB" w14:textId="7D8B0C9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 observations were made</w:t>
            </w:r>
          </w:p>
        </w:tc>
        <w:tc>
          <w:tcPr>
            <w:tcW w:w="785" w:type="pct"/>
            <w:tcBorders>
              <w:top w:val="nil"/>
              <w:left w:val="nil"/>
              <w:bottom w:val="nil"/>
              <w:right w:val="nil"/>
            </w:tcBorders>
            <w:noWrap/>
            <w:hideMark/>
          </w:tcPr>
          <w:p w14:paraId="128E93C9" w14:textId="7D42D52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Series of exergames completed while wearing a physiotherapy belt for safety.</w:t>
            </w:r>
          </w:p>
        </w:tc>
        <w:tc>
          <w:tcPr>
            <w:tcW w:w="407" w:type="pct"/>
            <w:tcBorders>
              <w:top w:val="nil"/>
              <w:left w:val="nil"/>
              <w:bottom w:val="nil"/>
              <w:right w:val="nil"/>
            </w:tcBorders>
            <w:noWrap/>
            <w:hideMark/>
          </w:tcPr>
          <w:p w14:paraId="02C8359A" w14:textId="760F11A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Semi-immersive with green-screen technology</w:t>
            </w:r>
          </w:p>
        </w:tc>
        <w:tc>
          <w:tcPr>
            <w:tcW w:w="843" w:type="pct"/>
            <w:tcBorders>
              <w:top w:val="nil"/>
              <w:left w:val="nil"/>
              <w:bottom w:val="nil"/>
              <w:right w:val="nil"/>
            </w:tcBorders>
            <w:noWrap/>
            <w:hideMark/>
          </w:tcPr>
          <w:p w14:paraId="398693F3"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VR was feasible, safe, and enjoyable. Enjoyment appeared to motivate increased participation in activities at home. No significant objective improvements in balance or mobility were observed after the intervention. Improvement at 1-month follow-up may have been due to motivation to complete exercises at home. Performance improved and the need for instructions decreased. Frequent lapses in concentration and occasional forgetting of how to play the games created challenges in progressing game difficulty. No significant adverse effects were reported.</w:t>
            </w:r>
          </w:p>
          <w:p w14:paraId="55BD1588" w14:textId="3B257BBA" w:rsidR="00A504E9" w:rsidRPr="00623862" w:rsidRDefault="00A504E9" w:rsidP="00623862">
            <w:pPr>
              <w:pStyle w:val="Tables"/>
              <w:rPr>
                <w:rFonts w:ascii="Times New Roman" w:hAnsi="Times New Roman" w:cs="Times New Roman"/>
                <w:lang w:eastAsia="en-GB"/>
              </w:rPr>
            </w:pPr>
          </w:p>
        </w:tc>
      </w:tr>
      <w:tr w:rsidR="00623862" w:rsidRPr="00623862" w14:paraId="38789F52" w14:textId="77777777" w:rsidTr="00181CF9">
        <w:trPr>
          <w:trHeight w:val="600"/>
        </w:trPr>
        <w:tc>
          <w:tcPr>
            <w:tcW w:w="336" w:type="pct"/>
            <w:tcBorders>
              <w:top w:val="nil"/>
              <w:left w:val="nil"/>
              <w:bottom w:val="nil"/>
              <w:right w:val="nil"/>
            </w:tcBorders>
            <w:noWrap/>
            <w:hideMark/>
          </w:tcPr>
          <w:p w14:paraId="7D2E5F89" w14:textId="658356D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Mendez et al. (2015)</w:t>
            </w:r>
          </w:p>
        </w:tc>
        <w:tc>
          <w:tcPr>
            <w:tcW w:w="290" w:type="pct"/>
            <w:tcBorders>
              <w:top w:val="nil"/>
              <w:left w:val="nil"/>
              <w:bottom w:val="nil"/>
              <w:right w:val="nil"/>
            </w:tcBorders>
            <w:noWrap/>
            <w:hideMark/>
          </w:tcPr>
          <w:p w14:paraId="7714117D" w14:textId="1011CC0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57EFD907" w14:textId="76FDA2F5"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Mild-to-moderately severe AD, Huntington’s disease, mixed cortical and subcortical vascular dementia, and frontotemporal dementia</w:t>
            </w:r>
          </w:p>
        </w:tc>
        <w:tc>
          <w:tcPr>
            <w:tcW w:w="529" w:type="pct"/>
            <w:tcBorders>
              <w:top w:val="nil"/>
              <w:left w:val="nil"/>
              <w:bottom w:val="nil"/>
              <w:right w:val="nil"/>
            </w:tcBorders>
            <w:noWrap/>
            <w:hideMark/>
          </w:tcPr>
          <w:p w14:paraId="2765BBAF" w14:textId="67DBBDB5"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MMSE M = 21.30, SD = 7.30; CDR 1.0</w:t>
            </w:r>
          </w:p>
        </w:tc>
        <w:tc>
          <w:tcPr>
            <w:tcW w:w="192" w:type="pct"/>
            <w:tcBorders>
              <w:top w:val="nil"/>
              <w:left w:val="nil"/>
              <w:bottom w:val="nil"/>
              <w:right w:val="nil"/>
            </w:tcBorders>
            <w:noWrap/>
            <w:hideMark/>
          </w:tcPr>
          <w:p w14:paraId="04DDEFC3" w14:textId="33E58DE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5</w:t>
            </w:r>
          </w:p>
        </w:tc>
        <w:tc>
          <w:tcPr>
            <w:tcW w:w="144" w:type="pct"/>
            <w:tcBorders>
              <w:top w:val="nil"/>
              <w:left w:val="nil"/>
              <w:bottom w:val="nil"/>
              <w:right w:val="nil"/>
            </w:tcBorders>
            <w:noWrap/>
            <w:hideMark/>
          </w:tcPr>
          <w:p w14:paraId="5143AE62" w14:textId="73EDC28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2</w:t>
            </w:r>
          </w:p>
        </w:tc>
        <w:tc>
          <w:tcPr>
            <w:tcW w:w="289" w:type="pct"/>
            <w:tcBorders>
              <w:top w:val="nil"/>
              <w:left w:val="nil"/>
              <w:bottom w:val="nil"/>
              <w:right w:val="nil"/>
            </w:tcBorders>
            <w:hideMark/>
          </w:tcPr>
          <w:p w14:paraId="2C85B554" w14:textId="5B3DDB0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56.00 (12.80)</w:t>
            </w:r>
          </w:p>
        </w:tc>
        <w:tc>
          <w:tcPr>
            <w:tcW w:w="336" w:type="pct"/>
            <w:tcBorders>
              <w:top w:val="nil"/>
              <w:left w:val="nil"/>
              <w:bottom w:val="nil"/>
              <w:right w:val="nil"/>
            </w:tcBorders>
            <w:noWrap/>
            <w:hideMark/>
          </w:tcPr>
          <w:p w14:paraId="208A152F" w14:textId="45B11CC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 observations were made</w:t>
            </w:r>
          </w:p>
        </w:tc>
        <w:tc>
          <w:tcPr>
            <w:tcW w:w="417" w:type="pct"/>
            <w:tcBorders>
              <w:top w:val="nil"/>
              <w:left w:val="nil"/>
              <w:bottom w:val="nil"/>
              <w:right w:val="nil"/>
            </w:tcBorders>
            <w:noWrap/>
            <w:hideMark/>
          </w:tcPr>
          <w:p w14:paraId="6C5B725B" w14:textId="2A8AFC6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 observations were made</w:t>
            </w:r>
          </w:p>
        </w:tc>
        <w:tc>
          <w:tcPr>
            <w:tcW w:w="785" w:type="pct"/>
            <w:tcBorders>
              <w:top w:val="nil"/>
              <w:left w:val="nil"/>
              <w:bottom w:val="nil"/>
              <w:right w:val="nil"/>
            </w:tcBorders>
            <w:noWrap/>
            <w:hideMark/>
          </w:tcPr>
          <w:p w14:paraId="0B3EF570" w14:textId="338F1AE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Participants sat at a table with avatars and answered their questions. Questions comprised a subset of the UCLA Insight Interview.</w:t>
            </w:r>
          </w:p>
        </w:tc>
        <w:tc>
          <w:tcPr>
            <w:tcW w:w="407" w:type="pct"/>
            <w:tcBorders>
              <w:top w:val="nil"/>
              <w:left w:val="nil"/>
              <w:bottom w:val="nil"/>
              <w:right w:val="nil"/>
            </w:tcBorders>
            <w:noWrap/>
            <w:hideMark/>
          </w:tcPr>
          <w:p w14:paraId="095A7E37" w14:textId="0AF0B392"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w:t>
            </w:r>
          </w:p>
        </w:tc>
        <w:tc>
          <w:tcPr>
            <w:tcW w:w="843" w:type="pct"/>
            <w:tcBorders>
              <w:top w:val="nil"/>
              <w:left w:val="nil"/>
              <w:bottom w:val="nil"/>
              <w:right w:val="nil"/>
            </w:tcBorders>
            <w:noWrap/>
            <w:hideMark/>
          </w:tcPr>
          <w:p w14:paraId="6FA8C41E" w14:textId="4F25A40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VR interviews were comparable to real-world interviews, and presence was observed in the VR environment. VR was feasible and well tolerated. No significant changes in stress ratings or adverse effects were reported. Presence was demonstrated through head movements towards avatars during interactions. Patients showed greater interaction and more elaborate comments in VR than in real-life evaluations, possibly because they were unable to critically analyse the experience due to impairments in brain regions involved in critical appraisal and impulse control.</w:t>
            </w:r>
          </w:p>
        </w:tc>
      </w:tr>
      <w:tr w:rsidR="00623862" w:rsidRPr="00623862" w14:paraId="4DFEF93C" w14:textId="77777777" w:rsidTr="00181CF9">
        <w:trPr>
          <w:trHeight w:val="600"/>
        </w:trPr>
        <w:tc>
          <w:tcPr>
            <w:tcW w:w="336" w:type="pct"/>
            <w:tcBorders>
              <w:top w:val="nil"/>
              <w:left w:val="nil"/>
              <w:bottom w:val="nil"/>
              <w:right w:val="nil"/>
            </w:tcBorders>
            <w:noWrap/>
            <w:hideMark/>
          </w:tcPr>
          <w:p w14:paraId="0684E057" w14:textId="7503430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Moyle et al. (2018)</w:t>
            </w:r>
          </w:p>
        </w:tc>
        <w:tc>
          <w:tcPr>
            <w:tcW w:w="290" w:type="pct"/>
            <w:tcBorders>
              <w:top w:val="nil"/>
              <w:left w:val="nil"/>
              <w:bottom w:val="nil"/>
              <w:right w:val="nil"/>
            </w:tcBorders>
            <w:noWrap/>
            <w:hideMark/>
          </w:tcPr>
          <w:p w14:paraId="329F0B06" w14:textId="65BD297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1A76BF79" w14:textId="313EC3D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 xml:space="preserve">Moderate to severe AD; </w:t>
            </w:r>
            <w:proofErr w:type="spellStart"/>
            <w:r w:rsidRPr="00623862">
              <w:rPr>
                <w:rFonts w:ascii="Times New Roman" w:hAnsi="Times New Roman" w:cs="Times New Roman"/>
              </w:rPr>
              <w:t>n.s</w:t>
            </w:r>
            <w:proofErr w:type="spellEnd"/>
            <w:r w:rsidRPr="00623862">
              <w:rPr>
                <w:rFonts w:ascii="Times New Roman" w:hAnsi="Times New Roman" w:cs="Times New Roman"/>
              </w:rPr>
              <w:t>. (3)</w:t>
            </w:r>
          </w:p>
        </w:tc>
        <w:tc>
          <w:tcPr>
            <w:tcW w:w="529" w:type="pct"/>
            <w:tcBorders>
              <w:top w:val="nil"/>
              <w:left w:val="nil"/>
              <w:bottom w:val="nil"/>
              <w:right w:val="nil"/>
            </w:tcBorders>
            <w:noWrap/>
            <w:hideMark/>
          </w:tcPr>
          <w:p w14:paraId="589C33B6" w14:textId="253261A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PAS 7.35–20; M = 13.21; SD undisclosed</w:t>
            </w:r>
          </w:p>
        </w:tc>
        <w:tc>
          <w:tcPr>
            <w:tcW w:w="192" w:type="pct"/>
            <w:tcBorders>
              <w:top w:val="nil"/>
              <w:left w:val="nil"/>
              <w:bottom w:val="nil"/>
              <w:right w:val="nil"/>
            </w:tcBorders>
            <w:noWrap/>
            <w:hideMark/>
          </w:tcPr>
          <w:p w14:paraId="7B78B424" w14:textId="73106FC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10</w:t>
            </w:r>
          </w:p>
        </w:tc>
        <w:tc>
          <w:tcPr>
            <w:tcW w:w="144" w:type="pct"/>
            <w:tcBorders>
              <w:top w:val="nil"/>
              <w:left w:val="nil"/>
              <w:bottom w:val="nil"/>
              <w:right w:val="nil"/>
            </w:tcBorders>
            <w:noWrap/>
            <w:hideMark/>
          </w:tcPr>
          <w:p w14:paraId="60A3BFEA" w14:textId="78DD6A25"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3</w:t>
            </w:r>
          </w:p>
        </w:tc>
        <w:tc>
          <w:tcPr>
            <w:tcW w:w="289" w:type="pct"/>
            <w:tcBorders>
              <w:top w:val="nil"/>
              <w:left w:val="nil"/>
              <w:bottom w:val="nil"/>
              <w:right w:val="nil"/>
            </w:tcBorders>
            <w:hideMark/>
          </w:tcPr>
          <w:p w14:paraId="05065126" w14:textId="221781D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89 (4.97)</w:t>
            </w:r>
          </w:p>
        </w:tc>
        <w:tc>
          <w:tcPr>
            <w:tcW w:w="336" w:type="pct"/>
            <w:tcBorders>
              <w:top w:val="nil"/>
              <w:left w:val="nil"/>
              <w:bottom w:val="nil"/>
              <w:right w:val="nil"/>
            </w:tcBorders>
            <w:noWrap/>
            <w:hideMark/>
          </w:tcPr>
          <w:p w14:paraId="5E63C9D0" w14:textId="2885BDF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417" w:type="pct"/>
            <w:tcBorders>
              <w:top w:val="nil"/>
              <w:left w:val="nil"/>
              <w:bottom w:val="nil"/>
              <w:right w:val="nil"/>
            </w:tcBorders>
            <w:noWrap/>
            <w:hideMark/>
          </w:tcPr>
          <w:p w14:paraId="35421471" w14:textId="0C5D836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785" w:type="pct"/>
            <w:tcBorders>
              <w:top w:val="nil"/>
              <w:left w:val="nil"/>
              <w:bottom w:val="nil"/>
              <w:right w:val="nil"/>
            </w:tcBorders>
            <w:noWrap/>
            <w:hideMark/>
          </w:tcPr>
          <w:p w14:paraId="431711C3" w14:textId="3A6C0BC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Passive viewing of rural scenery.</w:t>
            </w:r>
          </w:p>
        </w:tc>
        <w:tc>
          <w:tcPr>
            <w:tcW w:w="407" w:type="pct"/>
            <w:tcBorders>
              <w:top w:val="nil"/>
              <w:left w:val="nil"/>
              <w:bottom w:val="nil"/>
              <w:right w:val="nil"/>
            </w:tcBorders>
            <w:noWrap/>
            <w:hideMark/>
          </w:tcPr>
          <w:p w14:paraId="67113017" w14:textId="05530D8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Custom-made hand-motion tracking</w:t>
            </w:r>
          </w:p>
        </w:tc>
        <w:tc>
          <w:tcPr>
            <w:tcW w:w="843" w:type="pct"/>
            <w:tcBorders>
              <w:top w:val="nil"/>
              <w:left w:val="nil"/>
              <w:bottom w:val="nil"/>
              <w:right w:val="nil"/>
            </w:tcBorders>
            <w:noWrap/>
            <w:hideMark/>
          </w:tcPr>
          <w:p w14:paraId="1733F6C1"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Positive effects on engagement, apathy, and mood. Pleasure and alertness increased. Fear/anxiety was higher than in the normative sample.</w:t>
            </w:r>
          </w:p>
          <w:p w14:paraId="196EE2C9" w14:textId="5E3A7504" w:rsidR="00181CF9" w:rsidRPr="00623862" w:rsidRDefault="00181CF9" w:rsidP="00623862">
            <w:pPr>
              <w:pStyle w:val="Tables"/>
              <w:rPr>
                <w:rFonts w:ascii="Times New Roman" w:hAnsi="Times New Roman" w:cs="Times New Roman"/>
                <w:lang w:eastAsia="en-GB"/>
              </w:rPr>
            </w:pPr>
          </w:p>
        </w:tc>
      </w:tr>
      <w:tr w:rsidR="00623862" w:rsidRPr="00623862" w14:paraId="657F00F0" w14:textId="77777777" w:rsidTr="00181CF9">
        <w:trPr>
          <w:trHeight w:val="300"/>
        </w:trPr>
        <w:tc>
          <w:tcPr>
            <w:tcW w:w="336" w:type="pct"/>
            <w:tcBorders>
              <w:top w:val="nil"/>
              <w:left w:val="nil"/>
              <w:bottom w:val="nil"/>
              <w:right w:val="nil"/>
            </w:tcBorders>
            <w:noWrap/>
            <w:hideMark/>
          </w:tcPr>
          <w:p w14:paraId="49AC3FD3" w14:textId="5F677AF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lastRenderedPageBreak/>
              <w:t>Orr et al. (2021)</w:t>
            </w:r>
          </w:p>
        </w:tc>
        <w:tc>
          <w:tcPr>
            <w:tcW w:w="290" w:type="pct"/>
            <w:tcBorders>
              <w:top w:val="nil"/>
              <w:left w:val="nil"/>
              <w:bottom w:val="nil"/>
              <w:right w:val="nil"/>
            </w:tcBorders>
            <w:noWrap/>
            <w:hideMark/>
          </w:tcPr>
          <w:p w14:paraId="70195100" w14:textId="5F468E9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1645548E" w14:textId="7F208C20"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529" w:type="pct"/>
            <w:tcBorders>
              <w:top w:val="nil"/>
              <w:left w:val="nil"/>
              <w:bottom w:val="nil"/>
              <w:right w:val="nil"/>
            </w:tcBorders>
            <w:noWrap/>
            <w:hideMark/>
          </w:tcPr>
          <w:p w14:paraId="7CC98042" w14:textId="61EE537B"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192" w:type="pct"/>
            <w:tcBorders>
              <w:top w:val="nil"/>
              <w:left w:val="nil"/>
              <w:bottom w:val="nil"/>
              <w:right w:val="nil"/>
            </w:tcBorders>
            <w:noWrap/>
            <w:hideMark/>
          </w:tcPr>
          <w:p w14:paraId="594A586A" w14:textId="6109BD0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10</w:t>
            </w:r>
          </w:p>
        </w:tc>
        <w:tc>
          <w:tcPr>
            <w:tcW w:w="144" w:type="pct"/>
            <w:tcBorders>
              <w:top w:val="nil"/>
              <w:left w:val="nil"/>
              <w:bottom w:val="nil"/>
              <w:right w:val="nil"/>
            </w:tcBorders>
            <w:noWrap/>
            <w:hideMark/>
          </w:tcPr>
          <w:p w14:paraId="142EBED7" w14:textId="6623B59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4</w:t>
            </w:r>
          </w:p>
        </w:tc>
        <w:tc>
          <w:tcPr>
            <w:tcW w:w="289" w:type="pct"/>
            <w:tcBorders>
              <w:top w:val="nil"/>
              <w:left w:val="nil"/>
              <w:bottom w:val="nil"/>
              <w:right w:val="nil"/>
            </w:tcBorders>
            <w:hideMark/>
          </w:tcPr>
          <w:p w14:paraId="605BF9E6" w14:textId="05D9D893"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336" w:type="pct"/>
            <w:tcBorders>
              <w:top w:val="nil"/>
              <w:left w:val="nil"/>
              <w:bottom w:val="nil"/>
              <w:right w:val="nil"/>
            </w:tcBorders>
            <w:noWrap/>
            <w:hideMark/>
          </w:tcPr>
          <w:p w14:paraId="438EC472" w14:textId="3235B28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 assessed qualitatively</w:t>
            </w:r>
          </w:p>
        </w:tc>
        <w:tc>
          <w:tcPr>
            <w:tcW w:w="417" w:type="pct"/>
            <w:tcBorders>
              <w:top w:val="nil"/>
              <w:left w:val="nil"/>
              <w:bottom w:val="nil"/>
              <w:right w:val="nil"/>
            </w:tcBorders>
            <w:noWrap/>
            <w:hideMark/>
          </w:tcPr>
          <w:p w14:paraId="571325BA" w14:textId="60EFD06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785" w:type="pct"/>
            <w:tcBorders>
              <w:top w:val="nil"/>
              <w:left w:val="nil"/>
              <w:bottom w:val="nil"/>
              <w:right w:val="nil"/>
            </w:tcBorders>
            <w:noWrap/>
            <w:hideMark/>
          </w:tcPr>
          <w:p w14:paraId="149B2205" w14:textId="7EC2F98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Viewing 360° videos of natural scenery.</w:t>
            </w:r>
          </w:p>
        </w:tc>
        <w:tc>
          <w:tcPr>
            <w:tcW w:w="407" w:type="pct"/>
            <w:tcBorders>
              <w:top w:val="nil"/>
              <w:left w:val="nil"/>
              <w:bottom w:val="nil"/>
              <w:right w:val="nil"/>
            </w:tcBorders>
            <w:noWrap/>
            <w:hideMark/>
          </w:tcPr>
          <w:p w14:paraId="1E74DE4E" w14:textId="158FE285"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w:t>
            </w:r>
          </w:p>
        </w:tc>
        <w:tc>
          <w:tcPr>
            <w:tcW w:w="843" w:type="pct"/>
            <w:tcBorders>
              <w:top w:val="nil"/>
              <w:left w:val="nil"/>
              <w:bottom w:val="nil"/>
              <w:right w:val="nil"/>
            </w:tcBorders>
            <w:noWrap/>
            <w:hideMark/>
          </w:tcPr>
          <w:p w14:paraId="4551DB03"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VR was feasible for assessing navigation and functional behaviour. Immersive environments were feasible. No significant deterioration in wellbeing was reported.</w:t>
            </w:r>
          </w:p>
          <w:p w14:paraId="04810A91" w14:textId="4BF1C5E8" w:rsidR="00181CF9" w:rsidRPr="00623862" w:rsidRDefault="00181CF9" w:rsidP="00623862">
            <w:pPr>
              <w:pStyle w:val="Tables"/>
              <w:rPr>
                <w:rFonts w:ascii="Times New Roman" w:hAnsi="Times New Roman" w:cs="Times New Roman"/>
                <w:lang w:eastAsia="en-GB"/>
              </w:rPr>
            </w:pPr>
          </w:p>
        </w:tc>
      </w:tr>
      <w:tr w:rsidR="00623862" w:rsidRPr="00623862" w14:paraId="698938A6" w14:textId="77777777" w:rsidTr="00181CF9">
        <w:trPr>
          <w:trHeight w:val="600"/>
        </w:trPr>
        <w:tc>
          <w:tcPr>
            <w:tcW w:w="336" w:type="pct"/>
            <w:tcBorders>
              <w:top w:val="nil"/>
              <w:left w:val="nil"/>
              <w:bottom w:val="nil"/>
              <w:right w:val="nil"/>
            </w:tcBorders>
            <w:noWrap/>
            <w:hideMark/>
          </w:tcPr>
          <w:p w14:paraId="5453F418" w14:textId="28DCB58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Riaz et al. (2021)</w:t>
            </w:r>
          </w:p>
        </w:tc>
        <w:tc>
          <w:tcPr>
            <w:tcW w:w="290" w:type="pct"/>
            <w:tcBorders>
              <w:top w:val="nil"/>
              <w:left w:val="nil"/>
              <w:bottom w:val="nil"/>
              <w:right w:val="nil"/>
            </w:tcBorders>
            <w:noWrap/>
            <w:hideMark/>
          </w:tcPr>
          <w:p w14:paraId="33C80EB1" w14:textId="48EEDF3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MCI, dementia</w:t>
            </w:r>
          </w:p>
        </w:tc>
        <w:tc>
          <w:tcPr>
            <w:tcW w:w="432" w:type="pct"/>
            <w:tcBorders>
              <w:top w:val="nil"/>
              <w:left w:val="nil"/>
              <w:bottom w:val="nil"/>
              <w:right w:val="nil"/>
            </w:tcBorders>
            <w:noWrap/>
            <w:hideMark/>
          </w:tcPr>
          <w:p w14:paraId="1CE86B34" w14:textId="3B6BA3E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Mild dementia</w:t>
            </w:r>
          </w:p>
        </w:tc>
        <w:tc>
          <w:tcPr>
            <w:tcW w:w="529" w:type="pct"/>
            <w:tcBorders>
              <w:top w:val="nil"/>
              <w:left w:val="nil"/>
              <w:bottom w:val="nil"/>
              <w:right w:val="nil"/>
            </w:tcBorders>
            <w:noWrap/>
            <w:hideMark/>
          </w:tcPr>
          <w:p w14:paraId="1B6567A2" w14:textId="5F1555CC" w:rsidR="00623862" w:rsidRPr="00623862" w:rsidRDefault="00623862" w:rsidP="00623862">
            <w:pPr>
              <w:pStyle w:val="Tables"/>
              <w:contextualSpacing w:val="0"/>
              <w:rPr>
                <w:rFonts w:ascii="Times New Roman" w:hAnsi="Times New Roman" w:cs="Times New Roman"/>
                <w:lang w:eastAsia="en-GB"/>
              </w:rPr>
            </w:pPr>
            <w:r w:rsidRPr="00623862">
              <w:rPr>
                <w:rFonts w:ascii="Times New Roman" w:hAnsi="Times New Roman" w:cs="Times New Roman"/>
              </w:rPr>
              <w:t>MMSE</w:t>
            </w:r>
          </w:p>
        </w:tc>
        <w:tc>
          <w:tcPr>
            <w:tcW w:w="192" w:type="pct"/>
            <w:tcBorders>
              <w:top w:val="nil"/>
              <w:left w:val="nil"/>
              <w:bottom w:val="nil"/>
              <w:right w:val="nil"/>
            </w:tcBorders>
            <w:noWrap/>
            <w:hideMark/>
          </w:tcPr>
          <w:p w14:paraId="1C457F1B" w14:textId="41A6F1E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w:t>
            </w:r>
          </w:p>
        </w:tc>
        <w:tc>
          <w:tcPr>
            <w:tcW w:w="144" w:type="pct"/>
            <w:tcBorders>
              <w:top w:val="nil"/>
              <w:left w:val="nil"/>
              <w:bottom w:val="nil"/>
              <w:right w:val="nil"/>
            </w:tcBorders>
            <w:noWrap/>
            <w:hideMark/>
          </w:tcPr>
          <w:p w14:paraId="3129ECB3" w14:textId="46E6AFF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2</w:t>
            </w:r>
          </w:p>
        </w:tc>
        <w:tc>
          <w:tcPr>
            <w:tcW w:w="289" w:type="pct"/>
            <w:tcBorders>
              <w:top w:val="nil"/>
              <w:left w:val="nil"/>
              <w:bottom w:val="nil"/>
              <w:right w:val="nil"/>
            </w:tcBorders>
            <w:hideMark/>
          </w:tcPr>
          <w:p w14:paraId="306A6A37" w14:textId="66957C7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68.29 (6.52)</w:t>
            </w:r>
          </w:p>
        </w:tc>
        <w:tc>
          <w:tcPr>
            <w:tcW w:w="336" w:type="pct"/>
            <w:tcBorders>
              <w:top w:val="nil"/>
              <w:left w:val="nil"/>
              <w:bottom w:val="nil"/>
              <w:right w:val="nil"/>
            </w:tcBorders>
            <w:noWrap/>
            <w:hideMark/>
          </w:tcPr>
          <w:p w14:paraId="7D799BFD" w14:textId="6C7311B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417" w:type="pct"/>
            <w:tcBorders>
              <w:top w:val="nil"/>
              <w:left w:val="nil"/>
              <w:bottom w:val="nil"/>
              <w:right w:val="nil"/>
            </w:tcBorders>
            <w:noWrap/>
            <w:hideMark/>
          </w:tcPr>
          <w:p w14:paraId="3D623B36" w14:textId="54F7032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VRSQ</w:t>
            </w:r>
          </w:p>
        </w:tc>
        <w:tc>
          <w:tcPr>
            <w:tcW w:w="785" w:type="pct"/>
            <w:tcBorders>
              <w:top w:val="nil"/>
              <w:left w:val="nil"/>
              <w:bottom w:val="nil"/>
              <w:right w:val="nil"/>
            </w:tcBorders>
            <w:noWrap/>
            <w:hideMark/>
          </w:tcPr>
          <w:p w14:paraId="4A31014F"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Tasks targeted registration, short-term memory, attention, alertness, orientation to time and space, working memory, visuospatial navigation, motor coordination, and executive functioning, including abstraction, calculation, and decision-making. Participants moved freely through three environments: the Great Wall of China, the Grand Mosque in Mecca, and the Pyramids of Egypt, completing cognitive tasks.</w:t>
            </w:r>
          </w:p>
          <w:p w14:paraId="7C865BA8" w14:textId="26EB18A4" w:rsidR="00181CF9" w:rsidRPr="00623862" w:rsidRDefault="00181CF9" w:rsidP="00623862">
            <w:pPr>
              <w:pStyle w:val="Tables"/>
              <w:rPr>
                <w:rFonts w:ascii="Times New Roman" w:hAnsi="Times New Roman" w:cs="Times New Roman"/>
                <w:lang w:eastAsia="en-GB"/>
              </w:rPr>
            </w:pPr>
          </w:p>
        </w:tc>
        <w:tc>
          <w:tcPr>
            <w:tcW w:w="407" w:type="pct"/>
            <w:tcBorders>
              <w:top w:val="nil"/>
              <w:left w:val="nil"/>
              <w:bottom w:val="nil"/>
              <w:right w:val="nil"/>
            </w:tcBorders>
            <w:noWrap/>
            <w:hideMark/>
          </w:tcPr>
          <w:p w14:paraId="49774274" w14:textId="0B4B816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w:t>
            </w:r>
          </w:p>
        </w:tc>
        <w:tc>
          <w:tcPr>
            <w:tcW w:w="843" w:type="pct"/>
            <w:tcBorders>
              <w:top w:val="nil"/>
              <w:left w:val="nil"/>
              <w:bottom w:val="nil"/>
              <w:right w:val="nil"/>
            </w:tcBorders>
            <w:noWrap/>
            <w:hideMark/>
          </w:tcPr>
          <w:p w14:paraId="7F3D30E2" w14:textId="6AB0055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Cognitive function stabilised, with a trend towards improved mental wellbeing. VR was well tolerated. VRSQ scores decreased significantly over time. Caregivers observed improvements in behaviour and motivation.</w:t>
            </w:r>
          </w:p>
        </w:tc>
      </w:tr>
      <w:tr w:rsidR="00623862" w:rsidRPr="00623862" w14:paraId="08EB07EA" w14:textId="77777777" w:rsidTr="00181CF9">
        <w:trPr>
          <w:trHeight w:val="600"/>
        </w:trPr>
        <w:tc>
          <w:tcPr>
            <w:tcW w:w="336" w:type="pct"/>
            <w:tcBorders>
              <w:top w:val="nil"/>
              <w:left w:val="nil"/>
              <w:bottom w:val="nil"/>
              <w:right w:val="nil"/>
            </w:tcBorders>
            <w:noWrap/>
            <w:hideMark/>
          </w:tcPr>
          <w:p w14:paraId="504F1D88" w14:textId="60DFBAB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Rose et al. (2018)</w:t>
            </w:r>
          </w:p>
        </w:tc>
        <w:tc>
          <w:tcPr>
            <w:tcW w:w="290" w:type="pct"/>
            <w:tcBorders>
              <w:top w:val="nil"/>
              <w:left w:val="nil"/>
              <w:bottom w:val="nil"/>
              <w:right w:val="nil"/>
            </w:tcBorders>
            <w:noWrap/>
            <w:hideMark/>
          </w:tcPr>
          <w:p w14:paraId="062CD376" w14:textId="54FC8555"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00B8FC4F" w14:textId="2469984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Mild to moderate</w:t>
            </w:r>
          </w:p>
        </w:tc>
        <w:tc>
          <w:tcPr>
            <w:tcW w:w="529" w:type="pct"/>
            <w:tcBorders>
              <w:top w:val="nil"/>
              <w:left w:val="nil"/>
              <w:bottom w:val="nil"/>
              <w:right w:val="nil"/>
            </w:tcBorders>
            <w:noWrap/>
            <w:hideMark/>
          </w:tcPr>
          <w:p w14:paraId="53B41D24" w14:textId="79FED4C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GDS 2–6</w:t>
            </w:r>
          </w:p>
        </w:tc>
        <w:tc>
          <w:tcPr>
            <w:tcW w:w="192" w:type="pct"/>
            <w:tcBorders>
              <w:top w:val="nil"/>
              <w:left w:val="nil"/>
              <w:bottom w:val="nil"/>
              <w:right w:val="nil"/>
            </w:tcBorders>
            <w:noWrap/>
            <w:hideMark/>
          </w:tcPr>
          <w:p w14:paraId="3FCEE1FE" w14:textId="0BA4078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w:t>
            </w:r>
          </w:p>
        </w:tc>
        <w:tc>
          <w:tcPr>
            <w:tcW w:w="144" w:type="pct"/>
            <w:tcBorders>
              <w:top w:val="nil"/>
              <w:left w:val="nil"/>
              <w:bottom w:val="nil"/>
              <w:right w:val="nil"/>
            </w:tcBorders>
            <w:noWrap/>
            <w:hideMark/>
          </w:tcPr>
          <w:p w14:paraId="7EC0B280" w14:textId="6E09F3C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6</w:t>
            </w:r>
          </w:p>
        </w:tc>
        <w:tc>
          <w:tcPr>
            <w:tcW w:w="289" w:type="pct"/>
            <w:tcBorders>
              <w:top w:val="nil"/>
              <w:left w:val="nil"/>
              <w:bottom w:val="nil"/>
              <w:right w:val="nil"/>
            </w:tcBorders>
            <w:hideMark/>
          </w:tcPr>
          <w:p w14:paraId="418CC18D" w14:textId="7A9F1CF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69.63</w:t>
            </w:r>
          </w:p>
        </w:tc>
        <w:tc>
          <w:tcPr>
            <w:tcW w:w="336" w:type="pct"/>
            <w:tcBorders>
              <w:top w:val="nil"/>
              <w:left w:val="nil"/>
              <w:bottom w:val="nil"/>
              <w:right w:val="nil"/>
            </w:tcBorders>
            <w:noWrap/>
            <w:hideMark/>
          </w:tcPr>
          <w:p w14:paraId="4FEA0B2C" w14:textId="7408E2C5"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Interview questions based on Nichols et al. (2000)</w:t>
            </w:r>
          </w:p>
        </w:tc>
        <w:tc>
          <w:tcPr>
            <w:tcW w:w="417" w:type="pct"/>
            <w:tcBorders>
              <w:top w:val="nil"/>
              <w:left w:val="nil"/>
              <w:bottom w:val="nil"/>
              <w:right w:val="nil"/>
            </w:tcBorders>
            <w:noWrap/>
            <w:hideMark/>
          </w:tcPr>
          <w:p w14:paraId="60BB85BA" w14:textId="1095C13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785" w:type="pct"/>
            <w:tcBorders>
              <w:top w:val="nil"/>
              <w:left w:val="nil"/>
              <w:bottom w:val="nil"/>
              <w:right w:val="nil"/>
            </w:tcBorders>
            <w:noWrap/>
            <w:hideMark/>
          </w:tcPr>
          <w:p w14:paraId="15061C3F" w14:textId="5C23431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Viewing 360° videos.</w:t>
            </w:r>
          </w:p>
        </w:tc>
        <w:tc>
          <w:tcPr>
            <w:tcW w:w="407" w:type="pct"/>
            <w:tcBorders>
              <w:top w:val="nil"/>
              <w:left w:val="nil"/>
              <w:bottom w:val="nil"/>
              <w:right w:val="nil"/>
            </w:tcBorders>
            <w:noWrap/>
            <w:hideMark/>
          </w:tcPr>
          <w:p w14:paraId="2676510A" w14:textId="327B0B6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w:t>
            </w:r>
          </w:p>
        </w:tc>
        <w:tc>
          <w:tcPr>
            <w:tcW w:w="843" w:type="pct"/>
            <w:tcBorders>
              <w:top w:val="nil"/>
              <w:left w:val="nil"/>
              <w:bottom w:val="nil"/>
              <w:right w:val="nil"/>
            </w:tcBorders>
            <w:noWrap/>
            <w:hideMark/>
          </w:tcPr>
          <w:p w14:paraId="496D8472"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VR was feasible and had a positive impact, with significant improvements in pleasure and alertness from before to after HMD-VR exposure. Most participants requested more time with VR. Emotional responses, physical and cognitive effects, and memory evocation were highlighted as significant aspects. Caregivers expressed initial preconceptions about whether patients would accept unfamiliar technology, which became more positive after exposure. No significant adverse effects were reported.</w:t>
            </w:r>
          </w:p>
          <w:p w14:paraId="240FB04C" w14:textId="35705F15" w:rsidR="00181CF9" w:rsidRPr="00623862" w:rsidRDefault="00181CF9" w:rsidP="00623862">
            <w:pPr>
              <w:pStyle w:val="Tables"/>
              <w:rPr>
                <w:rFonts w:ascii="Times New Roman" w:hAnsi="Times New Roman" w:cs="Times New Roman"/>
                <w:lang w:eastAsia="en-GB"/>
              </w:rPr>
            </w:pPr>
          </w:p>
        </w:tc>
      </w:tr>
      <w:tr w:rsidR="00623862" w:rsidRPr="00623862" w14:paraId="0FAF07D8" w14:textId="77777777" w:rsidTr="00181CF9">
        <w:trPr>
          <w:trHeight w:val="300"/>
        </w:trPr>
        <w:tc>
          <w:tcPr>
            <w:tcW w:w="336" w:type="pct"/>
            <w:tcBorders>
              <w:top w:val="nil"/>
              <w:left w:val="nil"/>
              <w:bottom w:val="nil"/>
              <w:right w:val="nil"/>
            </w:tcBorders>
            <w:noWrap/>
            <w:hideMark/>
          </w:tcPr>
          <w:p w14:paraId="3B9B473E" w14:textId="1965C6F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Shin et al. (2023b)</w:t>
            </w:r>
          </w:p>
        </w:tc>
        <w:tc>
          <w:tcPr>
            <w:tcW w:w="290" w:type="pct"/>
            <w:tcBorders>
              <w:top w:val="nil"/>
              <w:left w:val="nil"/>
              <w:bottom w:val="nil"/>
              <w:right w:val="nil"/>
            </w:tcBorders>
            <w:noWrap/>
            <w:hideMark/>
          </w:tcPr>
          <w:p w14:paraId="4F08E7F2" w14:textId="1BE8C645"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23B70143" w14:textId="5CA5B5E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Vascular dementia, AD, and frontotemporal dementia</w:t>
            </w:r>
          </w:p>
        </w:tc>
        <w:tc>
          <w:tcPr>
            <w:tcW w:w="529" w:type="pct"/>
            <w:tcBorders>
              <w:top w:val="nil"/>
              <w:left w:val="nil"/>
              <w:bottom w:val="nil"/>
              <w:right w:val="nil"/>
            </w:tcBorders>
            <w:noWrap/>
            <w:hideMark/>
          </w:tcPr>
          <w:p w14:paraId="3EB832B8" w14:textId="1635BB4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K-MMSE M = 22.86, SD = 3.18; GDS 3–5</w:t>
            </w:r>
          </w:p>
        </w:tc>
        <w:tc>
          <w:tcPr>
            <w:tcW w:w="192" w:type="pct"/>
            <w:tcBorders>
              <w:top w:val="nil"/>
              <w:left w:val="nil"/>
              <w:bottom w:val="nil"/>
              <w:right w:val="nil"/>
            </w:tcBorders>
            <w:noWrap/>
            <w:hideMark/>
          </w:tcPr>
          <w:p w14:paraId="3B7E8C58" w14:textId="2514DBB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7</w:t>
            </w:r>
          </w:p>
        </w:tc>
        <w:tc>
          <w:tcPr>
            <w:tcW w:w="144" w:type="pct"/>
            <w:tcBorders>
              <w:top w:val="nil"/>
              <w:left w:val="nil"/>
              <w:bottom w:val="nil"/>
              <w:right w:val="nil"/>
            </w:tcBorders>
            <w:noWrap/>
            <w:hideMark/>
          </w:tcPr>
          <w:p w14:paraId="00DADB19" w14:textId="45F4B0E3"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5</w:t>
            </w:r>
          </w:p>
        </w:tc>
        <w:tc>
          <w:tcPr>
            <w:tcW w:w="289" w:type="pct"/>
            <w:tcBorders>
              <w:top w:val="nil"/>
              <w:left w:val="nil"/>
              <w:bottom w:val="nil"/>
              <w:right w:val="nil"/>
            </w:tcBorders>
            <w:noWrap/>
            <w:hideMark/>
          </w:tcPr>
          <w:p w14:paraId="6713FA5D" w14:textId="533856F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71 (8.89)</w:t>
            </w:r>
          </w:p>
        </w:tc>
        <w:tc>
          <w:tcPr>
            <w:tcW w:w="336" w:type="pct"/>
            <w:tcBorders>
              <w:top w:val="nil"/>
              <w:left w:val="nil"/>
              <w:bottom w:val="nil"/>
              <w:right w:val="nil"/>
            </w:tcBorders>
            <w:noWrap/>
            <w:hideMark/>
          </w:tcPr>
          <w:p w14:paraId="0478A90B" w14:textId="0804B4C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Yes; nine custom questions</w:t>
            </w:r>
          </w:p>
        </w:tc>
        <w:tc>
          <w:tcPr>
            <w:tcW w:w="417" w:type="pct"/>
            <w:tcBorders>
              <w:top w:val="nil"/>
              <w:left w:val="nil"/>
              <w:bottom w:val="nil"/>
              <w:right w:val="nil"/>
            </w:tcBorders>
            <w:noWrap/>
            <w:hideMark/>
          </w:tcPr>
          <w:p w14:paraId="23F9AF1D" w14:textId="311C527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SSQ</w:t>
            </w:r>
          </w:p>
        </w:tc>
        <w:tc>
          <w:tcPr>
            <w:tcW w:w="785" w:type="pct"/>
            <w:tcBorders>
              <w:top w:val="nil"/>
              <w:left w:val="nil"/>
              <w:bottom w:val="nil"/>
              <w:right w:val="nil"/>
            </w:tcBorders>
            <w:noWrap/>
            <w:hideMark/>
          </w:tcPr>
          <w:p w14:paraId="3CBFB424" w14:textId="2C42933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Interactive 360° video. I-ADL training programme involving cleaning, grocery shopping, cooking, going to hospital, and ordering food.</w:t>
            </w:r>
          </w:p>
        </w:tc>
        <w:tc>
          <w:tcPr>
            <w:tcW w:w="407" w:type="pct"/>
            <w:tcBorders>
              <w:top w:val="nil"/>
              <w:left w:val="nil"/>
              <w:bottom w:val="nil"/>
              <w:right w:val="nil"/>
            </w:tcBorders>
            <w:noWrap/>
            <w:hideMark/>
          </w:tcPr>
          <w:p w14:paraId="216EA34B" w14:textId="0123C492"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 with controller</w:t>
            </w:r>
          </w:p>
        </w:tc>
        <w:tc>
          <w:tcPr>
            <w:tcW w:w="843" w:type="pct"/>
            <w:tcBorders>
              <w:top w:val="nil"/>
              <w:left w:val="nil"/>
              <w:bottom w:val="nil"/>
              <w:right w:val="nil"/>
            </w:tcBorders>
            <w:noWrap/>
            <w:hideMark/>
          </w:tcPr>
          <w:p w14:paraId="61E71D0B"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Improvements were reported in activities of daily living, cognitive functioning, and mood. Satisfaction and immersion were high. Side effects were negligible, with one moderate effect that subsided over time. I-ADL improved significantly, helping participants maintain independence in daily life. Case 2 showed particularly significant improvements in I-ADL and BDI scores, possibly because of younger age and a higher initial MMSE score. Improvement was observed in executive functioning. Some participants were unable to complete certain cognitive tests because of cognitive decline.</w:t>
            </w:r>
          </w:p>
          <w:p w14:paraId="2C7B4266" w14:textId="5438BAE0" w:rsidR="00181CF9" w:rsidRPr="00623862" w:rsidRDefault="00181CF9" w:rsidP="00623862">
            <w:pPr>
              <w:pStyle w:val="Tables"/>
              <w:rPr>
                <w:rFonts w:ascii="Times New Roman" w:hAnsi="Times New Roman" w:cs="Times New Roman"/>
                <w:lang w:eastAsia="en-GB"/>
              </w:rPr>
            </w:pPr>
          </w:p>
        </w:tc>
      </w:tr>
      <w:tr w:rsidR="00623862" w:rsidRPr="00623862" w14:paraId="4441DF76" w14:textId="77777777" w:rsidTr="00181CF9">
        <w:trPr>
          <w:trHeight w:val="1500"/>
        </w:trPr>
        <w:tc>
          <w:tcPr>
            <w:tcW w:w="336" w:type="pct"/>
            <w:tcBorders>
              <w:top w:val="nil"/>
              <w:left w:val="nil"/>
              <w:bottom w:val="nil"/>
              <w:right w:val="nil"/>
            </w:tcBorders>
            <w:noWrap/>
            <w:hideMark/>
          </w:tcPr>
          <w:p w14:paraId="48CC9334" w14:textId="2AE033E1"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Siriaraya</w:t>
            </w:r>
            <w:proofErr w:type="spellEnd"/>
            <w:r w:rsidRPr="00623862">
              <w:rPr>
                <w:rFonts w:ascii="Times New Roman" w:hAnsi="Times New Roman" w:cs="Times New Roman"/>
              </w:rPr>
              <w:t xml:space="preserve"> and Ang (2014)</w:t>
            </w:r>
          </w:p>
        </w:tc>
        <w:tc>
          <w:tcPr>
            <w:tcW w:w="290" w:type="pct"/>
            <w:tcBorders>
              <w:top w:val="nil"/>
              <w:left w:val="nil"/>
              <w:bottom w:val="nil"/>
              <w:right w:val="nil"/>
            </w:tcBorders>
            <w:noWrap/>
            <w:hideMark/>
          </w:tcPr>
          <w:p w14:paraId="6B381265" w14:textId="1F994A9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Dementia</w:t>
            </w:r>
          </w:p>
        </w:tc>
        <w:tc>
          <w:tcPr>
            <w:tcW w:w="432" w:type="pct"/>
            <w:tcBorders>
              <w:top w:val="nil"/>
              <w:left w:val="nil"/>
              <w:bottom w:val="nil"/>
              <w:right w:val="nil"/>
            </w:tcBorders>
            <w:noWrap/>
            <w:hideMark/>
          </w:tcPr>
          <w:p w14:paraId="6126AB18" w14:textId="5A43B839"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529" w:type="pct"/>
            <w:tcBorders>
              <w:top w:val="nil"/>
              <w:left w:val="nil"/>
              <w:bottom w:val="nil"/>
              <w:right w:val="nil"/>
            </w:tcBorders>
            <w:noWrap/>
            <w:hideMark/>
          </w:tcPr>
          <w:p w14:paraId="237EA20B" w14:textId="44C85846"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192" w:type="pct"/>
            <w:tcBorders>
              <w:top w:val="nil"/>
              <w:left w:val="nil"/>
              <w:bottom w:val="nil"/>
              <w:right w:val="nil"/>
            </w:tcBorders>
            <w:noWrap/>
            <w:hideMark/>
          </w:tcPr>
          <w:p w14:paraId="4C1B502B" w14:textId="7A736AB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20</w:t>
            </w:r>
          </w:p>
        </w:tc>
        <w:tc>
          <w:tcPr>
            <w:tcW w:w="144" w:type="pct"/>
            <w:tcBorders>
              <w:top w:val="nil"/>
              <w:left w:val="nil"/>
              <w:bottom w:val="nil"/>
              <w:right w:val="nil"/>
            </w:tcBorders>
            <w:noWrap/>
            <w:hideMark/>
          </w:tcPr>
          <w:p w14:paraId="4EDF6919" w14:textId="08125881"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289" w:type="pct"/>
            <w:tcBorders>
              <w:top w:val="nil"/>
              <w:left w:val="nil"/>
              <w:bottom w:val="nil"/>
              <w:right w:val="nil"/>
            </w:tcBorders>
            <w:hideMark/>
          </w:tcPr>
          <w:p w14:paraId="6BCFB800" w14:textId="42F51CA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80–101</w:t>
            </w:r>
          </w:p>
        </w:tc>
        <w:tc>
          <w:tcPr>
            <w:tcW w:w="336" w:type="pct"/>
            <w:tcBorders>
              <w:top w:val="nil"/>
              <w:left w:val="nil"/>
              <w:bottom w:val="nil"/>
              <w:right w:val="nil"/>
            </w:tcBorders>
            <w:noWrap/>
            <w:hideMark/>
          </w:tcPr>
          <w:p w14:paraId="1AD2C2A0" w14:textId="5E0E755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Yes</w:t>
            </w:r>
          </w:p>
        </w:tc>
        <w:tc>
          <w:tcPr>
            <w:tcW w:w="417" w:type="pct"/>
            <w:tcBorders>
              <w:top w:val="nil"/>
              <w:left w:val="nil"/>
              <w:bottom w:val="nil"/>
              <w:right w:val="nil"/>
            </w:tcBorders>
            <w:noWrap/>
            <w:hideMark/>
          </w:tcPr>
          <w:p w14:paraId="228139E3" w14:textId="323C1A60"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785" w:type="pct"/>
            <w:tcBorders>
              <w:top w:val="nil"/>
              <w:left w:val="nil"/>
              <w:bottom w:val="nil"/>
              <w:right w:val="nil"/>
            </w:tcBorders>
            <w:noWrap/>
            <w:hideMark/>
          </w:tcPr>
          <w:p w14:paraId="52967110" w14:textId="33F3043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Different prototype iterations involving walking on a path, rowing on a river, and gardening.</w:t>
            </w:r>
          </w:p>
        </w:tc>
        <w:tc>
          <w:tcPr>
            <w:tcW w:w="407" w:type="pct"/>
            <w:tcBorders>
              <w:top w:val="nil"/>
              <w:left w:val="nil"/>
              <w:bottom w:val="nil"/>
              <w:right w:val="nil"/>
            </w:tcBorders>
            <w:noWrap/>
            <w:hideMark/>
          </w:tcPr>
          <w:p w14:paraId="707C441B" w14:textId="1C89C40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Semi-immersive with gesture and hand-motion interaction</w:t>
            </w:r>
          </w:p>
        </w:tc>
        <w:tc>
          <w:tcPr>
            <w:tcW w:w="843" w:type="pct"/>
            <w:tcBorders>
              <w:top w:val="nil"/>
              <w:left w:val="nil"/>
              <w:bottom w:val="nil"/>
              <w:right w:val="nil"/>
            </w:tcBorders>
            <w:noWrap/>
            <w:hideMark/>
          </w:tcPr>
          <w:p w14:paraId="3D4E502F"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The system was feasible and enhanced sense of self. Some instances of fear and anxiety occurred. Continuous use caused fatigue, particularly among those with mobility issues. Some virtual environments triggered negative memories. Some care staff were keen to try the technology, whereas others perceived it as adding to workload. Individuals with severe cognitive decline had difficulty interacting with the prototypes and required physical guidance from caregivers. Participants felt more empowered after interacting with the system.</w:t>
            </w:r>
          </w:p>
          <w:p w14:paraId="6A4DC315" w14:textId="6C324158" w:rsidR="00181CF9" w:rsidRPr="00623862" w:rsidRDefault="00181CF9" w:rsidP="00623862">
            <w:pPr>
              <w:pStyle w:val="Tables"/>
              <w:rPr>
                <w:rFonts w:ascii="Times New Roman" w:hAnsi="Times New Roman" w:cs="Times New Roman"/>
                <w:lang w:eastAsia="en-GB"/>
              </w:rPr>
            </w:pPr>
          </w:p>
        </w:tc>
      </w:tr>
      <w:tr w:rsidR="00623862" w:rsidRPr="00623862" w14:paraId="07EA5402" w14:textId="77777777" w:rsidTr="00181CF9">
        <w:trPr>
          <w:trHeight w:val="300"/>
        </w:trPr>
        <w:tc>
          <w:tcPr>
            <w:tcW w:w="336" w:type="pct"/>
            <w:tcBorders>
              <w:top w:val="nil"/>
              <w:left w:val="nil"/>
              <w:right w:val="nil"/>
            </w:tcBorders>
            <w:noWrap/>
            <w:hideMark/>
          </w:tcPr>
          <w:p w14:paraId="2E267BBF" w14:textId="5ECAB51D"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Tuena</w:t>
            </w:r>
            <w:proofErr w:type="spellEnd"/>
            <w:r w:rsidRPr="00623862">
              <w:rPr>
                <w:rFonts w:ascii="Times New Roman" w:hAnsi="Times New Roman" w:cs="Times New Roman"/>
              </w:rPr>
              <w:t xml:space="preserve"> et al. (2023)</w:t>
            </w:r>
          </w:p>
        </w:tc>
        <w:tc>
          <w:tcPr>
            <w:tcW w:w="290" w:type="pct"/>
            <w:tcBorders>
              <w:top w:val="nil"/>
              <w:left w:val="nil"/>
              <w:right w:val="nil"/>
            </w:tcBorders>
            <w:noWrap/>
            <w:hideMark/>
          </w:tcPr>
          <w:p w14:paraId="15662BFA" w14:textId="1E5B925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MCI</w:t>
            </w:r>
          </w:p>
        </w:tc>
        <w:tc>
          <w:tcPr>
            <w:tcW w:w="432" w:type="pct"/>
            <w:tcBorders>
              <w:top w:val="nil"/>
              <w:left w:val="nil"/>
              <w:right w:val="nil"/>
            </w:tcBorders>
            <w:noWrap/>
            <w:hideMark/>
          </w:tcPr>
          <w:p w14:paraId="0BB1C448" w14:textId="4E793ADF" w:rsidR="00623862" w:rsidRPr="00623862" w:rsidRDefault="00623862" w:rsidP="00623862">
            <w:pPr>
              <w:pStyle w:val="Tables"/>
              <w:rPr>
                <w:rFonts w:ascii="Times New Roman" w:hAnsi="Times New Roman" w:cs="Times New Roman"/>
                <w:lang w:eastAsia="en-GB"/>
              </w:rPr>
            </w:pPr>
            <w:proofErr w:type="spellStart"/>
            <w:r w:rsidRPr="00623862">
              <w:rPr>
                <w:rFonts w:ascii="Times New Roman" w:hAnsi="Times New Roman" w:cs="Times New Roman"/>
              </w:rPr>
              <w:t>n.s</w:t>
            </w:r>
            <w:proofErr w:type="spellEnd"/>
            <w:r w:rsidRPr="00623862">
              <w:rPr>
                <w:rFonts w:ascii="Times New Roman" w:hAnsi="Times New Roman" w:cs="Times New Roman"/>
              </w:rPr>
              <w:t>.</w:t>
            </w:r>
          </w:p>
        </w:tc>
        <w:tc>
          <w:tcPr>
            <w:tcW w:w="529" w:type="pct"/>
            <w:tcBorders>
              <w:top w:val="nil"/>
              <w:left w:val="nil"/>
              <w:right w:val="nil"/>
            </w:tcBorders>
            <w:noWrap/>
            <w:hideMark/>
          </w:tcPr>
          <w:p w14:paraId="3DC3A2F2" w14:textId="3CBE533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MMSE 13–26</w:t>
            </w:r>
          </w:p>
        </w:tc>
        <w:tc>
          <w:tcPr>
            <w:tcW w:w="192" w:type="pct"/>
            <w:tcBorders>
              <w:top w:val="nil"/>
              <w:left w:val="nil"/>
              <w:right w:val="nil"/>
            </w:tcBorders>
            <w:noWrap/>
            <w:hideMark/>
          </w:tcPr>
          <w:p w14:paraId="154EFEE0" w14:textId="5571B9D2"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8</w:t>
            </w:r>
          </w:p>
        </w:tc>
        <w:tc>
          <w:tcPr>
            <w:tcW w:w="144" w:type="pct"/>
            <w:tcBorders>
              <w:top w:val="nil"/>
              <w:left w:val="nil"/>
              <w:right w:val="nil"/>
            </w:tcBorders>
            <w:noWrap/>
            <w:hideMark/>
          </w:tcPr>
          <w:p w14:paraId="12948C81" w14:textId="2278C02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6</w:t>
            </w:r>
          </w:p>
        </w:tc>
        <w:tc>
          <w:tcPr>
            <w:tcW w:w="289" w:type="pct"/>
            <w:tcBorders>
              <w:top w:val="nil"/>
              <w:left w:val="nil"/>
              <w:right w:val="nil"/>
            </w:tcBorders>
            <w:hideMark/>
          </w:tcPr>
          <w:p w14:paraId="67DEDC05" w14:textId="5011BDF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72.75 (5.56)</w:t>
            </w:r>
          </w:p>
        </w:tc>
        <w:tc>
          <w:tcPr>
            <w:tcW w:w="336" w:type="pct"/>
            <w:tcBorders>
              <w:top w:val="nil"/>
              <w:left w:val="nil"/>
              <w:right w:val="nil"/>
            </w:tcBorders>
            <w:noWrap/>
            <w:hideMark/>
          </w:tcPr>
          <w:p w14:paraId="6BAB9DA1" w14:textId="4D4A9014"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ITC-SOPI</w:t>
            </w:r>
          </w:p>
        </w:tc>
        <w:tc>
          <w:tcPr>
            <w:tcW w:w="417" w:type="pct"/>
            <w:tcBorders>
              <w:top w:val="nil"/>
              <w:left w:val="nil"/>
              <w:right w:val="nil"/>
            </w:tcBorders>
            <w:noWrap/>
            <w:hideMark/>
          </w:tcPr>
          <w:p w14:paraId="31CB2652" w14:textId="73E4197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Yes</w:t>
            </w:r>
          </w:p>
        </w:tc>
        <w:tc>
          <w:tcPr>
            <w:tcW w:w="785" w:type="pct"/>
            <w:tcBorders>
              <w:top w:val="nil"/>
              <w:left w:val="nil"/>
              <w:right w:val="nil"/>
            </w:tcBorders>
            <w:noWrap/>
            <w:hideMark/>
          </w:tcPr>
          <w:p w14:paraId="5989E2F1" w14:textId="10B3218A"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Encoding and recalling landmark positions.</w:t>
            </w:r>
          </w:p>
        </w:tc>
        <w:tc>
          <w:tcPr>
            <w:tcW w:w="407" w:type="pct"/>
            <w:tcBorders>
              <w:top w:val="nil"/>
              <w:left w:val="nil"/>
              <w:right w:val="nil"/>
            </w:tcBorders>
            <w:noWrap/>
            <w:hideMark/>
          </w:tcPr>
          <w:p w14:paraId="19D41883" w14:textId="6572DAE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 with motion control</w:t>
            </w:r>
          </w:p>
        </w:tc>
        <w:tc>
          <w:tcPr>
            <w:tcW w:w="843" w:type="pct"/>
            <w:tcBorders>
              <w:top w:val="nil"/>
              <w:left w:val="nil"/>
              <w:right w:val="nil"/>
            </w:tcBorders>
            <w:noWrap/>
            <w:hideMark/>
          </w:tcPr>
          <w:p w14:paraId="78BD0EB6" w14:textId="4838B097"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Participants reported a moderate sense of spatial presence. More practice was needed with the foot-motion pad. Negative effects were limited. Usability was acceptable, including for inexperienced users.</w:t>
            </w:r>
          </w:p>
        </w:tc>
      </w:tr>
      <w:tr w:rsidR="00623862" w:rsidRPr="00623862" w14:paraId="34F20CB6" w14:textId="77777777" w:rsidTr="00181CF9">
        <w:trPr>
          <w:trHeight w:val="600"/>
        </w:trPr>
        <w:tc>
          <w:tcPr>
            <w:tcW w:w="336" w:type="pct"/>
            <w:tcBorders>
              <w:top w:val="nil"/>
              <w:left w:val="nil"/>
              <w:bottom w:val="single" w:sz="4" w:space="0" w:color="auto"/>
              <w:right w:val="nil"/>
            </w:tcBorders>
            <w:noWrap/>
            <w:hideMark/>
          </w:tcPr>
          <w:p w14:paraId="43A575D1" w14:textId="1C4AF84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lastRenderedPageBreak/>
              <w:t>Yun et al. (2020)</w:t>
            </w:r>
          </w:p>
        </w:tc>
        <w:tc>
          <w:tcPr>
            <w:tcW w:w="290" w:type="pct"/>
            <w:tcBorders>
              <w:top w:val="nil"/>
              <w:left w:val="nil"/>
              <w:bottom w:val="single" w:sz="4" w:space="0" w:color="auto"/>
              <w:right w:val="nil"/>
            </w:tcBorders>
            <w:noWrap/>
            <w:hideMark/>
          </w:tcPr>
          <w:p w14:paraId="3DA5A965" w14:textId="29838E2D"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MCI, dementia</w:t>
            </w:r>
          </w:p>
        </w:tc>
        <w:tc>
          <w:tcPr>
            <w:tcW w:w="432" w:type="pct"/>
            <w:tcBorders>
              <w:top w:val="nil"/>
              <w:left w:val="nil"/>
              <w:bottom w:val="single" w:sz="4" w:space="0" w:color="auto"/>
              <w:right w:val="nil"/>
            </w:tcBorders>
            <w:noWrap/>
            <w:hideMark/>
          </w:tcPr>
          <w:p w14:paraId="176052B3" w14:textId="01958AA1"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Mild dementia</w:t>
            </w:r>
          </w:p>
        </w:tc>
        <w:tc>
          <w:tcPr>
            <w:tcW w:w="529" w:type="pct"/>
            <w:tcBorders>
              <w:top w:val="nil"/>
              <w:left w:val="nil"/>
              <w:bottom w:val="single" w:sz="4" w:space="0" w:color="auto"/>
              <w:right w:val="nil"/>
            </w:tcBorders>
            <w:noWrap/>
            <w:hideMark/>
          </w:tcPr>
          <w:p w14:paraId="655149AF" w14:textId="08E2656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MMSE 23–28; CDR 0.5–1</w:t>
            </w:r>
          </w:p>
        </w:tc>
        <w:tc>
          <w:tcPr>
            <w:tcW w:w="192" w:type="pct"/>
            <w:tcBorders>
              <w:top w:val="nil"/>
              <w:left w:val="nil"/>
              <w:bottom w:val="single" w:sz="4" w:space="0" w:color="auto"/>
              <w:right w:val="nil"/>
            </w:tcBorders>
            <w:noWrap/>
            <w:hideMark/>
          </w:tcPr>
          <w:p w14:paraId="7A84A24D" w14:textId="24D2761E"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11</w:t>
            </w:r>
          </w:p>
        </w:tc>
        <w:tc>
          <w:tcPr>
            <w:tcW w:w="144" w:type="pct"/>
            <w:tcBorders>
              <w:top w:val="nil"/>
              <w:left w:val="nil"/>
              <w:bottom w:val="single" w:sz="4" w:space="0" w:color="auto"/>
              <w:right w:val="nil"/>
            </w:tcBorders>
            <w:noWrap/>
            <w:hideMark/>
          </w:tcPr>
          <w:p w14:paraId="4D535B1C" w14:textId="57028C6B"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5</w:t>
            </w:r>
          </w:p>
        </w:tc>
        <w:tc>
          <w:tcPr>
            <w:tcW w:w="289" w:type="pct"/>
            <w:tcBorders>
              <w:top w:val="nil"/>
              <w:left w:val="nil"/>
              <w:bottom w:val="single" w:sz="4" w:space="0" w:color="auto"/>
              <w:right w:val="nil"/>
            </w:tcBorders>
            <w:hideMark/>
          </w:tcPr>
          <w:p w14:paraId="11DB13D2" w14:textId="66AA8579"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72.64 (4.65)</w:t>
            </w:r>
          </w:p>
        </w:tc>
        <w:tc>
          <w:tcPr>
            <w:tcW w:w="336" w:type="pct"/>
            <w:tcBorders>
              <w:top w:val="nil"/>
              <w:left w:val="nil"/>
              <w:bottom w:val="single" w:sz="4" w:space="0" w:color="auto"/>
              <w:right w:val="nil"/>
            </w:tcBorders>
            <w:noWrap/>
            <w:hideMark/>
          </w:tcPr>
          <w:p w14:paraId="1C94202E" w14:textId="4E510B46"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417" w:type="pct"/>
            <w:tcBorders>
              <w:top w:val="nil"/>
              <w:left w:val="nil"/>
              <w:bottom w:val="single" w:sz="4" w:space="0" w:color="auto"/>
              <w:right w:val="nil"/>
            </w:tcBorders>
            <w:noWrap/>
            <w:hideMark/>
          </w:tcPr>
          <w:p w14:paraId="79A343B9" w14:textId="73644DE8"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No</w:t>
            </w:r>
          </w:p>
        </w:tc>
        <w:tc>
          <w:tcPr>
            <w:tcW w:w="785" w:type="pct"/>
            <w:tcBorders>
              <w:top w:val="nil"/>
              <w:left w:val="nil"/>
              <w:bottom w:val="single" w:sz="4" w:space="0" w:color="auto"/>
              <w:right w:val="nil"/>
            </w:tcBorders>
            <w:noWrap/>
            <w:hideMark/>
          </w:tcPr>
          <w:p w14:paraId="079814A7" w14:textId="77777777" w:rsidR="00623862" w:rsidRDefault="00623862" w:rsidP="00623862">
            <w:pPr>
              <w:pStyle w:val="Tables"/>
              <w:rPr>
                <w:rFonts w:ascii="Times New Roman" w:hAnsi="Times New Roman" w:cs="Times New Roman"/>
              </w:rPr>
            </w:pPr>
            <w:r w:rsidRPr="00623862">
              <w:rPr>
                <w:rFonts w:ascii="Times New Roman" w:hAnsi="Times New Roman" w:cs="Times New Roman"/>
              </w:rPr>
              <w:t>Harvesting and cooking game targeting sustained, alternating, and selective attention; working memory; spatial and procedural memory; and executive function.</w:t>
            </w:r>
          </w:p>
          <w:p w14:paraId="076A0732" w14:textId="2881F9F5" w:rsidR="00181CF9" w:rsidRPr="00623862" w:rsidRDefault="00181CF9" w:rsidP="00623862">
            <w:pPr>
              <w:pStyle w:val="Tables"/>
              <w:rPr>
                <w:rFonts w:ascii="Times New Roman" w:hAnsi="Times New Roman" w:cs="Times New Roman"/>
                <w:lang w:eastAsia="en-GB"/>
              </w:rPr>
            </w:pPr>
          </w:p>
        </w:tc>
        <w:tc>
          <w:tcPr>
            <w:tcW w:w="407" w:type="pct"/>
            <w:tcBorders>
              <w:top w:val="nil"/>
              <w:left w:val="nil"/>
              <w:bottom w:val="single" w:sz="4" w:space="0" w:color="auto"/>
              <w:right w:val="nil"/>
            </w:tcBorders>
            <w:noWrap/>
            <w:hideMark/>
          </w:tcPr>
          <w:p w14:paraId="09A2CDBA" w14:textId="5CC716CF"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Immersive HMD</w:t>
            </w:r>
          </w:p>
        </w:tc>
        <w:tc>
          <w:tcPr>
            <w:tcW w:w="843" w:type="pct"/>
            <w:tcBorders>
              <w:top w:val="nil"/>
              <w:left w:val="nil"/>
              <w:bottom w:val="single" w:sz="4" w:space="0" w:color="auto"/>
              <w:right w:val="nil"/>
            </w:tcBorders>
            <w:noWrap/>
            <w:hideMark/>
          </w:tcPr>
          <w:p w14:paraId="45BB13C3" w14:textId="3DEB14AC" w:rsidR="00623862" w:rsidRPr="00623862" w:rsidRDefault="00623862" w:rsidP="00623862">
            <w:pPr>
              <w:pStyle w:val="Tables"/>
              <w:rPr>
                <w:rFonts w:ascii="Times New Roman" w:hAnsi="Times New Roman" w:cs="Times New Roman"/>
                <w:lang w:eastAsia="en-GB"/>
              </w:rPr>
            </w:pPr>
            <w:r w:rsidRPr="00623862">
              <w:rPr>
                <w:rFonts w:ascii="Times New Roman" w:hAnsi="Times New Roman" w:cs="Times New Roman"/>
              </w:rPr>
              <w:t>Feasible and usable, with positive satisfaction and willingness to use. No cybersickness was reported.</w:t>
            </w:r>
          </w:p>
        </w:tc>
      </w:tr>
    </w:tbl>
    <w:p w14:paraId="6FA0E8EB" w14:textId="6CFBBE5D" w:rsidR="007337A7" w:rsidRPr="00623862" w:rsidRDefault="00382AD8" w:rsidP="00284737">
      <w:pPr>
        <w:ind w:left="-284" w:firstLine="0"/>
        <w:rPr>
          <w:rFonts w:ascii="Times New Roman" w:hAnsi="Times New Roman" w:cs="Times New Roman"/>
          <w:sz w:val="20"/>
          <w:szCs w:val="20"/>
        </w:rPr>
      </w:pPr>
      <w:r w:rsidRPr="00382AD8">
        <w:rPr>
          <w:rFonts w:ascii="Times New Roman" w:hAnsi="Times New Roman" w:cs="Times New Roman"/>
          <w:sz w:val="20"/>
          <w:szCs w:val="20"/>
        </w:rPr>
        <w:t xml:space="preserve">Note. AD = Alzheimer’s disease; BDI = Beck Depression Inventory; CAVE = cave automatic virtual environment; CDR = Clinical Dementia Rating; CERAD = Consortium to Establish a Registry for Alzheimer’s Disease; CPS = Cognitive Performance Scale; GDS = Global Deterioration Scale; HMD = head-mounted display; I-ADL = instrumental activities of daily living; ITC-SOPI = Independent Television Commission Sense of Presence Inventory; K-MMSE = Korean Mini-Mental State Examination; M = mean; MCI = mild cognitive impairment; MMSE = Mini-Mental State Examination; MoCA = Montreal Cognitive Assessment; N = total sample size; m = number of male participants; </w:t>
      </w:r>
      <w:proofErr w:type="spellStart"/>
      <w:r w:rsidRPr="00382AD8">
        <w:rPr>
          <w:rFonts w:ascii="Times New Roman" w:hAnsi="Times New Roman" w:cs="Times New Roman"/>
          <w:sz w:val="20"/>
          <w:szCs w:val="20"/>
        </w:rPr>
        <w:t>n.s</w:t>
      </w:r>
      <w:proofErr w:type="spellEnd"/>
      <w:r w:rsidRPr="00382AD8">
        <w:rPr>
          <w:rFonts w:ascii="Times New Roman" w:hAnsi="Times New Roman" w:cs="Times New Roman"/>
          <w:sz w:val="20"/>
          <w:szCs w:val="20"/>
        </w:rPr>
        <w:t>. = not specified; PAS = Psychogeriatric Assessment Scale; SCD = subjective cognitive decline; SD = standard deviation; SSQ = Simulator Sickness Questionnaire; VE = virtual environment; VR = virtual reality; VR-RT = virtual reality-based reminiscence therapy; VRSQ = Virtual Reality Sickness Questionnaire.</w:t>
      </w:r>
    </w:p>
    <w:sectPr w:rsidR="007337A7" w:rsidRPr="00623862" w:rsidSect="004937F6">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erif">
    <w:charset w:val="00"/>
    <w:family w:val="roman"/>
    <w:pitch w:val="variable"/>
    <w:sig w:usb0="E00002FF" w:usb1="500078FF" w:usb2="00000029" w:usb3="00000000" w:csb0="0000019F" w:csb1="00000000"/>
  </w:font>
  <w:font w:name="Noto Serif KR">
    <w:altName w:val="Yu Gothic"/>
    <w:panose1 w:val="00000000000000000000"/>
    <w:charset w:val="80"/>
    <w:family w:val="roman"/>
    <w:notTrueType/>
    <w:pitch w:val="variable"/>
    <w:sig w:usb0="30000287" w:usb1="2BDF3C10" w:usb2="00000016" w:usb3="00000000" w:csb0="002E010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KR Black">
    <w:altName w:val="Yu Gothic"/>
    <w:panose1 w:val="00000000000000000000"/>
    <w:charset w:val="80"/>
    <w:family w:val="roman"/>
    <w:notTrueType/>
    <w:pitch w:val="variable"/>
    <w:sig w:usb0="30000287" w:usb1="2BDF3C10" w:usb2="00000016" w:usb3="00000000" w:csb0="002E0107" w:csb1="00000000"/>
  </w:font>
  <w:font w:name="Noto Serif SemiBold">
    <w:altName w:val="Cambria"/>
    <w:charset w:val="00"/>
    <w:family w:val="roman"/>
    <w:pitch w:val="variable"/>
    <w:sig w:usb0="E00002FF" w:usb1="4000201F" w:usb2="08000029" w:usb3="00000000" w:csb0="0000019F" w:csb1="00000000"/>
  </w:font>
  <w:font w:name="Noto Serif ExtraBold">
    <w:altName w:val="Cambria"/>
    <w:charset w:val="00"/>
    <w:family w:val="roman"/>
    <w:pitch w:val="variable"/>
    <w:sig w:usb0="E00002FF" w:usb1="4000201F" w:usb2="08000029" w:usb3="00000000" w:csb0="0000019F" w:csb1="00000000"/>
  </w:font>
  <w:font w:name="Noto Serif SemiCondensed SemiBo">
    <w:altName w:val="Cambria"/>
    <w:charset w:val="00"/>
    <w:family w:val="roman"/>
    <w:pitch w:val="variable"/>
    <w:sig w:usb0="E00002FF" w:usb1="4000201F" w:usb2="08000029" w:usb3="00000000" w:csb0="0000019F" w:csb1="00000000"/>
  </w:font>
  <w:font w:name="Noto Serif KR Medium">
    <w:panose1 w:val="00000000000000000000"/>
    <w:charset w:val="80"/>
    <w:family w:val="roman"/>
    <w:notTrueType/>
    <w:pitch w:val="variable"/>
    <w:sig w:usb0="30000287" w:usb1="2BDF3C10" w:usb2="00000016" w:usb3="00000000" w:csb0="002E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F4B78"/>
    <w:multiLevelType w:val="hybridMultilevel"/>
    <w:tmpl w:val="21CC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DB0607"/>
    <w:multiLevelType w:val="multilevel"/>
    <w:tmpl w:val="E2F42DFA"/>
    <w:lvl w:ilvl="0">
      <w:start w:val="1"/>
      <w:numFmt w:val="decimal"/>
      <w:lvlText w:val="%1)"/>
      <w:lvlJc w:val="left"/>
      <w:pPr>
        <w:ind w:left="360" w:hanging="360"/>
      </w:pPr>
      <w:rPr>
        <w:rFonts w:hint="default"/>
      </w:rPr>
    </w:lvl>
    <w:lvl w:ilvl="1">
      <w:start w:val="1"/>
      <w:numFmt w:val="upperLetter"/>
      <w:lvlRestart w:val="0"/>
      <w:pStyle w:val="AppendixHeading1"/>
      <w:suff w:val="nothing"/>
      <w:lvlText w:val="Appendix %2"/>
      <w:lvlJc w:val="left"/>
      <w:pPr>
        <w:ind w:left="0" w:firstLine="0"/>
      </w:pPr>
      <w:rPr>
        <w:rFonts w:hint="default"/>
      </w:rPr>
    </w:lvl>
    <w:lvl w:ilvl="2">
      <w:start w:val="1"/>
      <w:numFmt w:val="decimal"/>
      <w:pStyle w:val="AppSubHeading"/>
      <w:suff w:val="nothing"/>
      <w:lvlText w:val="%2%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7827623">
    <w:abstractNumId w:val="1"/>
  </w:num>
  <w:num w:numId="2" w16cid:durableId="671641075">
    <w:abstractNumId w:val="1"/>
    <w:lvlOverride w:ilvl="0">
      <w:lvl w:ilvl="0">
        <w:start w:val="1"/>
        <w:numFmt w:val="decimal"/>
        <w:lvlText w:val="%1)"/>
        <w:lvlJc w:val="left"/>
        <w:pPr>
          <w:ind w:left="360" w:hanging="360"/>
        </w:pPr>
        <w:rPr>
          <w:rFonts w:hint="default"/>
        </w:rPr>
      </w:lvl>
    </w:lvlOverride>
    <w:lvlOverride w:ilvl="1">
      <w:lvl w:ilvl="1">
        <w:start w:val="1"/>
        <w:numFmt w:val="upperLetter"/>
        <w:lvlRestart w:val="0"/>
        <w:pStyle w:val="AppendixHeading1"/>
        <w:suff w:val="nothing"/>
        <w:lvlText w:val="Appendix %2"/>
        <w:lvlJc w:val="left"/>
        <w:pPr>
          <w:ind w:left="0" w:firstLine="0"/>
        </w:pPr>
        <w:rPr>
          <w:rFonts w:hint="default"/>
        </w:rPr>
      </w:lvl>
    </w:lvlOverride>
    <w:lvlOverride w:ilvl="2">
      <w:lvl w:ilvl="2">
        <w:start w:val="1"/>
        <w:numFmt w:val="decimal"/>
        <w:pStyle w:val="AppSubHeading"/>
        <w:suff w:val="nothing"/>
        <w:lvlText w:val="%2%3"/>
        <w:lvlJc w:val="left"/>
        <w:pPr>
          <w:ind w:left="284" w:hanging="28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24118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745B7"/>
    <w:rsid w:val="00070C8E"/>
    <w:rsid w:val="000B1163"/>
    <w:rsid w:val="000E00BE"/>
    <w:rsid w:val="000F27B4"/>
    <w:rsid w:val="000F4D8F"/>
    <w:rsid w:val="00100DAF"/>
    <w:rsid w:val="00112026"/>
    <w:rsid w:val="001745B7"/>
    <w:rsid w:val="00181CF9"/>
    <w:rsid w:val="0019543A"/>
    <w:rsid w:val="001A5E9A"/>
    <w:rsid w:val="001D2DAC"/>
    <w:rsid w:val="0021301C"/>
    <w:rsid w:val="00216B2D"/>
    <w:rsid w:val="00224004"/>
    <w:rsid w:val="0026355C"/>
    <w:rsid w:val="00276FE1"/>
    <w:rsid w:val="00284737"/>
    <w:rsid w:val="002B4B6B"/>
    <w:rsid w:val="002E0247"/>
    <w:rsid w:val="003104E2"/>
    <w:rsid w:val="00315E4E"/>
    <w:rsid w:val="00325ECB"/>
    <w:rsid w:val="003661C2"/>
    <w:rsid w:val="003826E0"/>
    <w:rsid w:val="00382AD8"/>
    <w:rsid w:val="0040017B"/>
    <w:rsid w:val="00400D4E"/>
    <w:rsid w:val="00454163"/>
    <w:rsid w:val="004937F6"/>
    <w:rsid w:val="004A1D56"/>
    <w:rsid w:val="004C0BCB"/>
    <w:rsid w:val="004F439B"/>
    <w:rsid w:val="00502483"/>
    <w:rsid w:val="00503968"/>
    <w:rsid w:val="005072D8"/>
    <w:rsid w:val="00521017"/>
    <w:rsid w:val="00530674"/>
    <w:rsid w:val="00550B96"/>
    <w:rsid w:val="00562F80"/>
    <w:rsid w:val="005A441C"/>
    <w:rsid w:val="005C6236"/>
    <w:rsid w:val="005D75C9"/>
    <w:rsid w:val="00623862"/>
    <w:rsid w:val="00630D7D"/>
    <w:rsid w:val="00676C8B"/>
    <w:rsid w:val="00681263"/>
    <w:rsid w:val="006A19DA"/>
    <w:rsid w:val="00706382"/>
    <w:rsid w:val="00721FDA"/>
    <w:rsid w:val="007337A7"/>
    <w:rsid w:val="00736649"/>
    <w:rsid w:val="00740935"/>
    <w:rsid w:val="007428B2"/>
    <w:rsid w:val="00771FB1"/>
    <w:rsid w:val="008019AC"/>
    <w:rsid w:val="00854F42"/>
    <w:rsid w:val="0085664E"/>
    <w:rsid w:val="00863E39"/>
    <w:rsid w:val="008B2503"/>
    <w:rsid w:val="008C4A7F"/>
    <w:rsid w:val="00926705"/>
    <w:rsid w:val="00940E8C"/>
    <w:rsid w:val="009439BE"/>
    <w:rsid w:val="0097620A"/>
    <w:rsid w:val="009A18E1"/>
    <w:rsid w:val="009A5573"/>
    <w:rsid w:val="009E6CAD"/>
    <w:rsid w:val="00A02B05"/>
    <w:rsid w:val="00A36A5B"/>
    <w:rsid w:val="00A504E9"/>
    <w:rsid w:val="00A60ABD"/>
    <w:rsid w:val="00A65A92"/>
    <w:rsid w:val="00AE1EBB"/>
    <w:rsid w:val="00AE4FD9"/>
    <w:rsid w:val="00B03C9E"/>
    <w:rsid w:val="00B30D26"/>
    <w:rsid w:val="00B8474F"/>
    <w:rsid w:val="00BC62A3"/>
    <w:rsid w:val="00BD2D2F"/>
    <w:rsid w:val="00BE4815"/>
    <w:rsid w:val="00BF1203"/>
    <w:rsid w:val="00C054C4"/>
    <w:rsid w:val="00C5738B"/>
    <w:rsid w:val="00C60FFE"/>
    <w:rsid w:val="00C6305F"/>
    <w:rsid w:val="00C906D7"/>
    <w:rsid w:val="00CD703E"/>
    <w:rsid w:val="00CE7341"/>
    <w:rsid w:val="00CF138B"/>
    <w:rsid w:val="00CF1B73"/>
    <w:rsid w:val="00D07A40"/>
    <w:rsid w:val="00DC0B50"/>
    <w:rsid w:val="00DD5C71"/>
    <w:rsid w:val="00DF6764"/>
    <w:rsid w:val="00E36F88"/>
    <w:rsid w:val="00E54F09"/>
    <w:rsid w:val="00E85B93"/>
    <w:rsid w:val="00E94691"/>
    <w:rsid w:val="00E95E4E"/>
    <w:rsid w:val="00EF6916"/>
    <w:rsid w:val="00EF7F76"/>
    <w:rsid w:val="00F01741"/>
    <w:rsid w:val="00F34546"/>
    <w:rsid w:val="00F45A7C"/>
    <w:rsid w:val="00FF15CC"/>
    <w:rsid w:val="00FF5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4D29"/>
  <w15:chartTrackingRefBased/>
  <w15:docId w15:val="{49EA5B71-7813-4D9E-81E1-DB54464B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B7"/>
    <w:pPr>
      <w:spacing w:after="120" w:line="480" w:lineRule="auto"/>
      <w:ind w:firstLine="720"/>
      <w:jc w:val="both"/>
    </w:pPr>
    <w:rPr>
      <w:rFonts w:ascii="Noto Serif" w:eastAsia="Noto Serif KR" w:hAnsi="Noto Serif" w:cs="Noto Serif"/>
    </w:rPr>
  </w:style>
  <w:style w:type="paragraph" w:styleId="Heading1">
    <w:name w:val="heading 1"/>
    <w:basedOn w:val="Normal"/>
    <w:next w:val="Normal"/>
    <w:link w:val="Heading1Char"/>
    <w:uiPriority w:val="9"/>
    <w:qFormat/>
    <w:rsid w:val="00174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5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5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45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45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45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45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45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5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5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45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45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45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45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45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45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5B7"/>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5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45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45B7"/>
    <w:rPr>
      <w:i/>
      <w:iCs/>
      <w:color w:val="404040" w:themeColor="text1" w:themeTint="BF"/>
    </w:rPr>
  </w:style>
  <w:style w:type="paragraph" w:styleId="ListParagraph">
    <w:name w:val="List Paragraph"/>
    <w:basedOn w:val="Normal"/>
    <w:uiPriority w:val="34"/>
    <w:qFormat/>
    <w:rsid w:val="001745B7"/>
    <w:pPr>
      <w:ind w:left="720"/>
      <w:contextualSpacing/>
    </w:pPr>
  </w:style>
  <w:style w:type="character" w:styleId="IntenseEmphasis">
    <w:name w:val="Intense Emphasis"/>
    <w:basedOn w:val="DefaultParagraphFont"/>
    <w:uiPriority w:val="21"/>
    <w:qFormat/>
    <w:rsid w:val="001745B7"/>
    <w:rPr>
      <w:i/>
      <w:iCs/>
      <w:color w:val="0F4761" w:themeColor="accent1" w:themeShade="BF"/>
    </w:rPr>
  </w:style>
  <w:style w:type="paragraph" w:styleId="IntenseQuote">
    <w:name w:val="Intense Quote"/>
    <w:basedOn w:val="Normal"/>
    <w:next w:val="Normal"/>
    <w:link w:val="IntenseQuoteChar"/>
    <w:uiPriority w:val="30"/>
    <w:qFormat/>
    <w:rsid w:val="00174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5B7"/>
    <w:rPr>
      <w:i/>
      <w:iCs/>
      <w:color w:val="0F4761" w:themeColor="accent1" w:themeShade="BF"/>
    </w:rPr>
  </w:style>
  <w:style w:type="character" w:styleId="IntenseReference">
    <w:name w:val="Intense Reference"/>
    <w:basedOn w:val="DefaultParagraphFont"/>
    <w:uiPriority w:val="32"/>
    <w:qFormat/>
    <w:rsid w:val="001745B7"/>
    <w:rPr>
      <w:b/>
      <w:bCs/>
      <w:smallCaps/>
      <w:color w:val="0F4761" w:themeColor="accent1" w:themeShade="BF"/>
      <w:spacing w:val="5"/>
    </w:rPr>
  </w:style>
  <w:style w:type="table" w:styleId="TableGrid">
    <w:name w:val="Table Grid"/>
    <w:basedOn w:val="TableNormal"/>
    <w:uiPriority w:val="39"/>
    <w:rsid w:val="00174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5B7"/>
    <w:pPr>
      <w:keepNext/>
      <w:spacing w:after="0" w:line="360" w:lineRule="auto"/>
      <w:ind w:firstLine="0"/>
      <w:jc w:val="left"/>
    </w:pPr>
    <w:rPr>
      <w:rFonts w:cs="Arial"/>
      <w:kern w:val="0"/>
      <w:lang w:eastAsia="en-GB"/>
    </w:rPr>
  </w:style>
  <w:style w:type="paragraph" w:customStyle="1" w:styleId="Tables">
    <w:name w:val="Tables"/>
    <w:basedOn w:val="NoSpacing"/>
    <w:link w:val="TablesChar"/>
    <w:qFormat/>
    <w:rsid w:val="001745B7"/>
    <w:pPr>
      <w:ind w:firstLine="0"/>
      <w:contextualSpacing/>
      <w:jc w:val="left"/>
    </w:pPr>
    <w:rPr>
      <w:rFonts w:eastAsia="Noto Serif KR Black" w:cs="Noto Serif SemiBold"/>
      <w:bCs/>
      <w:spacing w:val="-10"/>
      <w:kern w:val="28"/>
      <w:sz w:val="20"/>
      <w:szCs w:val="20"/>
    </w:rPr>
  </w:style>
  <w:style w:type="character" w:customStyle="1" w:styleId="TablesChar">
    <w:name w:val="Tables Char"/>
    <w:basedOn w:val="DefaultParagraphFont"/>
    <w:link w:val="Tables"/>
    <w:rsid w:val="001745B7"/>
    <w:rPr>
      <w:rFonts w:ascii="Noto Serif" w:eastAsia="Noto Serif KR Black" w:hAnsi="Noto Serif" w:cs="Noto Serif SemiBold"/>
      <w:bCs/>
      <w:spacing w:val="-10"/>
      <w:kern w:val="28"/>
      <w:sz w:val="20"/>
      <w:szCs w:val="20"/>
    </w:rPr>
  </w:style>
  <w:style w:type="paragraph" w:customStyle="1" w:styleId="AppendixHeading1">
    <w:name w:val="AppendixHeading1"/>
    <w:basedOn w:val="Heading2"/>
    <w:qFormat/>
    <w:rsid w:val="001745B7"/>
    <w:pPr>
      <w:keepLines w:val="0"/>
      <w:numPr>
        <w:ilvl w:val="1"/>
        <w:numId w:val="1"/>
      </w:numPr>
      <w:tabs>
        <w:tab w:val="num" w:pos="360"/>
      </w:tabs>
      <w:spacing w:before="480" w:after="0"/>
    </w:pPr>
    <w:rPr>
      <w:rFonts w:ascii="Noto Serif ExtraBold" w:eastAsia="Noto Serif KR Black" w:hAnsi="Noto Serif ExtraBold" w:cs="Noto Serif ExtraBold"/>
      <w:color w:val="auto"/>
      <w:sz w:val="26"/>
      <w:szCs w:val="26"/>
    </w:rPr>
  </w:style>
  <w:style w:type="paragraph" w:customStyle="1" w:styleId="AppSubHeading">
    <w:name w:val="AppSubHeading"/>
    <w:basedOn w:val="Heading3"/>
    <w:qFormat/>
    <w:rsid w:val="001745B7"/>
    <w:pPr>
      <w:keepLines w:val="0"/>
      <w:numPr>
        <w:ilvl w:val="2"/>
        <w:numId w:val="1"/>
      </w:numPr>
      <w:tabs>
        <w:tab w:val="num" w:pos="360"/>
      </w:tabs>
      <w:spacing w:before="480" w:after="0"/>
      <w:ind w:left="0" w:firstLine="0"/>
    </w:pPr>
    <w:rPr>
      <w:rFonts w:ascii="Noto Serif SemiCondensed SemiBo" w:eastAsia="Noto Serif KR Medium" w:hAnsi="Noto Serif SemiCondensed SemiBo" w:cs="Noto Serif SemiCondensed SemiBo"/>
      <w:color w:val="auto"/>
      <w:sz w:val="26"/>
      <w:szCs w:val="26"/>
    </w:rPr>
  </w:style>
  <w:style w:type="paragraph" w:styleId="NoSpacing">
    <w:name w:val="No Spacing"/>
    <w:uiPriority w:val="1"/>
    <w:qFormat/>
    <w:rsid w:val="001745B7"/>
    <w:pPr>
      <w:ind w:firstLine="720"/>
      <w:jc w:val="both"/>
    </w:pPr>
    <w:rPr>
      <w:rFonts w:ascii="Noto Serif" w:eastAsia="Noto Serif KR" w:hAnsi="Noto Serif" w:cs="Noto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1049-FBE3-4ADC-A973-25FF53C3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5</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Themis Papaioannou</dc:creator>
  <cp:keywords/>
  <dc:description/>
  <cp:lastModifiedBy>Themis Papaioannou</cp:lastModifiedBy>
  <cp:revision>92</cp:revision>
  <dcterms:created xsi:type="dcterms:W3CDTF">2025-09-05T11:22:00Z</dcterms:created>
  <dcterms:modified xsi:type="dcterms:W3CDTF">2026-05-01T16:57:00Z</dcterms:modified>
</cp:coreProperties>
</file>