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3236" w14:textId="77777777" w:rsidR="005B5190" w:rsidRPr="005C223C" w:rsidRDefault="00000000">
      <w:pPr>
        <w:spacing w:after="200"/>
        <w:jc w:val="center"/>
        <w:rPr>
          <w:rFonts w:ascii="Palatino Linotype" w:hAnsi="Palatino Linotype"/>
          <w:color w:val="000000" w:themeColor="text1"/>
        </w:rPr>
      </w:pPr>
      <w:r w:rsidRPr="005C223C">
        <w:rPr>
          <w:rFonts w:ascii="Palatino Linotype" w:hAnsi="Palatino Linotype"/>
          <w:b/>
          <w:bCs/>
          <w:color w:val="000000" w:themeColor="text1"/>
          <w:sz w:val="28"/>
          <w:szCs w:val="28"/>
        </w:rPr>
        <w:t>STROBE Statement — Checklist of Items for Cross-Sectional Studies</w:t>
      </w:r>
    </w:p>
    <w:p w14:paraId="456F25F2" w14:textId="77777777" w:rsidR="005B5190" w:rsidRPr="005C223C" w:rsidRDefault="00000000">
      <w:pPr>
        <w:spacing w:after="100"/>
        <w:jc w:val="center"/>
        <w:rPr>
          <w:rFonts w:ascii="Palatino Linotype" w:hAnsi="Palatino Linotype"/>
          <w:b/>
          <w:bCs/>
          <w:color w:val="000000" w:themeColor="text1"/>
        </w:rPr>
      </w:pPr>
      <w:r w:rsidRPr="005C223C">
        <w:rPr>
          <w:rFonts w:ascii="Palatino Linotype" w:hAnsi="Palatino Linotype"/>
          <w:b/>
          <w:bCs/>
          <w:color w:val="000000" w:themeColor="text1"/>
          <w:sz w:val="20"/>
          <w:szCs w:val="20"/>
        </w:rPr>
        <w:t>Manuscript: Testing a Structural Equation Model Explaining Adherence to Pressure Injury Prevention: The Role of Knowledge, Attitude, and Practice</w:t>
      </w:r>
    </w:p>
    <w:p w14:paraId="540F9712" w14:textId="2D3BAEBC" w:rsidR="005B5190" w:rsidRPr="00AB2673" w:rsidRDefault="005B5190">
      <w:pPr>
        <w:spacing w:after="300"/>
        <w:jc w:val="center"/>
        <w:rPr>
          <w:color w:val="000000" w:themeColor="text1"/>
        </w:rPr>
      </w:pPr>
    </w:p>
    <w:tbl>
      <w:tblPr>
        <w:tblW w:w="116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446"/>
        <w:gridCol w:w="2281"/>
        <w:gridCol w:w="6190"/>
        <w:gridCol w:w="1073"/>
      </w:tblGrid>
      <w:tr w:rsidR="005B5190" w:rsidRPr="00AB2673" w14:paraId="59991A3D" w14:textId="77777777" w:rsidTr="005C223C">
        <w:trPr>
          <w:trHeight w:val="151"/>
          <w:tblHeader/>
        </w:trPr>
        <w:tc>
          <w:tcPr>
            <w:tcW w:w="16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23656D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Section/Topic</w:t>
            </w:r>
          </w:p>
        </w:tc>
        <w:tc>
          <w:tcPr>
            <w:tcW w:w="44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F70945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No.</w:t>
            </w:r>
          </w:p>
        </w:tc>
        <w:tc>
          <w:tcPr>
            <w:tcW w:w="228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52B93E0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STROBE Recommendation</w:t>
            </w:r>
          </w:p>
        </w:tc>
        <w:tc>
          <w:tcPr>
            <w:tcW w:w="619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3D4E339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Location in Manuscript</w:t>
            </w:r>
          </w:p>
        </w:tc>
        <w:tc>
          <w:tcPr>
            <w:tcW w:w="10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1DDC4D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Reported</w:t>
            </w:r>
          </w:p>
        </w:tc>
      </w:tr>
      <w:tr w:rsidR="005B5190" w:rsidRPr="00AB2673" w14:paraId="7CA7075C" w14:textId="77777777" w:rsidTr="00AB2673">
        <w:trPr>
          <w:trHeight w:val="144"/>
        </w:trPr>
        <w:tc>
          <w:tcPr>
            <w:tcW w:w="11610" w:type="dxa"/>
            <w:gridSpan w:val="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06CB3" w14:textId="77777777" w:rsidR="005B5190" w:rsidRPr="00AB2673" w:rsidRDefault="00000000" w:rsidP="00AB2673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TITLE AND ABSTRACT</w:t>
            </w:r>
          </w:p>
        </w:tc>
      </w:tr>
      <w:tr w:rsidR="005B5190" w:rsidRPr="00AB2673" w14:paraId="0D487C29" w14:textId="77777777" w:rsidTr="005C223C">
        <w:trPr>
          <w:trHeight w:val="447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249B0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Title &amp; Abstract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1A2C1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1a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D9A55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Indicate the study's design with a commonly used term in the title or the abstract.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68F03" w14:textId="57E539F0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Title: Testing a Structural Equation Model Explaining Adherence to Pressure Injury Prevention: The Role of Knowledge, Attitude, and Practice'; Abstract Methods: A cross-sectional analytical design was conducted among 418 RNs…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A941A8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02F5672A" w14:textId="77777777" w:rsidTr="005C223C">
        <w:trPr>
          <w:trHeight w:val="592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FF83A" w14:textId="77777777" w:rsidR="005B5190" w:rsidRPr="00AB2673" w:rsidRDefault="005B5190">
            <w:pPr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29FEA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1b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6D9B7E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Provide in the abstract an informative and balanced summary of what was done and what was found.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2EF30" w14:textId="35729FF6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Abstract (Background/Objectives, Methods, Results, Conclusions): reports setting (PSMMC, N=418 RNs), instruments (PUKAT-2.0, APuP, practice scale, QARPPU), SEM method, fit indices (χ²/df=1.98, RMSEA=.048, CFI=.877), key structural paths (β Practice</w:t>
            </w:r>
            <w:r w:rsidR="00AB2673">
              <w:rPr>
                <w:rFonts w:ascii="Times New Roman" w:hAnsi="Times New Roman" w:cs="Times New Roman"/>
                <w:color w:val="000000" w:themeColor="text1"/>
              </w:rPr>
              <w:t xml:space="preserve">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Adherence=.81), bootstrapped indirect effects (5,000 resamples), and conclusions.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CEEA0B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1C313AD3" w14:textId="77777777" w:rsidTr="00AB2673">
        <w:trPr>
          <w:trHeight w:val="151"/>
        </w:trPr>
        <w:tc>
          <w:tcPr>
            <w:tcW w:w="11610" w:type="dxa"/>
            <w:gridSpan w:val="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36E75" w14:textId="77777777" w:rsidR="005B5190" w:rsidRPr="00AB2673" w:rsidRDefault="00000000" w:rsidP="00AB2673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INTRODUCTION</w:t>
            </w:r>
          </w:p>
        </w:tc>
      </w:tr>
      <w:tr w:rsidR="005B5190" w:rsidRPr="00AB2673" w14:paraId="6ED6A842" w14:textId="77777777" w:rsidTr="005C223C">
        <w:trPr>
          <w:trHeight w:val="592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A839A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Background/Rationale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76158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2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E41DE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Explain the scientific background and rationale for the investigation being reported.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18D68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1 (Introduction), paragraphs 1–5: epidemiology of PIs globally and in Saudi Arabia (prevalence 44.4%, incidence 38.6% in tertiary care), economic burden (USD 26B in USA), role of RNs as frontline prevention agents, KAP framework, limitations of prior regression-based studies, and identified gap in SEM application to PI prevention adherence.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3AAB9F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615FCF9C" w14:textId="77777777" w:rsidTr="005C223C">
        <w:trPr>
          <w:trHeight w:val="599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1E057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Objectives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846E4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3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47822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State specific objectives, including any pre-specified hypotheses.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1B25A" w14:textId="56F84085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1 (Introduction), final paragraph: three formal objectives stated(1) psychometric validation of instruments, (2) test SEM with direct and indirect pathways, (3) evaluate model adequacy. Six directional hypotheses pre-specified (K</w:t>
            </w:r>
            <w:r w:rsidR="00AB2673">
              <w:rPr>
                <w:rFonts w:ascii="Times New Roman" w:hAnsi="Times New Roman" w:cs="Times New Roman"/>
                <w:color w:val="000000" w:themeColor="text1"/>
              </w:rPr>
              <w:t xml:space="preserve">nowledge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A</w:t>
            </w:r>
            <w:r w:rsidR="00AB2673">
              <w:rPr>
                <w:rFonts w:ascii="Palatino Linotype" w:hAnsi="Palatino Linotype"/>
                <w:color w:val="000000" w:themeColor="text1"/>
              </w:rPr>
              <w:t xml:space="preserve">ttitude </w:t>
            </w:r>
            <w:r w:rsidRPr="00AB2673">
              <w:rPr>
                <w:rFonts w:ascii="Palatino Linotype" w:hAnsi="Palatino Linotype"/>
                <w:color w:val="000000" w:themeColor="text1"/>
              </w:rPr>
              <w:t>, K</w:t>
            </w:r>
            <w:r w:rsidR="00AB2673">
              <w:rPr>
                <w:rFonts w:ascii="Times New Roman" w:hAnsi="Times New Roman" w:cs="Times New Roman"/>
                <w:color w:val="000000" w:themeColor="text1"/>
              </w:rPr>
              <w:t xml:space="preserve">nowledge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P</w:t>
            </w:r>
            <w:r w:rsidR="00AB2673">
              <w:rPr>
                <w:rFonts w:ascii="Palatino Linotype" w:hAnsi="Palatino Linotype"/>
                <w:color w:val="000000" w:themeColor="text1"/>
              </w:rPr>
              <w:t xml:space="preserve">ractice </w:t>
            </w:r>
            <w:r w:rsidRPr="00AB2673">
              <w:rPr>
                <w:rFonts w:ascii="Palatino Linotype" w:hAnsi="Palatino Linotype"/>
                <w:color w:val="000000" w:themeColor="text1"/>
              </w:rPr>
              <w:t>, A</w:t>
            </w:r>
            <w:r w:rsidR="00AB2673">
              <w:rPr>
                <w:rFonts w:ascii="Times New Roman" w:hAnsi="Times New Roman" w:cs="Times New Roman"/>
                <w:color w:val="000000" w:themeColor="text1"/>
              </w:rPr>
              <w:t xml:space="preserve">ttitude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P</w:t>
            </w:r>
            <w:r w:rsidR="00AB2673">
              <w:rPr>
                <w:rFonts w:ascii="Palatino Linotype" w:hAnsi="Palatino Linotype"/>
                <w:color w:val="000000" w:themeColor="text1"/>
              </w:rPr>
              <w:t xml:space="preserve">ractice </w:t>
            </w:r>
            <w:r w:rsidRPr="00AB2673">
              <w:rPr>
                <w:rFonts w:ascii="Palatino Linotype" w:hAnsi="Palatino Linotype"/>
                <w:color w:val="000000" w:themeColor="text1"/>
              </w:rPr>
              <w:t>, P</w:t>
            </w:r>
            <w:r w:rsidR="00AB2673">
              <w:rPr>
                <w:rFonts w:ascii="Times New Roman" w:hAnsi="Times New Roman" w:cs="Times New Roman"/>
                <w:color w:val="000000" w:themeColor="text1"/>
              </w:rPr>
              <w:t xml:space="preserve">ractice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Adherence, A</w:t>
            </w:r>
            <w:r w:rsidR="00AB2673">
              <w:rPr>
                <w:rFonts w:ascii="Times New Roman" w:hAnsi="Times New Roman" w:cs="Times New Roman"/>
                <w:color w:val="000000" w:themeColor="text1"/>
              </w:rPr>
              <w:t xml:space="preserve">ttitude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Adherence, K</w:t>
            </w:r>
            <w:r w:rsidR="00AB2673">
              <w:rPr>
                <w:rFonts w:ascii="Times New Roman" w:hAnsi="Times New Roman" w:cs="Times New Roman"/>
                <w:color w:val="000000" w:themeColor="text1"/>
              </w:rPr>
              <w:t xml:space="preserve">nowledge to </w:t>
            </w:r>
            <w:r w:rsidRPr="00AB2673">
              <w:rPr>
                <w:rFonts w:ascii="Palatino Linotype" w:hAnsi="Palatino Linotype"/>
                <w:color w:val="000000" w:themeColor="text1"/>
              </w:rPr>
              <w:t xml:space="preserve">Adherence via </w:t>
            </w:r>
            <w:r w:rsidR="00AB2673" w:rsidRPr="00AB2673">
              <w:rPr>
                <w:rFonts w:ascii="Palatino Linotype" w:hAnsi="Palatino Linotype"/>
                <w:color w:val="000000" w:themeColor="text1"/>
              </w:rPr>
              <w:t>A</w:t>
            </w:r>
            <w:r w:rsidR="00AB2673">
              <w:rPr>
                <w:rFonts w:ascii="Palatino Linotype" w:hAnsi="Palatino Linotype"/>
                <w:color w:val="000000" w:themeColor="text1"/>
              </w:rPr>
              <w:t>ttitude</w:t>
            </w:r>
            <w:r w:rsidRPr="00AB2673">
              <w:rPr>
                <w:rFonts w:ascii="Palatino Linotype" w:hAnsi="Palatino Linotype"/>
                <w:color w:val="000000" w:themeColor="text1"/>
              </w:rPr>
              <w:t xml:space="preserve"> and P</w:t>
            </w:r>
            <w:r w:rsidR="00AB2673">
              <w:rPr>
                <w:rFonts w:ascii="Palatino Linotype" w:hAnsi="Palatino Linotype"/>
                <w:color w:val="000000" w:themeColor="text1"/>
              </w:rPr>
              <w:t xml:space="preserve">ractice </w:t>
            </w:r>
            <w:r w:rsidRPr="00AB2673">
              <w:rPr>
                <w:rFonts w:ascii="Palatino Linotype" w:hAnsi="Palatino Linotype"/>
                <w:color w:val="000000" w:themeColor="text1"/>
              </w:rPr>
              <w:t>). Conceptual model presented as Figure 1.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B4063B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7DAF15AF" w14:textId="77777777" w:rsidTr="00AB2673">
        <w:trPr>
          <w:trHeight w:val="144"/>
        </w:trPr>
        <w:tc>
          <w:tcPr>
            <w:tcW w:w="11610" w:type="dxa"/>
            <w:gridSpan w:val="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C8D22" w14:textId="77777777" w:rsidR="005B5190" w:rsidRPr="00AB2673" w:rsidRDefault="00000000" w:rsidP="00AB2673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METHODS</w:t>
            </w:r>
          </w:p>
        </w:tc>
      </w:tr>
      <w:tr w:rsidR="005B5190" w:rsidRPr="00AB2673" w14:paraId="4BD87B12" w14:textId="77777777" w:rsidTr="005C223C">
        <w:trPr>
          <w:trHeight w:val="447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FCD97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Study Design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EECCD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4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F513C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Present key elements of study design early in the paper.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C3FB1" w14:textId="0CD015F2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2.1: This study employed a quantitative, cross-sectional design incorporating SEM.' Rationale for SEM over regression stated. STROBE compliance noted. Design described in Abstract Methods section.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343B6D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2CC3EFBD" w14:textId="77777777" w:rsidTr="005C223C">
        <w:trPr>
          <w:trHeight w:val="743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63D67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Setting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E71E1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5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83C04B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Describe the setting, locations, and relevant dates, including periods of recruitment, exposure, follow-up, and data collection.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4EB3D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2.2: PSMMC, Riyadh, Saudi Arabia; 1,279-bed tertiary referral institution; 53 inpatient and emergency nursing units; acute medical-surgical, critical care, and specialty settings. Section 2.7: Data collected during 'a defined period' using online surveys during scheduled shifts. IRB approval dated 15 March 2026 (Sections 2.8). Note: Exact data collection start/end dates not explicitly stated in the manuscript body.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7175E0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604410E0" w14:textId="77777777" w:rsidTr="005C223C">
        <w:trPr>
          <w:trHeight w:val="895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0E592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Participants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40FEB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6a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38A35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Give the eligibility criteria, and the sources and methods of selection of participants.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9D2F2" w14:textId="4054BE4D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2.3: Inclusion</w:t>
            </w:r>
            <w:r w:rsidR="00AB2673">
              <w:rPr>
                <w:rFonts w:ascii="Palatino Linotype" w:hAnsi="Palatino Linotype"/>
                <w:color w:val="000000" w:themeColor="text1"/>
              </w:rPr>
              <w:t xml:space="preserve">, </w:t>
            </w:r>
            <w:r w:rsidRPr="00AB2673">
              <w:rPr>
                <w:rFonts w:ascii="Palatino Linotype" w:hAnsi="Palatino Linotype"/>
                <w:color w:val="000000" w:themeColor="text1"/>
              </w:rPr>
              <w:t xml:space="preserve">RNs in direct bedside care with ≥1 year full-time clinical experience. </w:t>
            </w:r>
            <w:r w:rsidR="00AB2673" w:rsidRPr="00AB2673">
              <w:rPr>
                <w:rFonts w:ascii="Palatino Linotype" w:hAnsi="Palatino Linotype"/>
                <w:color w:val="000000" w:themeColor="text1"/>
              </w:rPr>
              <w:t>Exclusion</w:t>
            </w:r>
            <w:r w:rsidR="00AB2673">
              <w:rPr>
                <w:rFonts w:ascii="Palatino Linotype" w:hAnsi="Palatino Linotype"/>
                <w:color w:val="000000" w:themeColor="text1"/>
              </w:rPr>
              <w:t>,</w:t>
            </w:r>
            <w:r w:rsidR="00AB2673" w:rsidRPr="00AB2673">
              <w:rPr>
                <w:rFonts w:ascii="Palatino Linotype" w:hAnsi="Palatino Linotype"/>
                <w:color w:val="000000" w:themeColor="text1"/>
              </w:rPr>
              <w:t xml:space="preserve"> exclusively</w:t>
            </w:r>
            <w:r w:rsidRPr="00AB2673">
              <w:rPr>
                <w:rFonts w:ascii="Palatino Linotype" w:hAnsi="Palatino Linotype"/>
                <w:color w:val="000000" w:themeColor="text1"/>
              </w:rPr>
              <w:t xml:space="preserve"> administrative/non-clinical roles; absent throughout entire data collection window due to sanctioned leave or illness. Section 2.5: Consecutive convenience sampling from all 53 designated units; all eligible RNs approached sequentially during scheduled shifts. Section 3.1: Flow diagram</w:t>
            </w:r>
            <w:r w:rsidR="00AB2673">
              <w:rPr>
                <w:rFonts w:ascii="Palatino Linotype" w:hAnsi="Palatino Linotype"/>
                <w:color w:val="000000" w:themeColor="text1"/>
              </w:rPr>
              <w:t>,</w:t>
            </w:r>
            <w:r w:rsidRPr="00AB2673">
              <w:rPr>
                <w:rFonts w:ascii="Palatino Linotype" w:hAnsi="Palatino Linotype"/>
                <w:color w:val="000000" w:themeColor="text1"/>
              </w:rPr>
              <w:t xml:space="preserve">432 assessed, 14 excluded </w:t>
            </w:r>
            <w:r w:rsidRPr="00AB2673">
              <w:rPr>
                <w:rFonts w:ascii="Palatino Linotype" w:hAnsi="Palatino Linotype"/>
                <w:color w:val="000000" w:themeColor="text1"/>
              </w:rPr>
              <w:lastRenderedPageBreak/>
              <w:t>(administrative roles, absent throughout collection, student/intern status), 418 included.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5E5086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lastRenderedPageBreak/>
              <w:t>Yes</w:t>
            </w:r>
          </w:p>
        </w:tc>
      </w:tr>
      <w:tr w:rsidR="005B5190" w:rsidRPr="00AB2673" w14:paraId="6E405855" w14:textId="77777777" w:rsidTr="005C223C">
        <w:trPr>
          <w:trHeight w:val="1040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85D62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Variables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343AE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7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84434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Clearly define all outcomes, exposures, predictors, potential confounders, and effect modifiers. Give diagnostic criteria, if applicable.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D3822" w14:textId="7318DB16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1 (Introduction): KAP constructs theoretically defined within KAP framework</w:t>
            </w:r>
            <w:r w:rsidR="00AB2673">
              <w:rPr>
                <w:rFonts w:ascii="Palatino Linotype" w:hAnsi="Palatino Linotype"/>
                <w:color w:val="000000" w:themeColor="text1"/>
              </w:rPr>
              <w:t xml:space="preserve">, </w:t>
            </w:r>
            <w:r w:rsidRPr="00AB2673">
              <w:rPr>
                <w:rFonts w:ascii="Palatino Linotype" w:hAnsi="Palatino Linotype"/>
                <w:color w:val="000000" w:themeColor="text1"/>
              </w:rPr>
              <w:t>Knowledge (cognitive dimension: PI etiology, risk stratification, prevention strategies), Attitude (affective/evaluative dimension: beliefs, perceived importance, perceived barriers), Practice (behavioral dimension: frequency and fidelity of preventive activities), Adherence (compliance with evidence-based PIP recommendations, QARPPU). Section 2.6: Instruments operationalize each construct. Section 2.9: Sociodemographic variables listed (gender, age, education, experience, clinical unit, PI education/certification).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F67DC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302E8E30" w14:textId="77777777" w:rsidTr="005C223C">
        <w:trPr>
          <w:trHeight w:val="888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9A6FF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Data Sources / Measurement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850B0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8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C57CB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For each variable of interest, give sources of data and details of methods of assessment (measurement). Describe comparability of assessment methods if there is more than one group.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0B0EF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2.6: Five instruments described with psychometric properties—(1) Sociodemographic questionnaire (author-developed); (2) PUKAT 2.0 (25-item MCQ, ICC=0.69; Manderlier et al.); (3) APuP (13-item, 4-point Likert, α=0.79; Beeckman et al.); (4) Thomas &amp; Nain practice scale (22-item, 5-point Likert, α=0.89); (5) QARPPU (18-item, 5-point Likert + 2 vignettes, α=0.89; Moya-Suárez et al.). All instruments used in English (justified by English-proficient expatriate RN population). Permission obtained from copyright holders.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F07E6B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4551AB57" w14:textId="77777777" w:rsidTr="005C223C">
        <w:trPr>
          <w:trHeight w:val="104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18D93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Bias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0F47B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9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5FCF60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Describe any efforts to address potential sources of bias.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374AA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2.5: Consecutive unit-wide sampling to minimize selection bias; 100% response rate with no non-response. Section 2.7: Standardized verbal explanation; privacy during completion; no supervisory observation; double-entry data verification. Section 4.7 (Limitations): Social desirability bias acknowledged despite anonymity guarantee. Self-report practice/adherence acknowledged as limitation vs. observed compliance.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BF489F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6BC964A0" w14:textId="77777777" w:rsidTr="005C223C">
        <w:trPr>
          <w:trHeight w:val="104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70F8E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Study Size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8CB5EC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10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BD177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Explain how the study size was arrived at.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F7495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 xml:space="preserve">Section 2.4: A priori G*Power calculation (f²=0.15, α=.05, power=0.80, 3 predictors) </w:t>
            </w:r>
            <w:r w:rsidRPr="00AB2673">
              <w:rPr>
                <w:rFonts w:ascii="Times New Roman" w:hAnsi="Times New Roman" w:cs="Times New Roman"/>
                <w:color w:val="000000" w:themeColor="text1"/>
              </w:rPr>
              <w:t>→</w:t>
            </w:r>
            <w:r w:rsidRPr="00AB2673">
              <w:rPr>
                <w:rFonts w:ascii="Palatino Linotype" w:hAnsi="Palatino Linotype"/>
                <w:color w:val="000000" w:themeColor="text1"/>
              </w:rPr>
              <w:t xml:space="preserve"> minimum n=77. Supplemented by SEM-specific guideline of n</w:t>
            </w:r>
            <w:r w:rsidRPr="00AB2673">
              <w:rPr>
                <w:rFonts w:ascii="Palatino Linotype" w:hAnsi="Palatino Linotype" w:cs="Palatino Linotype"/>
                <w:color w:val="000000" w:themeColor="text1"/>
              </w:rPr>
              <w:t>≥</w:t>
            </w:r>
            <w:r w:rsidRPr="00AB2673">
              <w:rPr>
                <w:rFonts w:ascii="Palatino Linotype" w:hAnsi="Palatino Linotype"/>
                <w:color w:val="000000" w:themeColor="text1"/>
              </w:rPr>
              <w:t>200 (Kline; Hair et al.). Conservative recruitment target set above 200 threshold. Final n=418, satisfying multiple convergent criteria. References [25</w:t>
            </w:r>
            <w:r w:rsidRPr="00AB2673">
              <w:rPr>
                <w:rFonts w:ascii="Palatino Linotype" w:hAnsi="Palatino Linotype" w:cs="Palatino Linotype"/>
                <w:color w:val="000000" w:themeColor="text1"/>
              </w:rPr>
              <w:t>–</w:t>
            </w:r>
            <w:r w:rsidRPr="00AB2673">
              <w:rPr>
                <w:rFonts w:ascii="Palatino Linotype" w:hAnsi="Palatino Linotype"/>
                <w:color w:val="000000" w:themeColor="text1"/>
              </w:rPr>
              <w:t>29].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F8545D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3630E3A9" w14:textId="77777777" w:rsidTr="005C223C">
        <w:trPr>
          <w:trHeight w:val="104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63D18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Quantitative Variables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29C01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11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7CDD9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Explain how quantitative variables were handled in the analyses. If applicable, describe which groupings were chosen and why.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0BE80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2.9: Composite total scores used for each instrument (sum of item responses). Continuous variables retained as continuous in SEM. Normality assessed via skewness (&lt;2) and kurtosis (&lt;7) thresholds—all met (Table 1). Pearson correlation used given normality assumption met. No grouping or categorization of continuous variables performed.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68DE9C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391C27CE" w14:textId="77777777" w:rsidTr="005C223C">
        <w:trPr>
          <w:trHeight w:val="104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AA4D6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Statistical Methods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26270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12a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71B1D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(a) Describe all statistical methods, including those used to control for confounding.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7D265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2.9: IBM SPSS v31.0 for descriptive statistics (means, SDs, frequencies, percentages), normality testing (skewness/kurtosis), and Pearson correlations. IBM AMOS v31.0 for CFA (each instrument independently) and SEM (maximum likelihood estimation). Psychometric benchmarks stated (loadings ≥.50, AVE ≥.50, CR ≥.70, HTMT &lt;.85). Bootstrapped indirect effects (5,000 iterations, 95% BCCI). Model fit: χ²/df ≤3.0, RMSEA &lt;.08, CFI/TLI ≥.90, SRMR &lt;.08, GFI ≥.90, AGFI ≥.85. AIC/BIC/Δχ² for model comparison.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2F42A3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226B8E4E" w14:textId="77777777" w:rsidTr="005C223C">
        <w:trPr>
          <w:trHeight w:val="104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FD358" w14:textId="77777777" w:rsidR="005B5190" w:rsidRPr="00AB2673" w:rsidRDefault="005B5190">
            <w:pPr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B91B7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12b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1DC8A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(b) Describe any methods used to examine subgroups and interactions.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689C6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No subgroup or interaction analyses were conducted. The study examined the full sample (N=418) as a single analytical unit. Sociodemographic covariates (age, experience) held constant in conceptual model (Figure 1 legend) but not modeled as moderators.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3063A4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NA</w:t>
            </w:r>
          </w:p>
        </w:tc>
      </w:tr>
      <w:tr w:rsidR="005B5190" w:rsidRPr="00AB2673" w14:paraId="7AE04CBD" w14:textId="77777777" w:rsidTr="005C223C">
        <w:trPr>
          <w:trHeight w:val="104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F0667" w14:textId="77777777" w:rsidR="005B5190" w:rsidRPr="00AB2673" w:rsidRDefault="005B5190">
            <w:pPr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55C81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12c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ABED1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(c) Explain how missing data were addressed.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73ECE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2.5: 100% response rate achieved; no questionnaires had missing items due to supervised online data collection. Section 2.7: 'All questionnaires were fully completed, yielding a final sample free of missing data.' Section 2.9: Little's MCAR test conducted as part of preliminary procedures.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D12760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2E2B301F" w14:textId="77777777" w:rsidTr="005C223C">
        <w:trPr>
          <w:trHeight w:val="104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CD7B7" w14:textId="77777777" w:rsidR="005B5190" w:rsidRPr="00AB2673" w:rsidRDefault="005B5190">
            <w:pPr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C2E11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12d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030EB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(d) If applicable, describe analytical methods taking account of sampling strategy.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1930B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2.5: Consecutive convenience sampling documented. Section 2.9: Standard CFA/SEM methods applied. No complex survey weighting required given the consecutive, exhaustive unit-wide approach.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72E796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497C5215" w14:textId="77777777" w:rsidTr="005C223C">
        <w:trPr>
          <w:trHeight w:val="104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1EBCE" w14:textId="77777777" w:rsidR="005B5190" w:rsidRPr="00AB2673" w:rsidRDefault="005B5190">
            <w:pPr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00FCE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12e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B471A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(e) Describe any sensitivity analyses.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36E44" w14:textId="3B23CB29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3.10: Nested model sensitivity analysis conducted to investigate suppression effect</w:t>
            </w:r>
            <w:r w:rsidR="00AB2673">
              <w:rPr>
                <w:rFonts w:ascii="Palatino Linotype" w:hAnsi="Palatino Linotype"/>
                <w:color w:val="000000" w:themeColor="text1"/>
              </w:rPr>
              <w:t xml:space="preserve">, </w:t>
            </w:r>
            <w:r w:rsidRPr="00AB2673">
              <w:rPr>
                <w:rFonts w:ascii="Palatino Linotype" w:hAnsi="Palatino Linotype"/>
                <w:color w:val="000000" w:themeColor="text1"/>
              </w:rPr>
              <w:t>attitude</w:t>
            </w:r>
            <w:r w:rsidR="00AB2673">
              <w:rPr>
                <w:rFonts w:ascii="Times New Roman" w:hAnsi="Times New Roman" w:cs="Times New Roman"/>
                <w:color w:val="000000" w:themeColor="text1"/>
              </w:rPr>
              <w:t xml:space="preserve">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adherence path tested with and without practice in the model. Confirmed classical suppression: without practice, attitude</w:t>
            </w:r>
            <w:r w:rsidR="00AB2673">
              <w:rPr>
                <w:rFonts w:ascii="Times New Roman" w:hAnsi="Times New Roman" w:cs="Times New Roman"/>
                <w:color w:val="000000" w:themeColor="text1"/>
              </w:rPr>
              <w:t xml:space="preserve">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adherence was positive and significant (</w:t>
            </w:r>
            <w:r w:rsidRPr="00AB2673">
              <w:rPr>
                <w:rFonts w:ascii="Palatino Linotype" w:hAnsi="Palatino Linotype" w:cs="Palatino Linotype"/>
                <w:color w:val="000000" w:themeColor="text1"/>
              </w:rPr>
              <w:t>β</w:t>
            </w:r>
            <w:r w:rsidRPr="00AB2673">
              <w:rPr>
                <w:rFonts w:ascii="Palatino Linotype" w:hAnsi="Palatino Linotype"/>
                <w:color w:val="000000" w:themeColor="text1"/>
              </w:rPr>
              <w:t>=.41, p&lt;.001); with practice, path reversed (</w:t>
            </w:r>
            <w:r w:rsidRPr="00AB2673">
              <w:rPr>
                <w:rFonts w:ascii="Palatino Linotype" w:hAnsi="Palatino Linotype" w:cs="Palatino Linotype"/>
                <w:color w:val="000000" w:themeColor="text1"/>
              </w:rPr>
              <w:t>β</w:t>
            </w:r>
            <w:r w:rsidRPr="00AB2673">
              <w:rPr>
                <w:rFonts w:ascii="Palatino Linotype" w:hAnsi="Palatino Linotype"/>
                <w:color w:val="000000" w:themeColor="text1"/>
              </w:rPr>
              <w:t>=</w:t>
            </w:r>
            <w:r w:rsidRPr="00AB2673">
              <w:rPr>
                <w:rFonts w:ascii="Palatino Linotype" w:hAnsi="Palatino Linotype" w:cs="Palatino Linotype"/>
                <w:color w:val="000000" w:themeColor="text1"/>
              </w:rPr>
              <w:t>−</w:t>
            </w:r>
            <w:r w:rsidRPr="00AB2673">
              <w:rPr>
                <w:rFonts w:ascii="Palatino Linotype" w:hAnsi="Palatino Linotype"/>
                <w:color w:val="000000" w:themeColor="text1"/>
              </w:rPr>
              <w:t>.58).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99D490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7930EF4A" w14:textId="77777777" w:rsidTr="00AB2673">
        <w:trPr>
          <w:trHeight w:val="104"/>
        </w:trPr>
        <w:tc>
          <w:tcPr>
            <w:tcW w:w="11610" w:type="dxa"/>
            <w:gridSpan w:val="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5CB31" w14:textId="77777777" w:rsidR="005B5190" w:rsidRPr="00AB2673" w:rsidRDefault="00000000" w:rsidP="00AB2673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RESULTS</w:t>
            </w:r>
          </w:p>
        </w:tc>
      </w:tr>
      <w:tr w:rsidR="005B5190" w:rsidRPr="00AB2673" w14:paraId="52DE457B" w14:textId="77777777" w:rsidTr="005C223C">
        <w:trPr>
          <w:trHeight w:val="104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8D793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Participants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31F9C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13a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06B27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(a) Report numbers of individuals at each stage of study.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B9BF3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3.1 (Recruitment Flow Diagram): 432 RNs initially assessed for eligibility across 53 inpatient/emergency units; 14 excluded; 418 completed the survey electronically via Google Forms and included in final analysis.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AA7885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1D97B52B" w14:textId="77777777" w:rsidTr="005C223C">
        <w:trPr>
          <w:trHeight w:val="104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C5E3F" w14:textId="77777777" w:rsidR="005B5190" w:rsidRPr="00AB2673" w:rsidRDefault="005B5190">
            <w:pPr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85334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13b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CD432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(b) Give reasons for non-participation at each stage.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567FD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3.1: 14 excluded due to: administrative or non-clinical roles; absent throughout entire data collection period; student/intern status without full registration.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D34F58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5A55F893" w14:textId="77777777" w:rsidTr="005C223C">
        <w:trPr>
          <w:trHeight w:val="104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DF010" w14:textId="77777777" w:rsidR="005B5190" w:rsidRPr="00AB2673" w:rsidRDefault="005B5190">
            <w:pPr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F6D8F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13c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AAEF5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(c) Consider use of a flow diagram.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6ED0F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3.1: STROBE-compliant recruitment flow diagram presented as Figure 2 (referenced in manuscript; developed by first author). Flow diagram included as supplementary material.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711C43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08BD8C16" w14:textId="77777777" w:rsidTr="005C223C">
        <w:trPr>
          <w:trHeight w:val="888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E0F1F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Descriptive Data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6EB6F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14a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2CCA1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(a) Give characteristics of study participants (e.g., demographic, clinical, social) and information on exposures and potential confounders.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10505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3.2 and Table 1: Gender (86.6% female), age (mean 36.89±7.69 years), clinical experience (mean 12.18±5.65 years), ethnicity (Filipino 45.2%, Indian 43.5%, Arabian 5.7%, other 5.5%), education (Bachelor's 68.2%, Diploma 17.0%, Master's 14.8%), clinical unit (critical care 52.2%, acute care 47.8%), PI formal education (5.3% yes), PI certification (90.2% yes), recency of PI reading (&lt;1 year: 68.9%). Construct means, SDs, ranges, skewness, and kurtosis reported.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5A6410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48E153F4" w14:textId="77777777" w:rsidTr="005C223C">
        <w:trPr>
          <w:trHeight w:val="447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3EC66" w14:textId="77777777" w:rsidR="005B5190" w:rsidRPr="00AB2673" w:rsidRDefault="005B5190">
            <w:pPr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0FF0A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14b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4F162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(b) Indicate number of participants with missing data for each variable of interest.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D12C5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2.5, 2.7, and 3.2: No missing data for any variable. 100% response rate with complete datasets. Table 1 presents full N=418 for all variables.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75E50F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6C163D78" w14:textId="77777777" w:rsidTr="005C223C">
        <w:trPr>
          <w:trHeight w:val="592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E99E0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Outcome Data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1DEDF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15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FE934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Report numbers of outcome events or summary measures.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241B6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3.2 and Table 1: Adherence (QARPPU) summary statistics reported—Mean=61.19, SD=18.31, Range=27–90, Skewness=−0.21, Kurtosis=−1.12. Section 3.9: Structural path to adherence (Practice β=.81, Attitude β=−.58, Knowledge β=.08 [ns]). Section 3.8: Model fit indices. Table 9 presents full fit statistics.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4FCA72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7EA92D6C" w14:textId="77777777" w:rsidTr="005C223C">
        <w:trPr>
          <w:trHeight w:val="743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11E6E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lastRenderedPageBreak/>
              <w:t>Main Results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922EC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16a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DA414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(a) Give unadjusted estimates and, if applicable, confounder-adjusted estimates and their precision (e.g., 95% confidence interval).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C8622" w14:textId="7974A83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Table 3: Pearson zero-order correlations (unadjusted) among Knowledge, Attitude, Practice, Adherence (all p&lt;.001). Section 3.9 and Figure 2: Standardized structural path coefficients (β) from SEM with 95% BCCIs for indirect effects—Knowledge</w:t>
            </w:r>
            <w:r w:rsidR="00AB2673">
              <w:rPr>
                <w:rFonts w:ascii="Times New Roman" w:hAnsi="Times New Roman" w:cs="Times New Roman"/>
                <w:color w:val="000000" w:themeColor="text1"/>
              </w:rPr>
              <w:t xml:space="preserve"> to </w:t>
            </w:r>
            <w:r w:rsidRPr="00AB2673">
              <w:rPr>
                <w:rFonts w:ascii="Palatino Linotype" w:hAnsi="Palatino Linotype"/>
                <w:color w:val="000000" w:themeColor="text1"/>
              </w:rPr>
              <w:t xml:space="preserve">Adherence via Practice: </w:t>
            </w:r>
            <w:r w:rsidRPr="00AB2673">
              <w:rPr>
                <w:rFonts w:ascii="Palatino Linotype" w:hAnsi="Palatino Linotype" w:cs="Palatino Linotype"/>
                <w:color w:val="000000" w:themeColor="text1"/>
              </w:rPr>
              <w:t>β</w:t>
            </w:r>
            <w:r w:rsidRPr="00AB2673">
              <w:rPr>
                <w:rFonts w:ascii="Palatino Linotype" w:hAnsi="Palatino Linotype"/>
                <w:color w:val="000000" w:themeColor="text1"/>
              </w:rPr>
              <w:t>=.53 [.44,.62]; sequential pathway K</w:t>
            </w:r>
            <w:r w:rsidR="00AB2673">
              <w:rPr>
                <w:rFonts w:ascii="Palatino Linotype" w:hAnsi="Palatino Linotype"/>
                <w:color w:val="000000" w:themeColor="text1"/>
              </w:rPr>
              <w:t xml:space="preserve">nowledge </w:t>
            </w:r>
            <w:r w:rsidR="00AB2673">
              <w:rPr>
                <w:rFonts w:ascii="Times New Roman" w:hAnsi="Times New Roman" w:cs="Times New Roman"/>
                <w:color w:val="000000" w:themeColor="text1"/>
              </w:rPr>
              <w:t xml:space="preserve">to </w:t>
            </w:r>
            <w:r w:rsidRPr="00AB2673">
              <w:rPr>
                <w:rFonts w:ascii="Palatino Linotype" w:hAnsi="Palatino Linotype"/>
                <w:color w:val="000000" w:themeColor="text1"/>
              </w:rPr>
              <w:t>A</w:t>
            </w:r>
            <w:r w:rsidR="005C223C">
              <w:rPr>
                <w:rFonts w:ascii="Palatino Linotype" w:hAnsi="Palatino Linotype"/>
                <w:color w:val="000000" w:themeColor="text1"/>
              </w:rPr>
              <w:t>ttitude</w:t>
            </w:r>
            <w:r w:rsidR="00AB2673">
              <w:rPr>
                <w:rFonts w:ascii="Times New Roman" w:hAnsi="Times New Roman" w:cs="Times New Roman"/>
                <w:color w:val="000000" w:themeColor="text1"/>
              </w:rPr>
              <w:t xml:space="preserve">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P</w:t>
            </w:r>
            <w:r w:rsidR="005C223C">
              <w:rPr>
                <w:rFonts w:ascii="Palatino Linotype" w:hAnsi="Palatino Linotype"/>
                <w:color w:val="000000" w:themeColor="text1"/>
              </w:rPr>
              <w:t xml:space="preserve">ractice </w:t>
            </w:r>
            <w:r w:rsidR="00AB2673">
              <w:rPr>
                <w:rFonts w:ascii="Times New Roman" w:hAnsi="Times New Roman" w:cs="Times New Roman"/>
                <w:color w:val="000000" w:themeColor="text1"/>
              </w:rPr>
              <w:t xml:space="preserve"> to </w:t>
            </w:r>
            <w:r w:rsidRPr="00AB2673">
              <w:rPr>
                <w:rFonts w:ascii="Palatino Linotype" w:hAnsi="Palatino Linotype"/>
                <w:color w:val="000000" w:themeColor="text1"/>
              </w:rPr>
              <w:t xml:space="preserve">Adherence: </w:t>
            </w:r>
            <w:r w:rsidRPr="00AB2673">
              <w:rPr>
                <w:rFonts w:ascii="Palatino Linotype" w:hAnsi="Palatino Linotype" w:cs="Palatino Linotype"/>
                <w:color w:val="000000" w:themeColor="text1"/>
              </w:rPr>
              <w:t>β</w:t>
            </w:r>
            <w:r w:rsidRPr="00AB2673">
              <w:rPr>
                <w:rFonts w:ascii="Palatino Linotype" w:hAnsi="Palatino Linotype"/>
                <w:color w:val="000000" w:themeColor="text1"/>
              </w:rPr>
              <w:t>=.21 [.15,.28].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028B5C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50B17F2C" w14:textId="77777777" w:rsidTr="005C223C">
        <w:trPr>
          <w:trHeight w:val="440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082BE" w14:textId="77777777" w:rsidR="005B5190" w:rsidRPr="00AB2673" w:rsidRDefault="005B5190">
            <w:pPr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48C44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16b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5CCFE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(b) Report category boundaries when continuous variables were categorized.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60045" w14:textId="6D68AD33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 xml:space="preserve">No continuous variables were categorized in this study. All constructs </w:t>
            </w:r>
            <w:r w:rsidR="005C223C" w:rsidRPr="00AB2673">
              <w:rPr>
                <w:rFonts w:ascii="Palatino Linotype" w:hAnsi="Palatino Linotype"/>
                <w:color w:val="000000" w:themeColor="text1"/>
              </w:rPr>
              <w:t>remain</w:t>
            </w:r>
            <w:r w:rsidRPr="00AB2673">
              <w:rPr>
                <w:rFonts w:ascii="Palatino Linotype" w:hAnsi="Palatino Linotype"/>
                <w:color w:val="000000" w:themeColor="text1"/>
              </w:rPr>
              <w:t xml:space="preserve"> as continuous composite scores in the SEM framework.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75224B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NA</w:t>
            </w:r>
          </w:p>
        </w:tc>
      </w:tr>
      <w:tr w:rsidR="005B5190" w:rsidRPr="00AB2673" w14:paraId="64B4106E" w14:textId="77777777" w:rsidTr="005C223C">
        <w:trPr>
          <w:trHeight w:val="599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8925A" w14:textId="77777777" w:rsidR="005B5190" w:rsidRPr="00AB2673" w:rsidRDefault="005B5190">
            <w:pPr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35897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16c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A8727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(c) If relevant, consider translating estimates of relative risk into absolute risk for a meaningful time period.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FA509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Not applicable. Study uses structural path coefficients (standardized β) rather than relative risk estimates. Cross-sectional SEM design does not lend itself to risk translation.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BAF0C7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NA</w:t>
            </w:r>
          </w:p>
        </w:tc>
      </w:tr>
      <w:tr w:rsidR="005B5190" w:rsidRPr="00AB2673" w14:paraId="0D003649" w14:textId="77777777" w:rsidTr="005C223C">
        <w:trPr>
          <w:trHeight w:val="743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7475E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Other Analyses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9C135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17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5E300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Report other analyses done—e.g., analyses of subgroups and interactions, and sensitivity analyses.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23B30" w14:textId="304F704F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3.5 (EFA): Kaiser–Meyer–Olkin (KMO=.97), Bartlett's test (χ²=25,270.03, p&lt;.001), PAF with oblimin rotation—4-factor solution explaining 57.87% variance (Table 5). Section 3.6: Inter-item correlations by scale (Table 6). Section 3.7: Construct validity—CR, AVE, HTMT matrix (Table 7). Section 3.10: Suppression diagnostics—nested model testing attitude</w:t>
            </w:r>
            <w:r w:rsidR="005C223C">
              <w:rPr>
                <w:rFonts w:ascii="Times New Roman" w:hAnsi="Times New Roman" w:cs="Times New Roman"/>
                <w:color w:val="000000" w:themeColor="text1"/>
              </w:rPr>
              <w:t xml:space="preserve">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adherence with/without practice.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655F27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1B4BAD97" w14:textId="77777777" w:rsidTr="00AB2673">
        <w:trPr>
          <w:trHeight w:val="144"/>
        </w:trPr>
        <w:tc>
          <w:tcPr>
            <w:tcW w:w="11610" w:type="dxa"/>
            <w:gridSpan w:val="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F3D33" w14:textId="77777777" w:rsidR="005B5190" w:rsidRPr="00AB2673" w:rsidRDefault="00000000" w:rsidP="00AB2673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DISCUSSION</w:t>
            </w:r>
          </w:p>
        </w:tc>
      </w:tr>
      <w:tr w:rsidR="005B5190" w:rsidRPr="00AB2673" w14:paraId="11C30D40" w14:textId="77777777" w:rsidTr="005C223C">
        <w:trPr>
          <w:trHeight w:val="743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F2816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Key Results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1B09B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18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0F144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Summarise key results with reference to study objectives.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549810" w14:textId="5A88465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4.1 (Key Findings): Summarizes that (1) adherence is primarily driven by preventive practice; (2) all directional hypotheses formally evaluated within SEM—K</w:t>
            </w:r>
            <w:r w:rsidR="005C223C">
              <w:rPr>
                <w:rFonts w:ascii="Times New Roman" w:hAnsi="Times New Roman" w:cs="Times New Roman"/>
                <w:color w:val="000000" w:themeColor="text1"/>
              </w:rPr>
              <w:t xml:space="preserve">nowledge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A</w:t>
            </w:r>
            <w:r w:rsidR="005C223C">
              <w:rPr>
                <w:rFonts w:ascii="Palatino Linotype" w:hAnsi="Palatino Linotype"/>
                <w:color w:val="000000" w:themeColor="text1"/>
              </w:rPr>
              <w:t xml:space="preserve">ttitude </w:t>
            </w:r>
            <w:r w:rsidRPr="00AB2673">
              <w:rPr>
                <w:rFonts w:ascii="Palatino Linotype" w:hAnsi="Palatino Linotype"/>
                <w:color w:val="000000" w:themeColor="text1"/>
              </w:rPr>
              <w:t>, K</w:t>
            </w:r>
            <w:r w:rsidR="005C223C">
              <w:rPr>
                <w:rFonts w:ascii="Times New Roman" w:hAnsi="Times New Roman" w:cs="Times New Roman"/>
                <w:color w:val="000000" w:themeColor="text1"/>
              </w:rPr>
              <w:t xml:space="preserve">nowledge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P</w:t>
            </w:r>
            <w:r w:rsidR="005C223C">
              <w:rPr>
                <w:rFonts w:ascii="Palatino Linotype" w:hAnsi="Palatino Linotype"/>
                <w:color w:val="000000" w:themeColor="text1"/>
              </w:rPr>
              <w:t xml:space="preserve">ractice </w:t>
            </w:r>
            <w:r w:rsidRPr="00AB2673">
              <w:rPr>
                <w:rFonts w:ascii="Palatino Linotype" w:hAnsi="Palatino Linotype"/>
                <w:color w:val="000000" w:themeColor="text1"/>
              </w:rPr>
              <w:t>, A</w:t>
            </w:r>
            <w:r w:rsidR="005C223C">
              <w:rPr>
                <w:rFonts w:ascii="Times New Roman" w:hAnsi="Times New Roman" w:cs="Times New Roman"/>
                <w:color w:val="000000" w:themeColor="text1"/>
              </w:rPr>
              <w:t xml:space="preserve">ttitude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P</w:t>
            </w:r>
            <w:r w:rsidR="005C223C">
              <w:rPr>
                <w:rFonts w:ascii="Palatino Linotype" w:hAnsi="Palatino Linotype"/>
                <w:color w:val="000000" w:themeColor="text1"/>
              </w:rPr>
              <w:t xml:space="preserve">ractice </w:t>
            </w:r>
            <w:r w:rsidRPr="00AB2673">
              <w:rPr>
                <w:rFonts w:ascii="Palatino Linotype" w:hAnsi="Palatino Linotype"/>
                <w:color w:val="000000" w:themeColor="text1"/>
              </w:rPr>
              <w:t>, P</w:t>
            </w:r>
            <w:r w:rsidR="005C223C">
              <w:rPr>
                <w:rFonts w:ascii="Times New Roman" w:hAnsi="Times New Roman" w:cs="Times New Roman"/>
                <w:color w:val="000000" w:themeColor="text1"/>
              </w:rPr>
              <w:t xml:space="preserve">ractice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Adherence supported; direct A</w:t>
            </w:r>
            <w:r w:rsidR="005C223C">
              <w:rPr>
                <w:rFonts w:ascii="Times New Roman" w:hAnsi="Times New Roman" w:cs="Times New Roman"/>
                <w:color w:val="000000" w:themeColor="text1"/>
              </w:rPr>
              <w:t xml:space="preserve">ttitude to </w:t>
            </w:r>
            <w:r w:rsidRPr="00AB2673">
              <w:rPr>
                <w:rFonts w:ascii="Palatino Linotype" w:hAnsi="Palatino Linotype"/>
                <w:color w:val="000000" w:themeColor="text1"/>
              </w:rPr>
              <w:t>Adherence not supported (suppression); (3) sequential mediation confirmed; (4) bivariate correlations strongest for Attitude</w:t>
            </w:r>
            <w:r w:rsidRPr="00AB2673">
              <w:rPr>
                <w:rFonts w:ascii="Palatino Linotype" w:hAnsi="Palatino Linotype" w:cs="Palatino Linotype"/>
                <w:color w:val="000000" w:themeColor="text1"/>
              </w:rPr>
              <w:t>–</w:t>
            </w:r>
            <w:r w:rsidRPr="00AB2673">
              <w:rPr>
                <w:rFonts w:ascii="Palatino Linotype" w:hAnsi="Palatino Linotype"/>
                <w:color w:val="000000" w:themeColor="text1"/>
              </w:rPr>
              <w:t>Practice (r=.70), then K</w:t>
            </w:r>
            <w:r w:rsidRPr="00AB2673">
              <w:rPr>
                <w:rFonts w:ascii="Palatino Linotype" w:hAnsi="Palatino Linotype" w:cs="Palatino Linotype"/>
                <w:color w:val="000000" w:themeColor="text1"/>
              </w:rPr>
              <w:t>–</w:t>
            </w:r>
            <w:r w:rsidRPr="00AB2673">
              <w:rPr>
                <w:rFonts w:ascii="Palatino Linotype" w:hAnsi="Palatino Linotype"/>
                <w:color w:val="000000" w:themeColor="text1"/>
              </w:rPr>
              <w:t>Practice (r=.65). Results linked back to three pre-specified study objectives.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5AA043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1A699FDD" w14:textId="77777777" w:rsidTr="005C223C">
        <w:trPr>
          <w:trHeight w:val="743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FFABD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Limitations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2D7C2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19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C2909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Discuss limitations of the study, taking into account sources of potential bias or imprecision. Discuss both direction and magnitude of any potential bias.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F1CE8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4.7: Five limitations stated—(1) cross-sectional design precludes causal inference; (2) single-site military tertiary hospital limits generalizability; (3) self-reported practice/adherence introduces social desirability bias (direction: likely overestimation); (4) composite total scores vs. item-level SEM introduces measurement imprecision; (5) marginally sub-threshold NFI/RFI due to known sensitivity limitations of legacy fit indices in large models.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04B391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6CC8E0F7" w14:textId="77777777" w:rsidTr="005C223C">
        <w:trPr>
          <w:trHeight w:val="1047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6A11F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Interpretation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0192D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20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290F0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Give a cautious overall interpretation of results considering objectives, limitations, multiplicity of analyses, results from similar studies, and other relevant evidence.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F2CDE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Sections 4.2–4.6 and 5 (Conclusions): Cautious interpretation provided—CFI/TLI below .90 threshold acknowledged; RMSEA and PCLOSE used as primary fit evidence. Suppression effect contextualized as statistical artifact. Findings compared to Turkish ICU study (Yilmaz &amp; Gürlek Kisacik, n=302), Chinese multicenter study (Li et al., n=17,253), Saudi multicenter PUKAT 2.0 study (Guerrero et al., n=320). Conclusions explicitly qualified by cross-sectional design limitations.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3906DA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4F2E1A61" w14:textId="77777777" w:rsidTr="005C223C">
        <w:trPr>
          <w:trHeight w:val="743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B42A9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lastRenderedPageBreak/>
              <w:t>Generalisability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952FE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21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1AF05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Discuss the generalisability (external validity) of the study results.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41700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Section 4.7 (Limitation 2): Single-site sampling within one tertiary military medical city in Riyadh constrains generalizability across institutional, geographic, and cultural contexts. Section 4.9 (Future Directions): Multicenter replication across tertiary, community, and long-term care settings within Saudi Arabia and MENA region recommended, with measurement invariance testing before assuming generalizability.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334014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  <w:tr w:rsidR="005B5190" w:rsidRPr="00AB2673" w14:paraId="1E613A37" w14:textId="77777777" w:rsidTr="00AB2673">
        <w:trPr>
          <w:trHeight w:val="151"/>
        </w:trPr>
        <w:tc>
          <w:tcPr>
            <w:tcW w:w="11610" w:type="dxa"/>
            <w:gridSpan w:val="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6D048" w14:textId="77777777" w:rsidR="005B5190" w:rsidRPr="00AB2673" w:rsidRDefault="00000000" w:rsidP="00AB2673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OTHER INFORMATION</w:t>
            </w:r>
          </w:p>
        </w:tc>
      </w:tr>
      <w:tr w:rsidR="005B5190" w:rsidRPr="00AB2673" w14:paraId="2B0C02DC" w14:textId="77777777" w:rsidTr="005C223C">
        <w:trPr>
          <w:trHeight w:val="736"/>
        </w:trPr>
        <w:tc>
          <w:tcPr>
            <w:tcW w:w="16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32494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Funding</w:t>
            </w:r>
          </w:p>
        </w:tc>
        <w:tc>
          <w:tcPr>
            <w:tcW w:w="4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EF803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22</w:t>
            </w:r>
          </w:p>
        </w:tc>
        <w:tc>
          <w:tcPr>
            <w:tcW w:w="22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D7869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Give the source of funding and the role of the funders for the present study and, if applicable, for the original study on which the present article is based.</w:t>
            </w:r>
          </w:p>
        </w:tc>
        <w:tc>
          <w:tcPr>
            <w:tcW w:w="61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12E96" w14:textId="77777777" w:rsidR="005B5190" w:rsidRPr="00AB2673" w:rsidRDefault="00000000">
            <w:pPr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color w:val="000000" w:themeColor="text1"/>
              </w:rPr>
              <w:t>Funding section: 'This study did not receive funding.' Acknowledgments section: 'The authors express gratitude to the Deanship of Scientific Research at King Saud University in Riyadh, Saudi Arabia.' Conflicts of Interest: 'The authors declare no conflict of interest.'</w:t>
            </w:r>
          </w:p>
        </w:tc>
        <w:tc>
          <w:tcPr>
            <w:tcW w:w="107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04ED2E" w14:textId="77777777" w:rsidR="005B5190" w:rsidRPr="00AB2673" w:rsidRDefault="0000000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AB2673">
              <w:rPr>
                <w:rFonts w:ascii="Palatino Linotype" w:hAnsi="Palatino Linotype"/>
                <w:b/>
                <w:bCs/>
                <w:color w:val="000000" w:themeColor="text1"/>
              </w:rPr>
              <w:t>Yes</w:t>
            </w:r>
          </w:p>
        </w:tc>
      </w:tr>
    </w:tbl>
    <w:p w14:paraId="06D68339" w14:textId="77777777" w:rsidR="005B5190" w:rsidRPr="00AB2673" w:rsidRDefault="00000000">
      <w:pPr>
        <w:spacing w:before="240" w:after="80"/>
        <w:rPr>
          <w:rFonts w:ascii="Palatino Linotype" w:hAnsi="Palatino Linotype"/>
          <w:color w:val="000000" w:themeColor="text1"/>
        </w:rPr>
      </w:pPr>
      <w:r w:rsidRPr="00AB2673">
        <w:rPr>
          <w:rFonts w:ascii="Palatino Linotype" w:hAnsi="Palatino Linotype"/>
          <w:b/>
          <w:bCs/>
          <w:color w:val="000000" w:themeColor="text1"/>
        </w:rPr>
        <w:t>Notes:</w:t>
      </w:r>
    </w:p>
    <w:p w14:paraId="6E74D841" w14:textId="77777777" w:rsidR="005B5190" w:rsidRPr="00AB2673" w:rsidRDefault="00000000">
      <w:pPr>
        <w:spacing w:after="60"/>
        <w:rPr>
          <w:rFonts w:ascii="Palatino Linotype" w:hAnsi="Palatino Linotype"/>
          <w:color w:val="000000" w:themeColor="text1"/>
        </w:rPr>
      </w:pPr>
      <w:r w:rsidRPr="00AB2673">
        <w:rPr>
          <w:rFonts w:ascii="Palatino Linotype" w:hAnsi="Palatino Linotype"/>
          <w:color w:val="000000" w:themeColor="text1"/>
          <w:sz w:val="16"/>
          <w:szCs w:val="16"/>
        </w:rPr>
        <w:t>Yes = Item reported as recommended by STROBE guidelines.</w:t>
      </w:r>
    </w:p>
    <w:p w14:paraId="13991872" w14:textId="77777777" w:rsidR="005B5190" w:rsidRPr="00AB2673" w:rsidRDefault="00000000">
      <w:pPr>
        <w:spacing w:after="60"/>
        <w:rPr>
          <w:rFonts w:ascii="Palatino Linotype" w:hAnsi="Palatino Linotype"/>
          <w:color w:val="000000" w:themeColor="text1"/>
        </w:rPr>
      </w:pPr>
      <w:r w:rsidRPr="00AB2673">
        <w:rPr>
          <w:rFonts w:ascii="Palatino Linotype" w:hAnsi="Palatino Linotype"/>
          <w:color w:val="000000" w:themeColor="text1"/>
          <w:sz w:val="16"/>
          <w:szCs w:val="16"/>
        </w:rPr>
        <w:t>NA = Item not applicable to this study (e.g., no subgroup analyses, no continuous variable categorization, no risk ratios).</w:t>
      </w:r>
    </w:p>
    <w:p w14:paraId="734B975E" w14:textId="77777777" w:rsidR="005B5190" w:rsidRPr="00AB2673" w:rsidRDefault="00000000">
      <w:pPr>
        <w:spacing w:after="60"/>
        <w:rPr>
          <w:rFonts w:ascii="Palatino Linotype" w:hAnsi="Palatino Linotype"/>
          <w:color w:val="000000" w:themeColor="text1"/>
        </w:rPr>
      </w:pPr>
      <w:r w:rsidRPr="00AB2673">
        <w:rPr>
          <w:rFonts w:ascii="Palatino Linotype" w:hAnsi="Palatino Linotype"/>
          <w:color w:val="000000" w:themeColor="text1"/>
          <w:sz w:val="16"/>
          <w:szCs w:val="16"/>
        </w:rPr>
        <w:t>* Items marked with asterisk (*) in original STROBE checklist require information to be given separately for exposed/unexposed groups — not applicable to this single-group SEM study.</w:t>
      </w:r>
    </w:p>
    <w:p w14:paraId="35FAD5B4" w14:textId="77777777" w:rsidR="005B5190" w:rsidRPr="00AB2673" w:rsidRDefault="00000000">
      <w:pPr>
        <w:spacing w:after="60"/>
        <w:rPr>
          <w:rFonts w:ascii="Palatino Linotype" w:hAnsi="Palatino Linotype"/>
          <w:b/>
          <w:bCs/>
          <w:color w:val="000000" w:themeColor="text1"/>
        </w:rPr>
      </w:pPr>
      <w:r w:rsidRPr="00AB2673">
        <w:rPr>
          <w:rFonts w:ascii="Palatino Linotype" w:hAnsi="Palatino Linotype"/>
          <w:b/>
          <w:bCs/>
          <w:i/>
          <w:iCs/>
          <w:color w:val="000000" w:themeColor="text1"/>
          <w:sz w:val="16"/>
          <w:szCs w:val="16"/>
        </w:rPr>
        <w:t>Reference: Vandenbroucke JP, et al. (2007). Strengthening the Reporting of Observational Studies in Epidemiology (STROBE): explanation and elaboration. Epidemiology, 18(6):805–835.</w:t>
      </w:r>
    </w:p>
    <w:sectPr w:rsidR="005B5190" w:rsidRPr="00AB2673">
      <w:pgSz w:w="12240" w:h="15840" w:orient="landscape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51744"/>
    <w:multiLevelType w:val="hybridMultilevel"/>
    <w:tmpl w:val="7014225C"/>
    <w:lvl w:ilvl="0" w:tplc="7CEC071A">
      <w:start w:val="1"/>
      <w:numFmt w:val="bullet"/>
      <w:lvlText w:val="●"/>
      <w:lvlJc w:val="left"/>
      <w:pPr>
        <w:ind w:left="720" w:hanging="360"/>
      </w:pPr>
    </w:lvl>
    <w:lvl w:ilvl="1" w:tplc="BDF27024">
      <w:start w:val="1"/>
      <w:numFmt w:val="bullet"/>
      <w:lvlText w:val="○"/>
      <w:lvlJc w:val="left"/>
      <w:pPr>
        <w:ind w:left="1440" w:hanging="360"/>
      </w:pPr>
    </w:lvl>
    <w:lvl w:ilvl="2" w:tplc="86643720">
      <w:start w:val="1"/>
      <w:numFmt w:val="bullet"/>
      <w:lvlText w:val="■"/>
      <w:lvlJc w:val="left"/>
      <w:pPr>
        <w:ind w:left="2160" w:hanging="360"/>
      </w:pPr>
    </w:lvl>
    <w:lvl w:ilvl="3" w:tplc="172071BE">
      <w:start w:val="1"/>
      <w:numFmt w:val="bullet"/>
      <w:lvlText w:val="●"/>
      <w:lvlJc w:val="left"/>
      <w:pPr>
        <w:ind w:left="2880" w:hanging="360"/>
      </w:pPr>
    </w:lvl>
    <w:lvl w:ilvl="4" w:tplc="F5CC5076">
      <w:start w:val="1"/>
      <w:numFmt w:val="bullet"/>
      <w:lvlText w:val="○"/>
      <w:lvlJc w:val="left"/>
      <w:pPr>
        <w:ind w:left="3600" w:hanging="360"/>
      </w:pPr>
    </w:lvl>
    <w:lvl w:ilvl="5" w:tplc="3042D4C6">
      <w:start w:val="1"/>
      <w:numFmt w:val="bullet"/>
      <w:lvlText w:val="■"/>
      <w:lvlJc w:val="left"/>
      <w:pPr>
        <w:ind w:left="4320" w:hanging="360"/>
      </w:pPr>
    </w:lvl>
    <w:lvl w:ilvl="6" w:tplc="4DE82602">
      <w:start w:val="1"/>
      <w:numFmt w:val="bullet"/>
      <w:lvlText w:val="●"/>
      <w:lvlJc w:val="left"/>
      <w:pPr>
        <w:ind w:left="5040" w:hanging="360"/>
      </w:pPr>
    </w:lvl>
    <w:lvl w:ilvl="7" w:tplc="6EC4CDA2">
      <w:start w:val="1"/>
      <w:numFmt w:val="bullet"/>
      <w:lvlText w:val="●"/>
      <w:lvlJc w:val="left"/>
      <w:pPr>
        <w:ind w:left="5760" w:hanging="360"/>
      </w:pPr>
    </w:lvl>
    <w:lvl w:ilvl="8" w:tplc="71346F08">
      <w:start w:val="1"/>
      <w:numFmt w:val="bullet"/>
      <w:lvlText w:val="●"/>
      <w:lvlJc w:val="left"/>
      <w:pPr>
        <w:ind w:left="6480" w:hanging="360"/>
      </w:pPr>
    </w:lvl>
  </w:abstractNum>
  <w:num w:numId="1" w16cid:durableId="14236053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K0MDY0sDQzMTUwN7ZU0lEKTi0uzszPAykwrAUAWW5NcywAAAA="/>
  </w:docVars>
  <w:rsids>
    <w:rsidRoot w:val="005B5190"/>
    <w:rsid w:val="00053497"/>
    <w:rsid w:val="00225217"/>
    <w:rsid w:val="005B5190"/>
    <w:rsid w:val="005C223C"/>
    <w:rsid w:val="00600F7D"/>
    <w:rsid w:val="00A22F1E"/>
    <w:rsid w:val="00AB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8029"/>
  <w15:docId w15:val="{E86BAF59-7D6C-4D18-AC65-977B61BE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2070</Words>
  <Characters>13395</Characters>
  <Application>Microsoft Office Word</Application>
  <DocSecurity>0</DocSecurity>
  <Lines>461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Dr.Mousa Asiri</dc:creator>
  <cp:lastModifiedBy>Mousa Asiri</cp:lastModifiedBy>
  <cp:revision>4</cp:revision>
  <dcterms:created xsi:type="dcterms:W3CDTF">2026-05-02T08:26:00Z</dcterms:created>
  <dcterms:modified xsi:type="dcterms:W3CDTF">2026-05-02T08:30:00Z</dcterms:modified>
</cp:coreProperties>
</file>