
<file path=[Content_Types].xml><?xml version="1.0" encoding="utf-8"?>
<Types xmlns="http://schemas.openxmlformats.org/package/2006/content-types">
  <Default Extension="jpeg" ContentType="image/jpeg"/>
  <Default Extension="JPG" ContentType="image/.jpg"/>
  <Default Extension="tiff" ContentType="image/tif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rPr>
          <w:rFonts w:hint="eastAsia" w:ascii="Times New Roman" w:hAnsi="Times New Roman" w:eastAsia="宋体"/>
          <w:b/>
          <w:bCs/>
          <w:sz w:val="28"/>
          <w:szCs w:val="24"/>
          <w:lang w:val="en-US" w:eastAsia="zh-CN"/>
        </w:rPr>
      </w:pPr>
      <w:r>
        <w:rPr>
          <w:rFonts w:hint="eastAsia" w:ascii="Times New Roman" w:hAnsi="Times New Roman" w:eastAsia="宋体"/>
          <w:b/>
          <w:bCs/>
          <w:sz w:val="28"/>
          <w:szCs w:val="24"/>
          <w:lang w:val="en-US" w:eastAsia="zh-CN"/>
        </w:rPr>
        <w:t>Supplementary figures1.</w:t>
      </w:r>
    </w:p>
    <w:p>
      <w:pPr>
        <w:spacing w:line="360" w:lineRule="auto"/>
        <w:rPr>
          <w:rFonts w:hint="eastAsia" w:ascii="Times New Roman" w:hAnsi="Times New Roman" w:eastAsia="宋体"/>
          <w:sz w:val="24"/>
          <w:szCs w:val="24"/>
          <w:lang w:eastAsia="zh-CN"/>
        </w:rPr>
      </w:pPr>
      <w:r>
        <w:rPr>
          <w:rFonts w:hint="eastAsia" w:ascii="Times New Roman" w:hAnsi="Times New Roman" w:eastAsia="宋体"/>
          <w:sz w:val="24"/>
          <w:szCs w:val="24"/>
          <w:lang w:eastAsia="zh-CN"/>
        </w:rPr>
        <w:drawing>
          <wp:inline distT="0" distB="0" distL="114300" distR="114300">
            <wp:extent cx="5271770" cy="7586345"/>
            <wp:effectExtent l="0" t="0" r="1270" b="3175"/>
            <wp:docPr id="10" name="图片 10" descr="S F-1 all ce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S F-1 all cell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586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Times New Roman" w:hAnsi="Times New Roman" w:eastAsia="宋体"/>
          <w:b/>
          <w:bCs/>
          <w:sz w:val="24"/>
          <w:szCs w:val="24"/>
        </w:rPr>
      </w:pPr>
      <w:r>
        <w:rPr>
          <w:rFonts w:hint="eastAsia" w:ascii="Times New Roman" w:hAnsi="Times New Roman" w:eastAsia="宋体"/>
          <w:b/>
          <w:bCs/>
          <w:sz w:val="24"/>
          <w:szCs w:val="24"/>
        </w:rPr>
        <w:t xml:space="preserve">Figure S1. Single-cell stratification study of branched-chain amino acids. </w:t>
      </w:r>
    </w:p>
    <w:p>
      <w:pPr>
        <w:spacing w:line="480" w:lineRule="auto"/>
        <w:rPr>
          <w:rFonts w:hint="eastAsia" w:ascii="Times New Roman" w:hAnsi="Times New Roman" w:eastAsia="宋体"/>
          <w:sz w:val="24"/>
          <w:szCs w:val="24"/>
        </w:rPr>
      </w:pPr>
      <w:r>
        <w:rPr>
          <w:rFonts w:hint="eastAsia" w:ascii="Times New Roman" w:hAnsi="Times New Roman" w:eastAsia="宋体"/>
          <w:sz w:val="24"/>
          <w:szCs w:val="24"/>
          <w:lang w:val="en-US" w:eastAsia="zh-CN"/>
        </w:rPr>
        <w:t>A:</w:t>
      </w:r>
      <w:r>
        <w:rPr>
          <w:rFonts w:hint="eastAsia" w:ascii="Times New Roman" w:hAnsi="Times New Roman" w:eastAsia="宋体"/>
          <w:sz w:val="24"/>
          <w:szCs w:val="24"/>
        </w:rPr>
        <w:t xml:space="preserve">Cell marker gene expression in single-cell stratification study of branched-chain amino acids. </w:t>
      </w:r>
      <w:r>
        <w:rPr>
          <w:rFonts w:hint="eastAsia" w:ascii="Times New Roman" w:hAnsi="Times New Roman" w:eastAsia="宋体"/>
          <w:sz w:val="24"/>
          <w:szCs w:val="24"/>
          <w:lang w:val="en-US" w:eastAsia="zh-CN"/>
        </w:rPr>
        <w:t>B:</w:t>
      </w:r>
      <w:r>
        <w:rPr>
          <w:rFonts w:hint="eastAsia" w:ascii="Times New Roman" w:hAnsi="Times New Roman" w:eastAsia="宋体"/>
          <w:sz w:val="24"/>
          <w:szCs w:val="24"/>
        </w:rPr>
        <w:t xml:space="preserve">Metabolic-related gene expression in single-cell stratification studies of branched-chain amino acids. </w:t>
      </w:r>
      <w:r>
        <w:rPr>
          <w:rFonts w:hint="eastAsia" w:ascii="Times New Roman" w:hAnsi="Times New Roman" w:eastAsia="宋体"/>
          <w:sz w:val="24"/>
          <w:szCs w:val="24"/>
          <w:lang w:val="en-US" w:eastAsia="zh-CN"/>
        </w:rPr>
        <w:t>C:</w:t>
      </w:r>
      <w:r>
        <w:rPr>
          <w:rFonts w:hint="eastAsia" w:ascii="Times New Roman" w:hAnsi="Times New Roman" w:eastAsia="宋体"/>
          <w:sz w:val="24"/>
          <w:szCs w:val="24"/>
        </w:rPr>
        <w:t>Cellular function GSVA analysis of single-cell stratification study of branched-chain amino acids.</w:t>
      </w:r>
    </w:p>
    <w:p>
      <w:pPr>
        <w:rPr>
          <w:rFonts w:ascii="Times New Roman" w:hAnsi="Times New Roman" w:eastAsia="宋体"/>
          <w:sz w:val="24"/>
          <w:szCs w:val="24"/>
        </w:rPr>
      </w:pPr>
      <w:r>
        <w:rPr>
          <w:rFonts w:ascii="Times New Roman" w:hAnsi="Times New Roman" w:eastAsia="宋体"/>
          <w:sz w:val="24"/>
          <w:szCs w:val="24"/>
        </w:rPr>
        <w:br w:type="page"/>
      </w:r>
    </w:p>
    <w:p>
      <w:pPr>
        <w:spacing w:line="360" w:lineRule="auto"/>
        <w:rPr>
          <w:rFonts w:hint="eastAsia" w:ascii="Times New Roman" w:hAnsi="Times New Roman" w:eastAsia="宋体"/>
          <w:b/>
          <w:bCs/>
          <w:sz w:val="28"/>
          <w:szCs w:val="24"/>
          <w:lang w:val="en-US" w:eastAsia="zh-CN"/>
        </w:rPr>
      </w:pPr>
      <w:r>
        <w:rPr>
          <w:rFonts w:hint="eastAsia" w:ascii="Times New Roman" w:hAnsi="Times New Roman" w:eastAsia="宋体"/>
          <w:b/>
          <w:bCs/>
          <w:sz w:val="28"/>
          <w:szCs w:val="24"/>
          <w:lang w:val="en-US" w:eastAsia="zh-CN"/>
        </w:rPr>
        <w:t>Supplementary figures2.</w:t>
      </w:r>
    </w:p>
    <w:p>
      <w:pPr>
        <w:spacing w:line="360" w:lineRule="auto"/>
        <w:rPr>
          <w:rFonts w:ascii="Times New Roman" w:hAnsi="Times New Roman" w:eastAsia="宋体"/>
          <w:sz w:val="24"/>
          <w:szCs w:val="24"/>
        </w:rPr>
      </w:pPr>
      <w:r>
        <w:drawing>
          <wp:inline distT="0" distB="0" distL="114300" distR="114300">
            <wp:extent cx="5943600" cy="4959350"/>
            <wp:effectExtent l="0" t="0" r="0" b="8890"/>
            <wp:docPr id="192127744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1277442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5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cs="Times New Roman"/>
          <w:b/>
          <w:bCs/>
          <w:sz w:val="24"/>
          <w:szCs w:val="24"/>
        </w:rPr>
      </w:pPr>
      <w:r>
        <w:rPr>
          <w:rFonts w:hint="eastAsia" w:ascii="Times New Roman" w:hAnsi="Times New Roman" w:eastAsia="宋体"/>
          <w:b/>
          <w:bCs/>
          <w:sz w:val="24"/>
          <w:szCs w:val="24"/>
        </w:rPr>
        <w:t>Figure S2. Highly stratified branched-chain amino acids mediate T cell dysfunction in mice.</w:t>
      </w:r>
      <w:r>
        <w:rPr>
          <w:rFonts w:hint="eastAsia" w:cs="Times New Roman"/>
          <w:b/>
          <w:bCs/>
          <w:sz w:val="24"/>
          <w:szCs w:val="24"/>
        </w:rPr>
        <w:t xml:space="preserve">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Times New Roman" w:hAnsi="Times New Roman" w:eastAsia="宋体"/>
          <w:sz w:val="24"/>
          <w:szCs w:val="24"/>
        </w:rPr>
      </w:pPr>
      <w:r>
        <w:rPr>
          <w:rFonts w:hint="eastAsia" w:ascii="Times New Roman" w:hAnsi="Times New Roman" w:eastAsia="宋体"/>
          <w:sz w:val="24"/>
          <w:szCs w:val="24"/>
        </w:rPr>
        <w:t>A-B</w:t>
      </w:r>
      <w:r>
        <w:rPr>
          <w:rFonts w:hint="eastAsia" w:ascii="Times New Roman" w:hAnsi="Times New Roman" w:eastAsia="宋体"/>
          <w:sz w:val="24"/>
          <w:szCs w:val="24"/>
          <w:lang w:val="en-US" w:eastAsia="zh-CN"/>
        </w:rPr>
        <w:t>:</w:t>
      </w:r>
      <w:r>
        <w:rPr>
          <w:rFonts w:hint="eastAsia" w:ascii="Times New Roman" w:hAnsi="Times New Roman" w:eastAsia="宋体"/>
          <w:sz w:val="24"/>
          <w:szCs w:val="24"/>
        </w:rPr>
        <w:t xml:space="preserve">Expression characteristics of genes related to T cell function. </w:t>
      </w:r>
      <w:r>
        <w:rPr>
          <w:rFonts w:hint="eastAsia" w:ascii="Times New Roman" w:hAnsi="Times New Roman" w:eastAsia="宋体"/>
          <w:sz w:val="24"/>
          <w:szCs w:val="24"/>
          <w:lang w:val="en-US" w:eastAsia="zh-CN"/>
        </w:rPr>
        <w:t>C:</w:t>
      </w:r>
      <w:r>
        <w:rPr>
          <w:rFonts w:hint="eastAsia" w:ascii="Times New Roman" w:hAnsi="Times New Roman" w:eastAsia="宋体"/>
          <w:sz w:val="24"/>
          <w:szCs w:val="24"/>
        </w:rPr>
        <w:t>GSVA functional analysis of branched-chain amino acid metabolism in different layers.</w:t>
      </w:r>
    </w:p>
    <w:p>
      <w:pPr>
        <w:rPr>
          <w:rFonts w:ascii="Times New Roman" w:hAnsi="Times New Roman" w:eastAsia="宋体"/>
          <w:sz w:val="24"/>
          <w:szCs w:val="24"/>
        </w:rPr>
      </w:pPr>
      <w:r>
        <w:rPr>
          <w:rFonts w:ascii="Times New Roman" w:hAnsi="Times New Roman" w:eastAsia="宋体"/>
          <w:sz w:val="24"/>
          <w:szCs w:val="24"/>
        </w:rPr>
        <w:br w:type="page"/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Times New Roman" w:hAnsi="Times New Roman" w:eastAsia="宋体"/>
          <w:b/>
          <w:bCs/>
          <w:sz w:val="28"/>
          <w:szCs w:val="24"/>
          <w:lang w:val="en-US" w:eastAsia="zh-CN"/>
        </w:rPr>
      </w:pPr>
      <w:r>
        <w:rPr>
          <w:rFonts w:hint="eastAsia" w:ascii="Times New Roman" w:hAnsi="Times New Roman" w:eastAsia="宋体"/>
          <w:b/>
          <w:bCs/>
          <w:sz w:val="28"/>
          <w:szCs w:val="24"/>
          <w:lang w:val="en-US" w:eastAsia="zh-CN"/>
        </w:rPr>
        <w:t>Supplementary figures3.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  <w:r>
        <w:drawing>
          <wp:inline distT="0" distB="0" distL="114300" distR="114300">
            <wp:extent cx="5913755" cy="4737100"/>
            <wp:effectExtent l="0" t="0" r="14605" b="2540"/>
            <wp:docPr id="37257115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571157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rcRect l="5691" r="7867"/>
                    <a:stretch>
                      <a:fillRect/>
                    </a:stretch>
                  </pic:blipFill>
                  <pic:spPr>
                    <a:xfrm>
                      <a:off x="0" y="0"/>
                      <a:ext cx="5913755" cy="47371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Times New Roman" w:hAnsi="Times New Roman" w:eastAsia="宋体"/>
          <w:b/>
          <w:bCs/>
          <w:sz w:val="24"/>
          <w:szCs w:val="24"/>
        </w:rPr>
      </w:pPr>
      <w:r>
        <w:rPr>
          <w:rFonts w:hint="eastAsia" w:ascii="Times New Roman" w:hAnsi="Times New Roman" w:eastAsia="宋体"/>
          <w:b/>
          <w:bCs/>
          <w:sz w:val="24"/>
          <w:szCs w:val="24"/>
        </w:rPr>
        <w:t xml:space="preserve">Figure S3. Overexpression of DHHC5 in PC cells attenuates the antitumor function of T cells.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Times New Roman" w:hAnsi="Times New Roman" w:eastAsia="宋体"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/>
          <w:sz w:val="24"/>
          <w:szCs w:val="24"/>
          <w:lang w:val="en-US" w:eastAsia="zh-CN"/>
        </w:rPr>
        <w:t>A-C:</w:t>
      </w:r>
      <w:r>
        <w:rPr>
          <w:rFonts w:hint="eastAsia" w:ascii="Times New Roman" w:hAnsi="Times New Roman" w:eastAsia="宋体"/>
          <w:sz w:val="24"/>
          <w:szCs w:val="24"/>
        </w:rPr>
        <w:t xml:space="preserve">Flow scatter plot of the regulation of the activation rate of H2Kb/I-Ab/I-A/E macrophages by branched-chain amino acid (BCAA) supplementation. </w:t>
      </w:r>
      <w:r>
        <w:rPr>
          <w:rFonts w:hint="eastAsia" w:ascii="Times New Roman" w:hAnsi="Times New Roman" w:eastAsia="宋体"/>
          <w:sz w:val="24"/>
          <w:szCs w:val="24"/>
          <w:lang w:val="en-US" w:eastAsia="zh-CN"/>
        </w:rPr>
        <w:t>D-F:</w:t>
      </w:r>
      <w:r>
        <w:rPr>
          <w:rFonts w:hint="eastAsia" w:ascii="Times New Roman" w:hAnsi="Times New Roman" w:eastAsia="宋体"/>
          <w:sz w:val="24"/>
          <w:szCs w:val="24"/>
        </w:rPr>
        <w:t>Flow scatter plot of the regulation of the activation rate of H2Kb/I-Ab/I-A/E neutrophils by branched-chain amino acid (BCAA) supplementation.</w:t>
      </w:r>
    </w:p>
    <w:p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c1MDUzZWNkZjFlNTFiYzM3OGQyNmRhMGZmMjVjMTAifQ=="/>
  </w:docVars>
  <w:rsids>
    <w:rsidRoot w:val="00000000"/>
    <w:rsid w:val="61826C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after="0" w:line="240" w:lineRule="auto"/>
      <w:jc w:val="both"/>
    </w:pPr>
    <w:rPr>
      <w:rFonts w:ascii="等线" w:hAnsi="等线" w:eastAsia="等线" w:cs="Times New Roman"/>
      <w:kern w:val="2"/>
      <w:sz w:val="21"/>
      <w:szCs w:val="22"/>
      <w:lang w:val="en-US" w:eastAsia="zh-CN" w:bidi="ar-SA"/>
      <w14:ligatures w14:val="none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3.tiff"/><Relationship Id="rId7" Type="http://schemas.openxmlformats.org/officeDocument/2006/relationships/image" Target="media/image2.tiff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2026-03-25T11:25:36Z</dcterms:created>
  <dc:creator>lenovo</dc:creator>
  <cp:lastModifiedBy>小琨</cp:lastModifiedBy>
  <dcterms:modified xsi:type="dcterms:W3CDTF">2026-03-25T11:26:22Z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5DE239C0F5D149BAB6675FE07BA96209_12</vt:lpwstr>
  </property>
</Properties>
</file>