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Supplementary index, PE protocol descriptor, and full evaluation-regime definitions</w:t>
      </w:r>
    </w:p>
    <w:p/>
    <w:p>
      <w:r>
        <w:t>Manuscript title: A leakage-controlled benchmark for subject-independent sEMG protocol-state discriminability in a cable-driven walking-assistance suit</w:t>
      </w:r>
    </w:p>
    <w:p>
      <w:r>
        <w:t>A leakage-controlled benchmark for subject-independent sEMG protocol-state discriminability in a cable-driven walking-assistance suit</w:t>
      </w:r>
    </w:p>
    <w:p/>
    <w:p>
      <w:r>
        <w:t>Purpose of this supplementary file:</w:t>
      </w:r>
    </w:p>
    <w:p>
      <w:r>
        <w:t>This file provides the master index for all supplementary figures, supplementary tables, source tables, and evaluation-regime definitions used in the manuscript. It does not introduce an additional analysis framework beyond the recognition-stage benchmark described in the main text.</w:t>
      </w:r>
    </w:p>
    <w:p/>
    <w:p>
      <w:r>
        <w:t>Supplementary file map:</w:t>
      </w:r>
    </w:p>
    <w:p>
      <w:r>
        <w:t>Additional file 1: Supplementary index, PE protocol descriptor, and full evaluation-regime definitions.</w:t>
      </w:r>
    </w:p>
    <w:p>
      <w:r>
        <w:t>Additional file 2: Supplementary Figure S1 and source tables for domain-level permutation importance.</w:t>
      </w:r>
    </w:p>
    <w:p>
      <w:r>
        <w:t>Additional file 3: Supplementary Figure S2 and transfer-cell source tables, including weakest-cell confusion summaries.</w:t>
      </w:r>
    </w:p>
    <w:p>
      <w:r>
        <w:t>Additional file 4: Supplementary Figure S3 and condition-label mismatch sensitivity.</w:t>
      </w:r>
    </w:p>
    <w:p>
      <w:r>
        <w:t>Additional file 5: Supplementary Figure S4 and Supplementary Tables S3-S5 for calibration, NL10 filtering counts, sampled-cycle counts, and small-label repetitions.</w:t>
      </w:r>
    </w:p>
    <w:p>
      <w:r>
        <w:t>Additional file 6: Supplementary Figure S5 for stride-time-matched speed-confound control.</w:t>
      </w:r>
    </w:p>
    <w:p>
      <w:r>
        <w:t>Additional file 7: Supplementary Tables S1, S6, S7, S9, and S11 for subject-level LOSO values, within-subject CV reference, biomechanical-scaling parameters, multinomial logistic-regression comparator, and ΦB ON-versus-OFF comparator.</w:t>
      </w:r>
    </w:p>
    <w:p>
      <w:r>
        <w:t>Additional file 8: Supplementary Table S2, Supplementary Table S10, Supplementary Table S12, Supplementary Table S13, Supplementary Table S14, and Supplementary Figures S6-S9 for event/phase sensitivity, F18-F28 comparisons, cycle-weighted RF sensitivity, direct cycle-level comparators, and empirical dummy/permutation null baselines.</w:t>
      </w:r>
    </w:p>
    <w:p/>
    <w:p>
      <w:pPr>
        <w:pStyle w:val="Heading2"/>
      </w:pPr>
      <w:r>
        <w:t>Supplementary Table S0. Minimum non-identifying PE protocol descriptor and benchmark release boundary.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Field</w:t>
            </w:r>
          </w:p>
        </w:tc>
        <w:tc>
          <w:tcPr>
            <w:tcW w:type="dxa" w:w="4320"/>
          </w:tcPr>
          <w:p>
            <w:r>
              <w:t>Released descriptor</w:t>
            </w:r>
          </w:p>
        </w:tc>
      </w:tr>
      <w:tr>
        <w:tc>
          <w:tcPr>
            <w:tcW w:type="dxa" w:w="4320"/>
          </w:tcPr>
          <w:p>
            <w:r>
              <w:t>PE label interpretation</w:t>
            </w:r>
          </w:p>
        </w:tc>
        <w:tc>
          <w:tcPr>
            <w:tcW w:type="dxa" w:w="4320"/>
          </w:tcPr>
          <w:p>
            <w:r>
              <w:t>Categorical active-assistance protocol state under a fixed protocol contrast.</w:t>
            </w:r>
          </w:p>
        </w:tc>
      </w:tr>
      <w:tr>
        <w:tc>
          <w:tcPr>
            <w:tcW w:type="dxa" w:w="4320"/>
          </w:tcPr>
          <w:p>
            <w:r>
              <w:t>UE-vs-PE contrast</w:t>
            </w:r>
          </w:p>
        </w:tc>
        <w:tc>
          <w:tcPr>
            <w:tcW w:type="dxa" w:w="4320"/>
          </w:tcPr>
          <w:p>
            <w:r>
              <w:t>Same worn hardware configuration; actuator assistance disabled (UE) versus enabled (PE).</w:t>
            </w:r>
          </w:p>
        </w:tc>
      </w:tr>
      <w:tr>
        <w:tc>
          <w:tcPr>
            <w:tcW w:type="dxa" w:w="4320"/>
          </w:tcPr>
          <w:p>
            <w:r>
              <w:t>Wearable platform</w:t>
            </w:r>
          </w:p>
        </w:tc>
        <w:tc>
          <w:tcPr>
            <w:tcW w:type="dxa" w:w="4320"/>
          </w:tcPr>
          <w:p>
            <w:r>
              <w:t>Cable-driven soft walking-assistance suit with a back-mounted actuator unit and thigh anchoring interfaces.</w:t>
            </w:r>
          </w:p>
        </w:tc>
      </w:tr>
      <w:tr>
        <w:tc>
          <w:tcPr>
            <w:tcW w:type="dxa" w:w="4320"/>
          </w:tcPr>
          <w:p>
            <w:r>
              <w:t>Actuation channels</w:t>
            </w:r>
          </w:p>
        </w:tc>
        <w:tc>
          <w:tcPr>
            <w:tcW w:type="dxa" w:w="4320"/>
          </w:tcPr>
          <w:p>
            <w:r>
              <w:t>Four motor-driven cable channels used for bilateral hip-assistance components.</w:t>
            </w:r>
          </w:p>
        </w:tc>
      </w:tr>
      <w:tr>
        <w:tc>
          <w:tcPr>
            <w:tcW w:type="dxa" w:w="4320"/>
          </w:tcPr>
          <w:p>
            <w:r>
              <w:t>Anchor configuration</w:t>
            </w:r>
          </w:p>
        </w:tc>
        <w:tc>
          <w:tcPr>
            <w:tcW w:type="dxa" w:w="4320"/>
          </w:tcPr>
          <w:p>
            <w:r>
              <w:t>Cable interfaces routed through strap-fixed body-surface anchor regions, including a primary force-transfer anchor and a routing/guide anchor, to define the intended hip flexion/extension-related line-of-action.</w:t>
            </w:r>
          </w:p>
        </w:tc>
      </w:tr>
      <w:tr>
        <w:tc>
          <w:tcPr>
            <w:tcW w:type="dxa" w:w="4320"/>
          </w:tcPr>
          <w:p>
            <w:r>
              <w:t>Assisted movement target</w:t>
            </w:r>
          </w:p>
        </w:tc>
        <w:tc>
          <w:tcPr>
            <w:tcW w:type="dxa" w:w="4320"/>
          </w:tcPr>
          <w:p>
            <w:r>
              <w:t>Bilateral hip-assistance components related to flexion and extension during walking.</w:t>
            </w:r>
          </w:p>
        </w:tc>
      </w:tr>
      <w:tr>
        <w:tc>
          <w:tcPr>
            <w:tcW w:type="dxa" w:w="4320"/>
          </w:tcPr>
          <w:p>
            <w:r>
              <w:t>Timing/control category</w:t>
            </w:r>
          </w:p>
        </w:tc>
        <w:tc>
          <w:tcPr>
            <w:tcW w:type="dxa" w:w="4320"/>
          </w:tcPr>
          <w:p>
            <w:r>
              <w:t>Fixed gait-synchronous study controller and fixed active-assistance timing category.</w:t>
            </w:r>
          </w:p>
        </w:tc>
      </w:tr>
      <w:tr>
        <w:tc>
          <w:tcPr>
            <w:tcW w:type="dxa" w:w="4320"/>
          </w:tcPr>
          <w:p>
            <w:r>
              <w:t>Subject-specific retuning</w:t>
            </w:r>
          </w:p>
        </w:tc>
        <w:tc>
          <w:tcPr>
            <w:tcW w:type="dxa" w:w="4320"/>
          </w:tcPr>
          <w:p>
            <w:r>
              <w:t>No subject-specific or protocol-condition-specific retuning in the benchmark definition.</w:t>
            </w:r>
          </w:p>
        </w:tc>
      </w:tr>
      <w:tr>
        <w:tc>
          <w:tcPr>
            <w:tcW w:type="dxa" w:w="4320"/>
          </w:tcPr>
          <w:p>
            <w:r>
              <w:t>Anatomical reference posture</w:t>
            </w:r>
          </w:p>
        </w:tc>
        <w:tc>
          <w:tcPr>
            <w:tcW w:type="dxa" w:w="4320"/>
          </w:tcPr>
          <w:p>
            <w:r>
              <w:t>Anatomical standing posture was used as the descriptive reference configuration for the cable path and body-surface anchor convention.</w:t>
            </w:r>
          </w:p>
        </w:tc>
      </w:tr>
      <w:tr>
        <w:tc>
          <w:tcPr>
            <w:tcW w:type="dxa" w:w="4320"/>
          </w:tcPr>
          <w:p>
            <w:r>
              <w:t>Hip reference</w:t>
            </w:r>
          </w:p>
        </w:tc>
        <w:tc>
          <w:tcPr>
            <w:tcW w:type="dxa" w:w="4320"/>
          </w:tcPr>
          <w:p>
            <w:r>
              <w:t>The hip joint center was used only as a descriptive anatomical reference for the intended flexion/extension-related assistance direction. No subject-specific hip-joint-center reconstruction was used in the benchmark.</w:t>
            </w:r>
          </w:p>
        </w:tc>
      </w:tr>
      <w:tr>
        <w:tc>
          <w:tcPr>
            <w:tcW w:type="dxa" w:w="4320"/>
          </w:tcPr>
          <w:p>
            <w:r>
              <w:t>Cable-line structure</w:t>
            </w:r>
          </w:p>
        </w:tc>
        <w:tc>
          <w:tcPr>
            <w:tcW w:type="dxa" w:w="4320"/>
          </w:tcPr>
          <w:p>
            <w:r>
              <w:t>Each motor-driven cable line was routed through strap-fixed body-surface anchor regions. One anchor region was treated as the primary force-transfer contact, and the other as the routing/guide contact for maintaining the line-of-action during movement.</w:t>
            </w:r>
          </w:p>
        </w:tc>
      </w:tr>
      <w:tr>
        <w:tc>
          <w:tcPr>
            <w:tcW w:type="dxa" w:w="4320"/>
          </w:tcPr>
          <w:p>
            <w:r>
              <w:t>Force-transfer anchor</w:t>
            </w:r>
          </w:p>
        </w:tc>
        <w:tc>
          <w:tcPr>
            <w:tcW w:type="dxa" w:w="4320"/>
          </w:tcPr>
          <w:p>
            <w:r>
              <w:t>Strap-fixed body-surface contact region intended to transmit cable tension to the wearer.</w:t>
            </w:r>
          </w:p>
        </w:tc>
      </w:tr>
      <w:tr>
        <w:tc>
          <w:tcPr>
            <w:tcW w:type="dxa" w:w="4320"/>
          </w:tcPr>
          <w:p>
            <w:r>
              <w:t>Routing/guide anchor</w:t>
            </w:r>
          </w:p>
        </w:tc>
        <w:tc>
          <w:tcPr>
            <w:tcW w:type="dxa" w:w="4320"/>
          </w:tcPr>
          <w:p>
            <w:r>
              <w:t>Strap-fixed body-surface contact region intended to guide the cable line-of-action during movement.</w:t>
            </w:r>
          </w:p>
        </w:tc>
      </w:tr>
      <w:tr>
        <w:tc>
          <w:tcPr>
            <w:tcW w:type="dxa" w:w="4320"/>
          </w:tcPr>
          <w:p>
            <w:r>
              <w:t>Ground-contacting structure</w:t>
            </w:r>
          </w:p>
        </w:tc>
        <w:tc>
          <w:tcPr>
            <w:tcW w:type="dxa" w:w="4320"/>
          </w:tcPr>
          <w:p>
            <w:r>
              <w:t>The suit did not include a rigid ground-contacting support structure for direct load transfer to the ground.</w:t>
            </w:r>
          </w:p>
        </w:tc>
      </w:tr>
      <w:tr>
        <w:tc>
          <w:tcPr>
            <w:tcW w:type="dxa" w:w="4320"/>
          </w:tcPr>
          <w:p>
            <w:r>
              <w:t>Permitted interpretation</w:t>
            </w:r>
          </w:p>
        </w:tc>
        <w:tc>
          <w:tcPr>
            <w:tcW w:type="dxa" w:w="4320"/>
          </w:tcPr>
          <w:p>
            <w:r>
              <w:t>PE defines a categorical active-assistance protocol state with cable-mediated hip flexion/extension-related assistance.</w:t>
            </w:r>
          </w:p>
        </w:tc>
      </w:tr>
      <w:tr>
        <w:tc>
          <w:tcPr>
            <w:tcW w:type="dxa" w:w="4320"/>
          </w:tcPr>
          <w:p>
            <w:r>
              <w:t>Excluded interpretation</w:t>
            </w:r>
          </w:p>
        </w:tc>
        <w:tc>
          <w:tcPr>
            <w:tcW w:type="dxa" w:w="4320"/>
          </w:tcPr>
          <w:p>
            <w:r>
              <w:t>PE should not be interpreted as measured joint torque, reconstructed cable tension, assistance magnitude, body-weight support, ground-reaction-force modulation, kinematic-trajectory control, or user intent.</w:t>
            </w:r>
          </w:p>
        </w:tc>
      </w:tr>
      <w:tr>
        <w:tc>
          <w:tcPr>
            <w:tcW w:type="dxa" w:w="4320"/>
          </w:tcPr>
          <w:p>
            <w:r>
              <w:t>Excluded predictor inputs</w:t>
            </w:r>
          </w:p>
        </w:tc>
        <w:tc>
          <w:tcPr>
            <w:tcW w:type="dxa" w:w="4320"/>
          </w:tcPr>
          <w:p>
            <w:r>
              <w:t>Actuator commands, actuator traces, cable-tension traces, torque profiles, internal controller states, update-rate details, and trigger thresholds are excluded from public predictors.</w:t>
            </w:r>
          </w:p>
        </w:tc>
      </w:tr>
      <w:tr>
        <w:tc>
          <w:tcPr>
            <w:tcW w:type="dxa" w:w="4320"/>
          </w:tcPr>
          <w:p>
            <w:r>
              <w:t>Endpoint reproducibility boundary</w:t>
            </w:r>
          </w:p>
        </w:tc>
        <w:tc>
          <w:tcPr>
            <w:tcW w:type="dxa" w:w="4320"/>
          </w:tcPr>
          <w:p>
            <w:r>
              <w:t>Processed sEMG features, protocol metadata/labels, split manifest, and scoring code reproduce the benchmark endpoint, but not assistance-magnitude or torque-profile reconstruction.</w:t>
            </w:r>
          </w:p>
        </w:tc>
      </w:tr>
    </w:tbl>
    <w:p/>
    <w:p>
      <w:pPr>
        <w:pStyle w:val="Heading2"/>
      </w:pPr>
      <w:r>
        <w:t>Table A1. Full evaluation-regime definitions.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Regime</w:t>
            </w:r>
          </w:p>
        </w:tc>
        <w:tc>
          <w:tcPr>
            <w:tcW w:type="dxa" w:w="1234"/>
          </w:tcPr>
          <w:p>
            <w:r>
              <w:t>Train/test split</w:t>
            </w:r>
          </w:p>
        </w:tc>
        <w:tc>
          <w:tcPr>
            <w:tcW w:type="dxa" w:w="1234"/>
          </w:tcPr>
          <w:p>
            <w:r>
              <w:t>Test-time information allowed</w:t>
            </w:r>
          </w:p>
        </w:tc>
        <w:tc>
          <w:tcPr>
            <w:tcW w:type="dxa" w:w="1234"/>
          </w:tcPr>
          <w:p>
            <w:r>
              <w:t>Endpoint</w:t>
            </w:r>
          </w:p>
        </w:tc>
        <w:tc>
          <w:tcPr>
            <w:tcW w:type="dxa" w:w="1234"/>
          </w:tcPr>
          <w:p>
            <w:r>
              <w:t>Role</w:t>
            </w:r>
          </w:p>
        </w:tc>
        <w:tc>
          <w:tcPr>
            <w:tcW w:type="dxa" w:w="1234"/>
          </w:tcPr>
          <w:p>
            <w:r>
              <w:t>Main-text location</w:t>
            </w:r>
          </w:p>
        </w:tc>
        <w:tc>
          <w:tcPr>
            <w:tcW w:type="dxa" w:w="1234"/>
          </w:tcPr>
          <w:p>
            <w:r>
              <w:t>Notes</w:t>
            </w:r>
          </w:p>
        </w:tc>
      </w:tr>
      <w:tr>
        <w:tc>
          <w:tcPr>
            <w:tcW w:type="dxa" w:w="1234"/>
          </w:tcPr>
          <w:p>
            <w:r>
              <w:t>Regime 1. Within-condition LOSO</w:t>
            </w:r>
          </w:p>
        </w:tc>
        <w:tc>
          <w:tcPr>
            <w:tcW w:type="dxa" w:w="1234"/>
          </w:tcPr>
          <w:p>
            <w:r>
              <w:t>Train/test split: one protocol condition at a time; leave one subject out.</w:t>
            </w:r>
          </w:p>
        </w:tc>
        <w:tc>
          <w:tcPr>
            <w:tcW w:type="dxa" w:w="1234"/>
          </w:tcPr>
          <w:p>
            <w:r>
              <w:t>No held-out-subject labels.</w:t>
            </w:r>
          </w:p>
        </w:tc>
        <w:tc>
          <w:tcPr>
            <w:tcW w:type="dxa" w:w="1234"/>
          </w:tcPr>
          <w:p>
            <w:r>
              <w:t>Cycle-level macro-F1.</w:t>
            </w:r>
          </w:p>
        </w:tc>
        <w:tc>
          <w:tcPr>
            <w:tcW w:type="dxa" w:w="1234"/>
          </w:tcPr>
          <w:p>
            <w:r>
              <w:t>Primary endpoint.</w:t>
            </w:r>
          </w:p>
        </w:tc>
        <w:tc>
          <w:tcPr>
            <w:tcW w:type="dxa" w:w="1234"/>
          </w:tcPr>
          <w:p>
            <w:r>
              <w:t>Table 1b diagonal and Fig. 2a.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Regime 2. Protocol-condition transfer LOSO</w:t>
            </w:r>
          </w:p>
        </w:tc>
        <w:tc>
          <w:tcPr>
            <w:tcW w:type="dxa" w:w="1234"/>
          </w:tcPr>
          <w:p>
            <w:r>
              <w:t>Train/test split: train on one protocol condition and test on another; leave one subject out.</w:t>
            </w:r>
          </w:p>
        </w:tc>
        <w:tc>
          <w:tcPr>
            <w:tcW w:type="dxa" w:w="1234"/>
          </w:tcPr>
          <w:p>
            <w:r>
              <w:t>No held-out-subject labels.</w:t>
            </w:r>
          </w:p>
        </w:tc>
        <w:tc>
          <w:tcPr>
            <w:tcW w:type="dxa" w:w="1234"/>
          </w:tcPr>
          <w:p>
            <w:r>
              <w:t>Cycle-level macro-F1, with cycle×phase sensitivity readout.</w:t>
            </w:r>
          </w:p>
        </w:tc>
        <w:tc>
          <w:tcPr>
            <w:tcW w:type="dxa" w:w="1234"/>
          </w:tcPr>
          <w:p>
            <w:r>
              <w:t>Primary transfer endpoint plus secondary context.</w:t>
            </w:r>
          </w:p>
        </w:tc>
        <w:tc>
          <w:tcPr>
            <w:tcW w:type="dxa" w:w="1234"/>
          </w:tcPr>
          <w:p>
            <w:r>
              <w:t>Table 1b off-diagonal and Fig. 2a-b.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Regime 3. Known-condition reference normalization</w:t>
            </w:r>
          </w:p>
        </w:tc>
        <w:tc>
          <w:tcPr>
            <w:tcW w:type="dxa" w:w="1234"/>
          </w:tcPr>
          <w:p>
            <w:r>
              <w:t>Train/test split: same LOSO transfer cells as Regime 2.</w:t>
            </w:r>
          </w:p>
        </w:tc>
        <w:tc>
          <w:tcPr>
            <w:tcW w:type="dxa" w:w="1234"/>
          </w:tcPr>
          <w:p>
            <w:r>
              <w:t>Protocol-condition label only; no held-out suit-state labels.</w:t>
            </w:r>
          </w:p>
        </w:tc>
        <w:tc>
          <w:tcPr>
            <w:tcW w:type="dxa" w:w="1234"/>
          </w:tcPr>
          <w:p>
            <w:r>
              <w:t>Cycle×phase Δ macro-F1 and off-diagonal/diagonal ratio.</w:t>
            </w:r>
          </w:p>
        </w:tc>
        <w:tc>
          <w:tcPr>
            <w:tcW w:type="dxa" w:w="1234"/>
          </w:tcPr>
          <w:p>
            <w:r>
              <w:t>Secondary calibration readout.</w:t>
            </w:r>
          </w:p>
        </w:tc>
        <w:tc>
          <w:tcPr>
            <w:tcW w:type="dxa" w:w="1234"/>
          </w:tcPr>
          <w:p>
            <w:r>
              <w:t>Fig. 2c-d.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Regime 4. Offline pooled subject-window normalization</w:t>
            </w:r>
          </w:p>
        </w:tc>
        <w:tc>
          <w:tcPr>
            <w:tcW w:type="dxa" w:w="1234"/>
          </w:tcPr>
          <w:p>
            <w:r>
              <w:t>Train/test split: same LOSO transfer cells as Regime 2.</w:t>
            </w:r>
          </w:p>
        </w:tc>
        <w:tc>
          <w:tcPr>
            <w:tcW w:type="dxa" w:w="1234"/>
          </w:tcPr>
          <w:p>
            <w:r>
              <w:t>First four unlabeled cycles per test file/condition, pooled across files by held-out subject × condition.</w:t>
            </w:r>
          </w:p>
        </w:tc>
        <w:tc>
          <w:tcPr>
            <w:tcW w:type="dxa" w:w="1234"/>
          </w:tcPr>
          <w:p>
            <w:r>
              <w:t>Cycle×phase macro-F1 on remaining cycles.</w:t>
            </w:r>
          </w:p>
        </w:tc>
        <w:tc>
          <w:tcPr>
            <w:tcW w:type="dxa" w:w="1234"/>
          </w:tcPr>
          <w:p>
            <w:r>
              <w:t>Offline reference normalization sensitivity analysis.</w:t>
            </w:r>
          </w:p>
        </w:tc>
        <w:tc>
          <w:tcPr>
            <w:tcW w:type="dxa" w:w="1234"/>
          </w:tcPr>
          <w:p>
            <w:r>
              <w:t>Fig. 3a.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Regime 5. Small-label post-hoc calibration</w:t>
            </w:r>
          </w:p>
        </w:tc>
        <w:tc>
          <w:tcPr>
            <w:tcW w:type="dxa" w:w="1234"/>
          </w:tcPr>
          <w:p>
            <w:r>
              <w:t>Train/test split: leave-one-protocol-condition-out under LOSO.</w:t>
            </w:r>
          </w:p>
        </w:tc>
        <w:tc>
          <w:tcPr>
            <w:tcW w:type="dxa" w:w="1234"/>
          </w:tcPr>
          <w:p>
            <w:r>
              <w:t>Small labeled cycle budget, reported as phase-label-equivalent units.</w:t>
            </w:r>
          </w:p>
        </w:tc>
        <w:tc>
          <w:tcPr>
            <w:tcW w:type="dxa" w:w="1234"/>
          </w:tcPr>
          <w:p>
            <w:r>
              <w:t>Cycle×phase macro-F1.</w:t>
            </w:r>
          </w:p>
        </w:tc>
        <w:tc>
          <w:tcPr>
            <w:tcW w:type="dxa" w:w="1234"/>
          </w:tcPr>
          <w:p>
            <w:r>
              <w:t>Secondary characterization only.</w:t>
            </w:r>
          </w:p>
        </w:tc>
        <w:tc>
          <w:tcPr>
            <w:tcW w:type="dxa" w:w="1234"/>
          </w:tcPr>
          <w:p>
            <w:r>
              <w:t>Fig. 3b.</w:t>
            </w:r>
          </w:p>
        </w:tc>
        <w:tc>
          <w:tcPr>
            <w:tcW w:type="dxa" w:w="1234"/>
          </w:tcPr>
          <w:p>
            <w:r/>
          </w:p>
        </w:tc>
      </w:tr>
    </w:tbl>
    <w:p/>
    <w:p>
      <w:pPr>
        <w:pStyle w:val="Heading2"/>
      </w:pPr>
      <w:r>
        <w:t>Table A2. Protocol-condition metadata.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Protocol condition</w:t>
            </w:r>
          </w:p>
        </w:tc>
        <w:tc>
          <w:tcPr>
            <w:tcW w:type="dxa" w:w="2160"/>
          </w:tcPr>
          <w:p>
            <w:r>
              <w:t>Platform</w:t>
            </w:r>
          </w:p>
        </w:tc>
        <w:tc>
          <w:tcPr>
            <w:tcW w:type="dxa" w:w="2160"/>
          </w:tcPr>
          <w:p>
            <w:r>
              <w:t>Speed definition</w:t>
            </w:r>
          </w:p>
        </w:tc>
        <w:tc>
          <w:tcPr>
            <w:tcW w:type="dxa" w:w="2160"/>
          </w:tcPr>
          <w:p>
            <w:r>
              <w:t>Mean speed</w:t>
            </w:r>
          </w:p>
        </w:tc>
      </w:tr>
      <w:tr>
        <w:tc>
          <w:tcPr>
            <w:tcW w:type="dxa" w:w="2160"/>
          </w:tcPr>
          <w:p>
            <w:r>
              <w:t>Level</w:t>
            </w:r>
          </w:p>
        </w:tc>
        <w:tc>
          <w:tcPr>
            <w:tcW w:type="dxa" w:w="2160"/>
          </w:tcPr>
          <w:p>
            <w:r>
              <w:t>Treadmill</w:t>
            </w:r>
          </w:p>
        </w:tc>
        <w:tc>
          <w:tcPr>
            <w:tcW w:type="dxa" w:w="2160"/>
          </w:tcPr>
          <w:p>
            <w:r>
              <w:t>Fixed (treadmill)</w:t>
            </w:r>
          </w:p>
        </w:tc>
        <w:tc>
          <w:tcPr>
            <w:tcW w:type="dxa" w:w="2160"/>
          </w:tcPr>
          <w:p>
            <w:r>
              <w:t>0.83 m/s</w:t>
            </w:r>
          </w:p>
        </w:tc>
      </w:tr>
      <w:tr>
        <w:tc>
          <w:tcPr>
            <w:tcW w:type="dxa" w:w="2160"/>
          </w:tcPr>
          <w:p>
            <w:r>
              <w:t>Slope (18°)</w:t>
            </w:r>
          </w:p>
        </w:tc>
        <w:tc>
          <w:tcPr>
            <w:tcW w:type="dxa" w:w="2160"/>
          </w:tcPr>
          <w:p>
            <w:r>
              <w:t>25 m walkway, 50 m round trip</w:t>
            </w:r>
          </w:p>
        </w:tc>
        <w:tc>
          <w:tcPr>
            <w:tcW w:type="dxa" w:w="2160"/>
          </w:tcPr>
          <w:p>
            <w:r>
              <w:t>Self-selected</w:t>
            </w:r>
          </w:p>
        </w:tc>
        <w:tc>
          <w:tcPr>
            <w:tcW w:type="dxa" w:w="2160"/>
          </w:tcPr>
          <w:p>
            <w:r>
              <w:t>0.227 ± 0.016 m/s (trial mean)</w:t>
            </w:r>
          </w:p>
        </w:tc>
      </w:tr>
      <w:tr>
        <w:tc>
          <w:tcPr>
            <w:tcW w:type="dxa" w:w="2160"/>
          </w:tcPr>
          <w:p>
            <w:r>
              <w:t>Stairs</w:t>
            </w:r>
          </w:p>
        </w:tc>
        <w:tc>
          <w:tcPr>
            <w:tcW w:type="dxa" w:w="2160"/>
          </w:tcPr>
          <w:p>
            <w:r>
              <w:t>Egojin Highclimb stepmill (step height 21 cm)</w:t>
            </w:r>
          </w:p>
        </w:tc>
        <w:tc>
          <w:tcPr>
            <w:tcW w:type="dxa" w:w="2160"/>
          </w:tcPr>
          <w:p>
            <w:r>
              <w:t>Fixed (machine)</w:t>
            </w:r>
          </w:p>
        </w:tc>
        <w:tc>
          <w:tcPr>
            <w:tcW w:type="dxa" w:w="2160"/>
          </w:tcPr>
          <w:p>
            <w:r>
              <w:t>0.54 m/s</w:t>
            </w:r>
          </w:p>
        </w:tc>
      </w:tr>
    </w:tbl>
    <w:p/>
    <w:p>
      <w:pPr>
        <w:pStyle w:val="Heading2"/>
      </w:pPr>
      <w:r>
        <w:t>Table A3. Feature-block definitions.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Block</w:t>
            </w:r>
          </w:p>
        </w:tc>
        <w:tc>
          <w:tcPr>
            <w:tcW w:type="dxa" w:w="2160"/>
          </w:tcPr>
          <w:p>
            <w:r>
              <w:t>Features</w:t>
            </w:r>
          </w:p>
        </w:tc>
        <w:tc>
          <w:tcPr>
            <w:tcW w:type="dxa" w:w="2160"/>
          </w:tcPr>
          <w:p>
            <w:r>
              <w:t>Signal</w:t>
            </w:r>
          </w:p>
        </w:tc>
        <w:tc>
          <w:tcPr>
            <w:tcW w:type="dxa" w:w="2160"/>
          </w:tcPr>
          <w:p>
            <w:r>
              <w:t>Parameters / Notes</w:t>
            </w:r>
          </w:p>
        </w:tc>
      </w:tr>
      <w:tr>
        <w:tc>
          <w:tcPr>
            <w:tcW w:type="dxa" w:w="2160"/>
          </w:tcPr>
          <w:p>
            <w:r>
              <w:t>Time (6)</w:t>
            </w:r>
          </w:p>
        </w:tc>
        <w:tc>
          <w:tcPr>
            <w:tcW w:type="dxa" w:w="2160"/>
          </w:tcPr>
          <w:p>
            <w:r>
              <w:t>RMS, MAV, WL, ZCR, SSC, variance</w:t>
            </w:r>
          </w:p>
        </w:tc>
        <w:tc>
          <w:tcPr>
            <w:tcW w:type="dxa" w:w="2160"/>
          </w:tcPr>
          <w:p>
            <w:r>
              <w:t>env (RMS/MAV/variance), bp (WL/ZCR/SSC)</w:t>
            </w:r>
          </w:p>
        </w:tc>
        <w:tc>
          <w:tcPr>
            <w:tcW w:type="dxa" w:w="2160"/>
          </w:tcPr>
          <w:p>
            <w:r>
              <w:t>ZCR/SSC use sign-change logic; no epsilon threshold</w:t>
            </w:r>
          </w:p>
        </w:tc>
      </w:tr>
      <w:tr>
        <w:tc>
          <w:tcPr>
            <w:tcW w:type="dxa" w:w="2160"/>
          </w:tcPr>
          <w:p>
            <w:r>
              <w:t>Frequency (5)</w:t>
            </w:r>
          </w:p>
        </w:tc>
        <w:tc>
          <w:tcPr>
            <w:tcW w:type="dxa" w:w="2160"/>
          </w:tcPr>
          <w:p>
            <w:r>
              <w:t>MNF, MDF, relative BP(20–50), relative BP(50–100), relative BP(100–200)</w:t>
            </w:r>
          </w:p>
        </w:tc>
        <w:tc>
          <w:tcPr>
            <w:tcW w:type="dxa" w:w="2160"/>
          </w:tcPr>
          <w:p>
            <w:r>
              <w:t>bp PSD (Welch)</w:t>
            </w:r>
          </w:p>
        </w:tc>
        <w:tc>
          <w:tcPr>
            <w:tcW w:type="dxa" w:w="2160"/>
          </w:tcPr>
          <w:p>
            <w:r>
              <w:t>nperseg = min(L,1024); normalized by 20–450 Hz integral</w:t>
            </w:r>
          </w:p>
        </w:tc>
      </w:tr>
      <w:tr>
        <w:tc>
          <w:tcPr>
            <w:tcW w:type="dxa" w:w="2160"/>
          </w:tcPr>
          <w:p>
            <w:r>
              <w:t>Wavelet (7)</w:t>
            </w:r>
          </w:p>
        </w:tc>
        <w:tc>
          <w:tcPr>
            <w:tcW w:type="dxa" w:w="2160"/>
          </w:tcPr>
          <w:p>
            <w:r>
              <w:t>3 wavelet-energy terms + 3 wavelet-entropy terms + 1 cross-wavelet ratio term</w:t>
            </w:r>
          </w:p>
        </w:tc>
        <w:tc>
          <w:tcPr>
            <w:tcW w:type="dxa" w:w="2160"/>
          </w:tcPr>
          <w:p>
            <w:r>
              <w:t>bp</w:t>
            </w:r>
          </w:p>
        </w:tc>
        <w:tc>
          <w:tcPr>
            <w:tcW w:type="dxa" w:w="2160"/>
          </w:tcPr>
          <w:p>
            <w:r>
              <w:t>Fixed 3-wavelet ensemble and fixed level-5 setting in this benchmark configuration</w:t>
            </w:r>
          </w:p>
        </w:tc>
      </w:tr>
      <w:tr>
        <w:tc>
          <w:tcPr>
            <w:tcW w:type="dxa" w:w="2160"/>
          </w:tcPr>
          <w:p>
            <w:r>
              <w:t>Nonlinear NL10 (10)</w:t>
            </w:r>
          </w:p>
        </w:tc>
        <w:tc>
          <w:tcPr>
            <w:tcW w:type="dxa" w:w="2160"/>
          </w:tcPr>
          <w:p>
            <w:r>
              <w:t>SampEn, ApEn, PermEn, Higuchi FD, Katz FD, Hurst, RQA-RR, RQA-DET, RQA-LAM, largest Lyapunov exponent</w:t>
            </w:r>
          </w:p>
        </w:tc>
        <w:tc>
          <w:tcPr>
            <w:tcW w:type="dxa" w:w="2160"/>
          </w:tcPr>
          <w:p>
            <w:r>
              <w:t>phase segment</w:t>
            </w:r>
          </w:p>
        </w:tc>
        <w:tc>
          <w:tcPr>
            <w:tcW w:type="dxa" w:w="2160"/>
          </w:tcPr>
          <w:p>
            <w:r>
              <w:t>Short segments (&lt;50 samples) are NaN and excluded in F28 analyses</w:t>
            </w:r>
          </w:p>
        </w:tc>
      </w:tr>
    </w:tbl>
    <w:p>
      <w:r>
        <w:t>Supplementary Note | Descriptive cable-path geometry under the anchor convention</w:t>
      </w:r>
    </w:p>
    <w:p>
      <w:r>
        <w:t>As a non-identifying design descriptor, the cable path between the upper and lower body-surface anchor regions can be described as a function of hip angle θ under an anatomical-reference configuration. This descriptor was used only to document the intended change in cable-path geometry with hip flexion/extension and was not used to estimate delivered joint torque, cable tension, assistance magnitude, ground-reaction force, or subject-specific joint kinetics.</w:t>
      </w:r>
    </w:p>
    <w:p>
      <w:r>
        <w:t>l(θ) = sqrt([a1 cos(θ + θ0) + b1]^2 + [a2 cos(θ) + b2]^2)</w:t>
      </w:r>
    </w:p>
    <w:p>
      <w:r>
        <w:t>h(θ) = a1 sin(θ + θ0) + a2 sin(θ)</w:t>
      </w:r>
    </w:p>
    <w:p>
      <w:r>
        <w:t>where θ is the hip angle, θ0 is the initial hip-angle offset, l(θ) is the descriptive distance between the upper and lower body-surface anchor regions, and h(θ) is the descriptive vertical component from the hip reference to the anchor-defined cable path.</w:t>
      </w:r>
    </w:p>
    <w:p>
      <w:r>
        <w:t>These equations are descriptive design-rationale expressions only. They were not used as predictors, labels, normalization factors, or scoring inputs in the recognition benchmark.</w:t>
      </w:r>
    </w:p>
    <w:p>
      <w:r>
        <w:t>Full evaluation-regime definitions used in the main manuscript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