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BFA49" w14:textId="0BA175C1" w:rsidR="00A41726" w:rsidRDefault="00F82349" w:rsidP="00A41726">
      <w:pPr>
        <w:spacing w:line="480" w:lineRule="auto"/>
        <w:jc w:val="center"/>
        <w:rPr>
          <w:rFonts w:cs="Times New Roman"/>
          <w:b/>
          <w:bCs/>
          <w:lang w:val="en-US"/>
        </w:rPr>
      </w:pPr>
      <w:r>
        <w:rPr>
          <w:b/>
          <w:bCs/>
          <w:lang w:val="en-CA"/>
        </w:rPr>
        <w:t>S</w:t>
      </w:r>
      <w:r w:rsidR="00A41726">
        <w:rPr>
          <w:b/>
          <w:bCs/>
          <w:lang w:val="en-CA"/>
        </w:rPr>
        <w:t>upplementary materials for “</w:t>
      </w:r>
      <w:r w:rsidR="008E5322" w:rsidRPr="008E5322">
        <w:rPr>
          <w:rFonts w:cs="Times New Roman"/>
          <w:b/>
          <w:bCs/>
          <w:lang w:val="en-US"/>
        </w:rPr>
        <w:t>Improving the spatial measurement of conflict exposure for population health research: Comparing kernel density estimation against conventional approaches in Mali</w:t>
      </w:r>
      <w:r w:rsidR="00A41726">
        <w:rPr>
          <w:rFonts w:cs="Times New Roman"/>
          <w:b/>
          <w:bCs/>
          <w:lang w:val="en-US"/>
        </w:rPr>
        <w:t>”</w:t>
      </w:r>
    </w:p>
    <w:p w14:paraId="2D5DA128" w14:textId="77777777" w:rsidR="00A41726" w:rsidRDefault="00A41726" w:rsidP="00A41726">
      <w:pPr>
        <w:spacing w:line="480" w:lineRule="auto"/>
        <w:jc w:val="center"/>
        <w:rPr>
          <w:rFonts w:cs="Times New Roman"/>
          <w:b/>
          <w:bCs/>
          <w:lang w:val="en-US"/>
        </w:rPr>
      </w:pPr>
    </w:p>
    <w:p w14:paraId="7BFC3ED0" w14:textId="77777777" w:rsidR="00A41726" w:rsidRPr="00E44871" w:rsidRDefault="00A41726" w:rsidP="00A41726">
      <w:pPr>
        <w:spacing w:line="480" w:lineRule="auto"/>
        <w:jc w:val="center"/>
        <w:rPr>
          <w:rFonts w:cs="Times New Roman"/>
          <w:lang w:val="en-US"/>
        </w:rPr>
      </w:pPr>
      <w:r w:rsidRPr="21A6F948">
        <w:rPr>
          <w:rFonts w:cs="Times New Roman"/>
          <w:lang w:val="en-US"/>
        </w:rPr>
        <w:t>Mariame O. Ouédraogo</w:t>
      </w:r>
      <w:r w:rsidRPr="0004120D">
        <w:rPr>
          <w:rFonts w:cs="Times New Roman"/>
          <w:vertAlign w:val="superscript"/>
          <w:lang w:val="en-US"/>
        </w:rPr>
        <w:t>1</w:t>
      </w:r>
      <w:r w:rsidRPr="21A6F948">
        <w:rPr>
          <w:rFonts w:cs="Times New Roman"/>
          <w:lang w:val="en-US"/>
        </w:rPr>
        <w:t>, Peter Macharia</w:t>
      </w:r>
      <w:r>
        <w:rPr>
          <w:rFonts w:cs="Times New Roman"/>
          <w:vertAlign w:val="superscript"/>
          <w:lang w:val="en-US"/>
        </w:rPr>
        <w:t>2</w:t>
      </w:r>
      <w:r w:rsidRPr="0004120D">
        <w:rPr>
          <w:rFonts w:cs="Times New Roman"/>
          <w:vertAlign w:val="superscript"/>
          <w:lang w:val="en-US"/>
        </w:rPr>
        <w:t xml:space="preserve">, </w:t>
      </w:r>
      <w:r>
        <w:rPr>
          <w:rFonts w:cs="Times New Roman"/>
          <w:vertAlign w:val="superscript"/>
          <w:lang w:val="en-US"/>
        </w:rPr>
        <w:t>3</w:t>
      </w:r>
      <w:r w:rsidRPr="21A6F948">
        <w:rPr>
          <w:rFonts w:cs="Times New Roman"/>
          <w:lang w:val="en-US"/>
        </w:rPr>
        <w:t>, Birama A. Ly</w:t>
      </w:r>
      <w:r w:rsidRPr="00244061">
        <w:rPr>
          <w:rFonts w:cs="Times New Roman"/>
          <w:vertAlign w:val="superscript"/>
          <w:lang w:val="en-US"/>
        </w:rPr>
        <w:t>4, 5</w:t>
      </w:r>
      <w:r w:rsidRPr="21A6F948">
        <w:rPr>
          <w:rFonts w:cs="Times New Roman"/>
          <w:lang w:val="en-US"/>
        </w:rPr>
        <w:t>, Hamidou Niangaly</w:t>
      </w:r>
      <w:r>
        <w:rPr>
          <w:rFonts w:cs="Times New Roman"/>
          <w:vertAlign w:val="superscript"/>
          <w:lang w:val="en-US"/>
        </w:rPr>
        <w:t>6</w:t>
      </w:r>
      <w:r w:rsidRPr="21A6F948">
        <w:rPr>
          <w:rFonts w:cs="Times New Roman"/>
          <w:lang w:val="en-US"/>
        </w:rPr>
        <w:t>, Rokia Sissoko</w:t>
      </w:r>
      <w:r w:rsidRPr="00532F4D">
        <w:rPr>
          <w:rFonts w:cs="Times New Roman"/>
          <w:vertAlign w:val="superscript"/>
          <w:lang w:val="en-US"/>
        </w:rPr>
        <w:t>7</w:t>
      </w:r>
      <w:r w:rsidRPr="21A6F948">
        <w:rPr>
          <w:rFonts w:cs="Times New Roman"/>
          <w:lang w:val="en-US"/>
        </w:rPr>
        <w:t>, Léa Dao</w:t>
      </w:r>
      <w:r w:rsidRPr="00532F4D">
        <w:rPr>
          <w:rFonts w:cs="Times New Roman"/>
          <w:vertAlign w:val="superscript"/>
          <w:lang w:val="en-US"/>
        </w:rPr>
        <w:t>8</w:t>
      </w:r>
      <w:r w:rsidRPr="21A6F948">
        <w:rPr>
          <w:rFonts w:cs="Times New Roman"/>
          <w:lang w:val="en-US"/>
        </w:rPr>
        <w:t>, Aboubakary Konaté</w:t>
      </w:r>
      <w:r w:rsidRPr="00532F4D">
        <w:rPr>
          <w:rFonts w:cs="Times New Roman"/>
          <w:vertAlign w:val="superscript"/>
          <w:lang w:val="en-US"/>
        </w:rPr>
        <w:t>9</w:t>
      </w:r>
      <w:r w:rsidRPr="21A6F948">
        <w:rPr>
          <w:rFonts w:cs="Times New Roman"/>
          <w:lang w:val="en-US"/>
        </w:rPr>
        <w:t>, Erjia Ge</w:t>
      </w:r>
      <w:r w:rsidRPr="003D5A63">
        <w:rPr>
          <w:rFonts w:cs="Times New Roman"/>
          <w:vertAlign w:val="superscript"/>
          <w:lang w:val="en-US"/>
        </w:rPr>
        <w:t>1</w:t>
      </w:r>
      <w:r w:rsidRPr="21A6F948">
        <w:rPr>
          <w:rFonts w:cs="Times New Roman"/>
          <w:lang w:val="en-US"/>
        </w:rPr>
        <w:t>, Hilary K. Brown</w:t>
      </w:r>
      <w:r w:rsidRPr="00532F4D">
        <w:rPr>
          <w:rFonts w:cs="Times New Roman"/>
          <w:vertAlign w:val="superscript"/>
          <w:lang w:val="en-US"/>
        </w:rPr>
        <w:t>1,10*</w:t>
      </w:r>
      <w:r w:rsidRPr="21A6F948">
        <w:rPr>
          <w:rFonts w:cs="Times New Roman"/>
          <w:lang w:val="en-US"/>
        </w:rPr>
        <w:t>, Diego G. Bassani</w:t>
      </w:r>
      <w:r w:rsidRPr="00532F4D">
        <w:rPr>
          <w:rFonts w:cs="Times New Roman"/>
          <w:vertAlign w:val="superscript"/>
          <w:lang w:val="en-US"/>
        </w:rPr>
        <w:t>1,11*</w:t>
      </w:r>
    </w:p>
    <w:p w14:paraId="1702B61D" w14:textId="77777777" w:rsidR="00A41726" w:rsidRDefault="00A41726" w:rsidP="00A41726">
      <w:pPr>
        <w:spacing w:line="480" w:lineRule="auto"/>
        <w:rPr>
          <w:rFonts w:cs="Times New Roman"/>
          <w:b/>
          <w:bCs/>
          <w:highlight w:val="yellow"/>
          <w:lang w:val="en-US"/>
        </w:rPr>
      </w:pPr>
    </w:p>
    <w:p w14:paraId="5E113673" w14:textId="77777777" w:rsidR="00A41726" w:rsidRDefault="00A41726" w:rsidP="00A41726">
      <w:pPr>
        <w:pStyle w:val="ListParagraph"/>
        <w:numPr>
          <w:ilvl w:val="0"/>
          <w:numId w:val="1"/>
        </w:numPr>
        <w:spacing w:line="480" w:lineRule="auto"/>
        <w:rPr>
          <w:rFonts w:cs="Times New Roman"/>
          <w:lang w:val="en-US"/>
        </w:rPr>
      </w:pPr>
      <w:r w:rsidRPr="00F449AF">
        <w:rPr>
          <w:rFonts w:cs="Times New Roman"/>
          <w:lang w:val="en-US"/>
        </w:rPr>
        <w:t>Dalla Lana School of Public Health, University of Toronto, Toronto, Ontario, Canada</w:t>
      </w:r>
    </w:p>
    <w:p w14:paraId="5562B14B" w14:textId="77777777" w:rsidR="00A41726" w:rsidRDefault="00A41726" w:rsidP="00A41726">
      <w:pPr>
        <w:pStyle w:val="ListParagraph"/>
        <w:numPr>
          <w:ilvl w:val="0"/>
          <w:numId w:val="1"/>
        </w:numPr>
        <w:spacing w:line="480" w:lineRule="auto"/>
        <w:rPr>
          <w:rFonts w:cs="Times New Roman"/>
          <w:lang w:val="en-US"/>
        </w:rPr>
      </w:pPr>
      <w:r w:rsidRPr="00A27687">
        <w:rPr>
          <w:rFonts w:cs="Times New Roman"/>
          <w:lang w:val="en-US"/>
        </w:rPr>
        <w:t>Department of Public Health, Institute of Tropical Medicine, Antwerp, Belgium</w:t>
      </w:r>
    </w:p>
    <w:p w14:paraId="46386A14" w14:textId="77777777" w:rsidR="00A41726" w:rsidRDefault="00A41726" w:rsidP="00A41726">
      <w:pPr>
        <w:pStyle w:val="ListParagraph"/>
        <w:numPr>
          <w:ilvl w:val="0"/>
          <w:numId w:val="1"/>
        </w:numPr>
        <w:spacing w:line="480" w:lineRule="auto"/>
        <w:rPr>
          <w:rFonts w:cs="Times New Roman"/>
          <w:lang w:val="en-US"/>
        </w:rPr>
      </w:pPr>
      <w:r w:rsidRPr="00A27687">
        <w:rPr>
          <w:rFonts w:cs="Times New Roman"/>
          <w:lang w:val="en-US"/>
        </w:rPr>
        <w:t>Population and Health Impact Surveillance Group, Kenya Medical Research Institute-Wellcome Trust Research Programme, Nairobi, Kenya</w:t>
      </w:r>
    </w:p>
    <w:p w14:paraId="7D4A6751" w14:textId="77777777" w:rsidR="00A41726" w:rsidRDefault="00A41726" w:rsidP="00A41726">
      <w:pPr>
        <w:pStyle w:val="ListParagraph"/>
        <w:numPr>
          <w:ilvl w:val="0"/>
          <w:numId w:val="1"/>
        </w:numPr>
        <w:spacing w:line="480" w:lineRule="auto"/>
        <w:rPr>
          <w:rFonts w:cs="Times New Roman"/>
          <w:lang w:val="fr-CA"/>
        </w:rPr>
      </w:pPr>
      <w:r w:rsidRPr="00105B1A">
        <w:rPr>
          <w:rFonts w:cs="Times New Roman"/>
          <w:lang w:val="fr-CA"/>
        </w:rPr>
        <w:t>Faculté de Médecine et</w:t>
      </w:r>
      <w:r>
        <w:rPr>
          <w:rFonts w:cs="Times New Roman"/>
          <w:lang w:val="fr-CA"/>
        </w:rPr>
        <w:t xml:space="preserve"> </w:t>
      </w:r>
      <w:r w:rsidRPr="00105B1A">
        <w:rPr>
          <w:rFonts w:cs="Times New Roman"/>
          <w:lang w:val="fr-CA"/>
        </w:rPr>
        <w:t>d'Odontostomatologie de l'Université des Sciences, des Techniques et des</w:t>
      </w:r>
      <w:r>
        <w:rPr>
          <w:rFonts w:cs="Times New Roman"/>
          <w:lang w:val="fr-CA"/>
        </w:rPr>
        <w:t xml:space="preserve"> </w:t>
      </w:r>
      <w:r w:rsidRPr="00105B1A">
        <w:rPr>
          <w:rFonts w:cs="Times New Roman"/>
          <w:lang w:val="fr-CA"/>
        </w:rPr>
        <w:t>Technologies de Bamako, Bamako, Mali</w:t>
      </w:r>
    </w:p>
    <w:p w14:paraId="2A6A7767" w14:textId="77777777" w:rsidR="00A41726" w:rsidRDefault="00A41726" w:rsidP="00A41726">
      <w:pPr>
        <w:pStyle w:val="ListParagraph"/>
        <w:numPr>
          <w:ilvl w:val="0"/>
          <w:numId w:val="1"/>
        </w:numPr>
        <w:spacing w:line="480" w:lineRule="auto"/>
        <w:rPr>
          <w:rFonts w:cs="Times New Roman"/>
          <w:lang w:val="fr-CA"/>
        </w:rPr>
      </w:pPr>
      <w:r w:rsidRPr="00105B1A">
        <w:rPr>
          <w:rFonts w:cs="Times New Roman"/>
          <w:lang w:val="fr-CA"/>
        </w:rPr>
        <w:t>Centre d'Analyse et de Recherche de l'Espace Sahélo-Saharien Modibo GOITA</w:t>
      </w:r>
      <w:r>
        <w:rPr>
          <w:rFonts w:cs="Times New Roman"/>
          <w:lang w:val="fr-CA"/>
        </w:rPr>
        <w:t xml:space="preserve"> </w:t>
      </w:r>
      <w:r w:rsidRPr="00105B1A">
        <w:rPr>
          <w:rFonts w:cs="Times New Roman"/>
          <w:lang w:val="fr-CA"/>
        </w:rPr>
        <w:t>de l'École de Maintien de la Paix Alioune Blondin BEYE, Bamako,</w:t>
      </w:r>
      <w:r>
        <w:rPr>
          <w:rFonts w:cs="Times New Roman"/>
          <w:lang w:val="fr-CA"/>
        </w:rPr>
        <w:t xml:space="preserve"> </w:t>
      </w:r>
      <w:r w:rsidRPr="00105B1A">
        <w:rPr>
          <w:rFonts w:cs="Times New Roman"/>
          <w:lang w:val="fr-CA"/>
        </w:rPr>
        <w:t>Mali</w:t>
      </w:r>
    </w:p>
    <w:p w14:paraId="51737053" w14:textId="51E5B1AE" w:rsidR="00A41726" w:rsidRDefault="00A41726" w:rsidP="00A41726">
      <w:pPr>
        <w:pStyle w:val="ListParagraph"/>
        <w:numPr>
          <w:ilvl w:val="0"/>
          <w:numId w:val="1"/>
        </w:numPr>
        <w:spacing w:line="480" w:lineRule="auto"/>
        <w:rPr>
          <w:rFonts w:cs="Times New Roman"/>
          <w:lang w:val="fr-CA"/>
        </w:rPr>
      </w:pPr>
      <w:r w:rsidRPr="00105B1A">
        <w:rPr>
          <w:rFonts w:cs="Times New Roman"/>
          <w:lang w:val="fr-CA"/>
        </w:rPr>
        <w:t xml:space="preserve">Département </w:t>
      </w:r>
      <w:r w:rsidR="008361F4">
        <w:rPr>
          <w:rFonts w:cs="Times New Roman"/>
          <w:lang w:val="fr-CA"/>
        </w:rPr>
        <w:t>Études</w:t>
      </w:r>
      <w:r w:rsidRPr="00105B1A">
        <w:rPr>
          <w:rFonts w:cs="Times New Roman"/>
          <w:lang w:val="fr-CA"/>
        </w:rPr>
        <w:t xml:space="preserve"> et </w:t>
      </w:r>
      <w:r w:rsidR="008361F4">
        <w:rPr>
          <w:rFonts w:cs="Times New Roman"/>
          <w:lang w:val="fr-CA"/>
        </w:rPr>
        <w:t>Recherches</w:t>
      </w:r>
      <w:r w:rsidRPr="00105B1A">
        <w:rPr>
          <w:rFonts w:cs="Times New Roman"/>
          <w:lang w:val="fr-CA"/>
        </w:rPr>
        <w:t>, Institut National de la</w:t>
      </w:r>
      <w:r>
        <w:rPr>
          <w:rFonts w:cs="Times New Roman"/>
          <w:lang w:val="fr-CA"/>
        </w:rPr>
        <w:t xml:space="preserve"> </w:t>
      </w:r>
      <w:r w:rsidRPr="00105B1A">
        <w:rPr>
          <w:rFonts w:cs="Times New Roman"/>
          <w:lang w:val="fr-CA"/>
        </w:rPr>
        <w:t>Santé Publique, Bamako, Mali</w:t>
      </w:r>
    </w:p>
    <w:p w14:paraId="54A90C0C" w14:textId="77777777" w:rsidR="00A41726" w:rsidRDefault="00A41726" w:rsidP="00A41726">
      <w:pPr>
        <w:pStyle w:val="ListParagraph"/>
        <w:numPr>
          <w:ilvl w:val="0"/>
          <w:numId w:val="1"/>
        </w:numPr>
        <w:spacing w:line="480" w:lineRule="auto"/>
        <w:rPr>
          <w:rFonts w:cs="Times New Roman"/>
          <w:lang w:val="en-CA"/>
        </w:rPr>
      </w:pPr>
      <w:r w:rsidRPr="00105B1A">
        <w:rPr>
          <w:rFonts w:cs="Times New Roman"/>
          <w:lang w:val="en-CA"/>
        </w:rPr>
        <w:t>Independent Public Health and Development Consultant</w:t>
      </w:r>
      <w:r>
        <w:rPr>
          <w:rFonts w:cs="Times New Roman"/>
          <w:lang w:val="en-CA"/>
        </w:rPr>
        <w:t>, Dakar, Senegal</w:t>
      </w:r>
    </w:p>
    <w:p w14:paraId="744017C6" w14:textId="3B42FEB6" w:rsidR="00A41726" w:rsidRPr="00AB4696" w:rsidRDefault="00AB4696" w:rsidP="00A41726">
      <w:pPr>
        <w:pStyle w:val="ListParagraph"/>
        <w:numPr>
          <w:ilvl w:val="0"/>
          <w:numId w:val="1"/>
        </w:numPr>
        <w:spacing w:line="480" w:lineRule="auto"/>
        <w:rPr>
          <w:rFonts w:cs="Times New Roman"/>
          <w:lang w:val="fr-CA"/>
        </w:rPr>
      </w:pPr>
      <w:r w:rsidRPr="00AB4696">
        <w:rPr>
          <w:rFonts w:cs="Times New Roman"/>
          <w:lang w:val="fr-CA"/>
        </w:rPr>
        <w:t>Cluster Sant</w:t>
      </w:r>
      <w:r w:rsidRPr="00105B1A">
        <w:rPr>
          <w:rFonts w:cs="Times New Roman"/>
          <w:lang w:val="fr-CA"/>
        </w:rPr>
        <w:t>é</w:t>
      </w:r>
      <w:r w:rsidRPr="00AB4696">
        <w:rPr>
          <w:rFonts w:cs="Times New Roman"/>
          <w:lang w:val="fr-CA"/>
        </w:rPr>
        <w:t>, Organisation Mondiale de la Sant</w:t>
      </w:r>
      <w:r w:rsidRPr="00105B1A">
        <w:rPr>
          <w:rFonts w:cs="Times New Roman"/>
          <w:lang w:val="fr-CA"/>
        </w:rPr>
        <w:t>é</w:t>
      </w:r>
      <w:r w:rsidR="00A41726" w:rsidRPr="00AB4696">
        <w:rPr>
          <w:rFonts w:cs="Times New Roman"/>
          <w:lang w:val="fr-CA"/>
        </w:rPr>
        <w:t>, Bamako, Mali</w:t>
      </w:r>
    </w:p>
    <w:p w14:paraId="59DD0AF4" w14:textId="77777777" w:rsidR="00A41726" w:rsidRDefault="00A41726" w:rsidP="00A41726">
      <w:pPr>
        <w:pStyle w:val="ListParagraph"/>
        <w:numPr>
          <w:ilvl w:val="0"/>
          <w:numId w:val="1"/>
        </w:numPr>
        <w:spacing w:line="480" w:lineRule="auto"/>
        <w:rPr>
          <w:rFonts w:cs="Times New Roman"/>
          <w:lang w:val="fr-CA"/>
        </w:rPr>
      </w:pPr>
      <w:r w:rsidRPr="005C01B8">
        <w:rPr>
          <w:rFonts w:cs="Times New Roman"/>
          <w:lang w:val="fr-CA"/>
        </w:rPr>
        <w:t>Office National de la Santé de la Reproduction</w:t>
      </w:r>
      <w:r>
        <w:rPr>
          <w:rFonts w:cs="Times New Roman"/>
          <w:lang w:val="fr-CA"/>
        </w:rPr>
        <w:t>, Bamako, Mali</w:t>
      </w:r>
    </w:p>
    <w:p w14:paraId="0FFA0E95" w14:textId="77777777" w:rsidR="00A41726" w:rsidRDefault="00A41726" w:rsidP="00A41726">
      <w:pPr>
        <w:pStyle w:val="ListParagraph"/>
        <w:numPr>
          <w:ilvl w:val="0"/>
          <w:numId w:val="1"/>
        </w:numPr>
        <w:spacing w:line="480" w:lineRule="auto"/>
        <w:rPr>
          <w:rFonts w:cs="Times New Roman"/>
          <w:lang w:val="en-CA"/>
        </w:rPr>
      </w:pPr>
      <w:r w:rsidRPr="0099443F">
        <w:rPr>
          <w:rFonts w:cs="Times New Roman"/>
          <w:lang w:val="en-CA"/>
        </w:rPr>
        <w:t>Department of Health and Society, University of Toronto Scarborough, Canada</w:t>
      </w:r>
    </w:p>
    <w:p w14:paraId="45D4D5A4" w14:textId="7375853A" w:rsidR="00A41726" w:rsidRPr="008C69F9" w:rsidRDefault="008C69F9" w:rsidP="008C69F9">
      <w:pPr>
        <w:pStyle w:val="ListParagraph"/>
        <w:numPr>
          <w:ilvl w:val="0"/>
          <w:numId w:val="1"/>
        </w:numPr>
        <w:spacing w:line="480" w:lineRule="auto"/>
        <w:rPr>
          <w:rFonts w:cs="Times New Roman"/>
          <w:lang w:val="en-CA"/>
        </w:rPr>
      </w:pPr>
      <w:r w:rsidRPr="00EC6110">
        <w:rPr>
          <w:rFonts w:cs="Times New Roman"/>
          <w:lang w:val="en-CA"/>
        </w:rPr>
        <w:t>Department of Paediatrics, University of Toronto, Toronto</w:t>
      </w:r>
      <w:r>
        <w:rPr>
          <w:rFonts w:cs="Times New Roman"/>
          <w:lang w:val="en-CA"/>
        </w:rPr>
        <w:t>, Canada</w:t>
      </w:r>
    </w:p>
    <w:p w14:paraId="65487BAA" w14:textId="77777777" w:rsidR="00A41726" w:rsidRDefault="00A41726">
      <w:pPr>
        <w:rPr>
          <w:b/>
          <w:bCs/>
          <w:lang w:val="en-CA"/>
        </w:rPr>
      </w:pPr>
    </w:p>
    <w:p w14:paraId="7766EA40" w14:textId="77777777" w:rsidR="00A41726" w:rsidRDefault="00A41726">
      <w:pPr>
        <w:rPr>
          <w:b/>
          <w:bCs/>
          <w:lang w:val="en-CA"/>
        </w:rPr>
      </w:pPr>
    </w:p>
    <w:p w14:paraId="4EA6D555" w14:textId="77777777" w:rsidR="008C69F9" w:rsidRDefault="008C69F9">
      <w:pPr>
        <w:rPr>
          <w:b/>
          <w:bCs/>
          <w:lang w:val="en-CA"/>
        </w:rPr>
      </w:pPr>
    </w:p>
    <w:p w14:paraId="0E2BAB0E" w14:textId="77777777" w:rsidR="00A41726" w:rsidRDefault="00A41726">
      <w:pPr>
        <w:rPr>
          <w:b/>
          <w:bCs/>
          <w:lang w:val="en-CA"/>
        </w:rPr>
      </w:pPr>
    </w:p>
    <w:p w14:paraId="153508C0" w14:textId="77777777" w:rsidR="00D47E1D" w:rsidRDefault="00D47E1D">
      <w:pPr>
        <w:rPr>
          <w:b/>
          <w:bCs/>
          <w:lang w:val="en-CA"/>
        </w:rPr>
      </w:pPr>
    </w:p>
    <w:p w14:paraId="664BC3E1" w14:textId="77777777" w:rsidR="00D47E1D" w:rsidRDefault="00D47E1D">
      <w:pPr>
        <w:rPr>
          <w:b/>
          <w:bCs/>
          <w:lang w:val="en-CA"/>
        </w:rPr>
      </w:pPr>
    </w:p>
    <w:p w14:paraId="17C81D28" w14:textId="2E9D5ED4" w:rsidR="00A41726" w:rsidRDefault="00A41726">
      <w:pPr>
        <w:rPr>
          <w:b/>
          <w:bCs/>
          <w:lang w:val="en-CA"/>
        </w:rPr>
      </w:pPr>
      <w:r>
        <w:rPr>
          <w:b/>
          <w:bCs/>
          <w:lang w:val="en-CA"/>
        </w:rPr>
        <w:t>Introduction</w:t>
      </w:r>
    </w:p>
    <w:p w14:paraId="02E640CD" w14:textId="77777777" w:rsidR="00A41726" w:rsidRDefault="00A41726">
      <w:pPr>
        <w:rPr>
          <w:b/>
          <w:bCs/>
          <w:lang w:val="en-CA"/>
        </w:rPr>
      </w:pPr>
    </w:p>
    <w:p w14:paraId="04F52934" w14:textId="3A39B9A8" w:rsidR="00A41726" w:rsidRDefault="00A41726" w:rsidP="00A41726">
      <w:pPr>
        <w:spacing w:line="480" w:lineRule="auto"/>
        <w:rPr>
          <w:lang w:val="en-CA"/>
        </w:rPr>
      </w:pPr>
      <w:r w:rsidRPr="00A41726">
        <w:rPr>
          <w:lang w:val="en-CA"/>
        </w:rPr>
        <w:t>These supplementary materials accompany the main paper. Here, we offer further details of the methods section, along with additional figures and tables.</w:t>
      </w:r>
    </w:p>
    <w:p w14:paraId="0BE0228C" w14:textId="77777777" w:rsidR="00FF346B" w:rsidRDefault="00FF346B" w:rsidP="00A41726">
      <w:pPr>
        <w:spacing w:line="480" w:lineRule="auto"/>
        <w:rPr>
          <w:lang w:val="en-CA"/>
        </w:rPr>
      </w:pPr>
    </w:p>
    <w:p w14:paraId="00DE8AD1" w14:textId="2343FFF7" w:rsidR="00D00BD9" w:rsidRDefault="00FF346B" w:rsidP="0075283E">
      <w:pPr>
        <w:spacing w:line="480" w:lineRule="auto"/>
        <w:rPr>
          <w:b/>
          <w:bCs/>
          <w:lang w:val="en-CA"/>
        </w:rPr>
      </w:pPr>
      <w:r w:rsidRPr="00FF346B">
        <w:rPr>
          <w:b/>
          <w:bCs/>
          <w:lang w:val="en-CA"/>
        </w:rPr>
        <w:t>Section 1: Setting</w:t>
      </w:r>
    </w:p>
    <w:p w14:paraId="241F973A" w14:textId="4DA28A1B" w:rsidR="00ED4CA6" w:rsidRDefault="0075283E">
      <w:pPr>
        <w:rPr>
          <w:b/>
          <w:bCs/>
          <w:lang w:val="en-CA"/>
        </w:rPr>
      </w:pPr>
      <w:r>
        <w:rPr>
          <w:b/>
          <w:bCs/>
          <w:noProof/>
          <w:lang w:val="en-CA"/>
        </w:rPr>
        <w:drawing>
          <wp:inline distT="0" distB="0" distL="0" distR="0" wp14:anchorId="6F9907F2" wp14:editId="6090B57A">
            <wp:extent cx="6494668" cy="4831874"/>
            <wp:effectExtent l="0" t="0" r="0" b="0"/>
            <wp:docPr id="1480025408" name="Picture 1" descr="A map of the state of mal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25408" name="Picture 1" descr="A map of the state of mali&#10;&#10;AI-generated content may be incorrect."/>
                    <pic:cNvPicPr/>
                  </pic:nvPicPr>
                  <pic:blipFill rotWithShape="1">
                    <a:blip r:embed="rId6">
                      <a:extLst>
                        <a:ext uri="{28A0092B-C50C-407E-A947-70E740481C1C}">
                          <a14:useLocalDpi xmlns:a14="http://schemas.microsoft.com/office/drawing/2010/main" val="0"/>
                        </a:ext>
                      </a:extLst>
                    </a:blip>
                    <a:srcRect l="17197" r="18325"/>
                    <a:stretch>
                      <a:fillRect/>
                    </a:stretch>
                  </pic:blipFill>
                  <pic:spPr bwMode="auto">
                    <a:xfrm>
                      <a:off x="0" y="0"/>
                      <a:ext cx="6525777" cy="4855018"/>
                    </a:xfrm>
                    <a:prstGeom prst="rect">
                      <a:avLst/>
                    </a:prstGeom>
                    <a:ln>
                      <a:noFill/>
                    </a:ln>
                    <a:extLst>
                      <a:ext uri="{53640926-AAD7-44D8-BBD7-CCE9431645EC}">
                        <a14:shadowObscured xmlns:a14="http://schemas.microsoft.com/office/drawing/2010/main"/>
                      </a:ext>
                    </a:extLst>
                  </pic:spPr>
                </pic:pic>
              </a:graphicData>
            </a:graphic>
          </wp:inline>
        </w:drawing>
      </w:r>
    </w:p>
    <w:p w14:paraId="77CE069B" w14:textId="77777777" w:rsidR="00ED4CA6" w:rsidRDefault="00ED4CA6">
      <w:pPr>
        <w:rPr>
          <w:b/>
          <w:bCs/>
          <w:lang w:val="en-CA"/>
        </w:rPr>
      </w:pPr>
    </w:p>
    <w:p w14:paraId="69E177F8" w14:textId="4227B786" w:rsidR="00D00BD9" w:rsidRDefault="00D00BD9">
      <w:pPr>
        <w:rPr>
          <w:b/>
          <w:bCs/>
          <w:lang w:val="en-CA"/>
        </w:rPr>
      </w:pPr>
      <w:r>
        <w:rPr>
          <w:b/>
          <w:bCs/>
          <w:lang w:val="en-CA"/>
        </w:rPr>
        <w:t xml:space="preserve">Figure S1. </w:t>
      </w:r>
      <w:r w:rsidRPr="00ED4CA6">
        <w:rPr>
          <w:lang w:val="en-CA"/>
        </w:rPr>
        <w:t>Map of Mali</w:t>
      </w:r>
      <w:r w:rsidR="00E870EE" w:rsidRPr="00ED4CA6">
        <w:rPr>
          <w:lang w:val="en-CA"/>
        </w:rPr>
        <w:t>’s community health centres, health districts, and region</w:t>
      </w:r>
      <w:r w:rsidR="00ED4CA6" w:rsidRPr="00ED4CA6">
        <w:rPr>
          <w:lang w:val="en-CA"/>
        </w:rPr>
        <w:t>s</w:t>
      </w:r>
    </w:p>
    <w:p w14:paraId="3C659837" w14:textId="77777777" w:rsidR="00D00BD9" w:rsidRDefault="00D00BD9">
      <w:pPr>
        <w:rPr>
          <w:b/>
          <w:bCs/>
          <w:lang w:val="en-CA"/>
        </w:rPr>
      </w:pPr>
    </w:p>
    <w:p w14:paraId="695E4FE6" w14:textId="77777777" w:rsidR="00D00BD9" w:rsidRDefault="00D00BD9">
      <w:pPr>
        <w:rPr>
          <w:b/>
          <w:bCs/>
          <w:lang w:val="en-CA"/>
        </w:rPr>
      </w:pPr>
    </w:p>
    <w:p w14:paraId="4E7D7F2E" w14:textId="77777777" w:rsidR="00D00BD9" w:rsidRDefault="00D00BD9">
      <w:pPr>
        <w:rPr>
          <w:b/>
          <w:bCs/>
          <w:lang w:val="en-CA"/>
        </w:rPr>
      </w:pPr>
    </w:p>
    <w:p w14:paraId="1FA11C9A" w14:textId="77777777" w:rsidR="0075283E" w:rsidRDefault="0075283E">
      <w:pPr>
        <w:rPr>
          <w:b/>
          <w:bCs/>
          <w:lang w:val="en-CA"/>
        </w:rPr>
      </w:pPr>
    </w:p>
    <w:p w14:paraId="767FF1F9" w14:textId="77777777" w:rsidR="0075283E" w:rsidRDefault="0075283E">
      <w:pPr>
        <w:rPr>
          <w:b/>
          <w:bCs/>
          <w:lang w:val="en-CA"/>
        </w:rPr>
      </w:pPr>
    </w:p>
    <w:p w14:paraId="43CB1857" w14:textId="77777777" w:rsidR="0075283E" w:rsidRDefault="0075283E">
      <w:pPr>
        <w:rPr>
          <w:b/>
          <w:bCs/>
          <w:lang w:val="en-CA"/>
        </w:rPr>
      </w:pPr>
    </w:p>
    <w:p w14:paraId="601D024C" w14:textId="77777777" w:rsidR="0075283E" w:rsidRDefault="0075283E">
      <w:pPr>
        <w:rPr>
          <w:b/>
          <w:bCs/>
          <w:lang w:val="en-CA"/>
        </w:rPr>
      </w:pPr>
    </w:p>
    <w:p w14:paraId="5A9CF150" w14:textId="6171A6E8" w:rsidR="003F4761" w:rsidRPr="00A41726" w:rsidRDefault="003F4761">
      <w:pPr>
        <w:rPr>
          <w:b/>
          <w:bCs/>
          <w:lang w:val="en-CA"/>
        </w:rPr>
      </w:pPr>
      <w:r w:rsidRPr="00A41726">
        <w:rPr>
          <w:b/>
          <w:bCs/>
          <w:lang w:val="en-CA"/>
        </w:rPr>
        <w:t xml:space="preserve">Section </w:t>
      </w:r>
      <w:r w:rsidR="0075283E">
        <w:rPr>
          <w:b/>
          <w:bCs/>
          <w:lang w:val="en-CA"/>
        </w:rPr>
        <w:t>2</w:t>
      </w:r>
      <w:r w:rsidRPr="00A41726">
        <w:rPr>
          <w:b/>
          <w:bCs/>
          <w:lang w:val="en-CA"/>
        </w:rPr>
        <w:t xml:space="preserve">: </w:t>
      </w:r>
      <w:r w:rsidR="00A41726" w:rsidRPr="00A41726">
        <w:rPr>
          <w:b/>
          <w:bCs/>
          <w:lang w:val="en-CA"/>
        </w:rPr>
        <w:t>Merging of a</w:t>
      </w:r>
      <w:r w:rsidRPr="00A41726">
        <w:rPr>
          <w:b/>
          <w:bCs/>
          <w:lang w:val="en-CA"/>
        </w:rPr>
        <w:t>rmed conflict datasets</w:t>
      </w:r>
      <w:r w:rsidR="00D21FDB" w:rsidRPr="00A41726">
        <w:rPr>
          <w:b/>
          <w:bCs/>
          <w:lang w:val="en-CA"/>
        </w:rPr>
        <w:t xml:space="preserve"> </w:t>
      </w:r>
    </w:p>
    <w:p w14:paraId="1BE221E5" w14:textId="77777777" w:rsidR="003F4761" w:rsidRDefault="003F4761">
      <w:pPr>
        <w:rPr>
          <w:lang w:val="en-CA"/>
        </w:rPr>
      </w:pPr>
    </w:p>
    <w:p w14:paraId="3AC3751B" w14:textId="30A5EE45" w:rsidR="003F4761" w:rsidRDefault="003F4761" w:rsidP="003F4761">
      <w:pPr>
        <w:spacing w:line="480" w:lineRule="auto"/>
        <w:rPr>
          <w:rFonts w:cs="Times New Roman"/>
          <w:lang w:val="en-US"/>
        </w:rPr>
      </w:pPr>
      <w:r>
        <w:rPr>
          <w:lang w:val="en-CA"/>
        </w:rPr>
        <w:t xml:space="preserve">To carry out this work, we </w:t>
      </w:r>
      <w:r w:rsidRPr="252873E8">
        <w:rPr>
          <w:rFonts w:cs="Times New Roman"/>
          <w:lang w:val="en-US"/>
        </w:rPr>
        <w:t>relied on publicly available georeferenced data on armed conflict events. The Armed Conflict Location Event Data (ACLED)</w:t>
      </w:r>
      <w:r w:rsidR="00893503">
        <w:rPr>
          <w:rFonts w:cs="Times New Roman"/>
          <w:lang w:val="en-US"/>
        </w:rPr>
        <w:t xml:space="preserve"> </w:t>
      </w:r>
      <w:sdt>
        <w:sdtPr>
          <w:rPr>
            <w:rFonts w:cs="Times New Roman"/>
            <w:color w:val="000000"/>
            <w:lang w:val="en-US"/>
          </w:rPr>
          <w:tag w:val="MENDELEY_CITATION_v3_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"/>
          <w:id w:val="33398861"/>
          <w:placeholder>
            <w:docPart w:val="DefaultPlaceholder_-1854013440"/>
          </w:placeholder>
        </w:sdtPr>
        <w:sdtContent>
          <w:r w:rsidR="00730D86" w:rsidRPr="00730D86">
            <w:rPr>
              <w:rFonts w:cs="Times New Roman"/>
              <w:color w:val="000000"/>
              <w:lang w:val="en-US"/>
            </w:rPr>
            <w:t>[1, 2]</w:t>
          </w:r>
        </w:sdtContent>
      </w:sdt>
      <w:r w:rsidR="00893503">
        <w:rPr>
          <w:rFonts w:cs="Times New Roman"/>
          <w:lang w:val="en-US"/>
        </w:rPr>
        <w:t xml:space="preserve"> </w:t>
      </w:r>
      <w:r w:rsidRPr="252873E8">
        <w:rPr>
          <w:rFonts w:cs="Times New Roman"/>
          <w:lang w:val="en-US"/>
        </w:rPr>
        <w:t xml:space="preserve">and the Uppsala Conflict Data Program (UCDP) </w:t>
      </w:r>
      <w:sdt>
        <w:sdtPr>
          <w:rPr>
            <w:rFonts w:cs="Times New Roman"/>
            <w:color w:val="000000"/>
            <w:lang w:val="en-US"/>
          </w:rPr>
          <w:tag w:val="MENDELEY_CITATION_v3_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"/>
          <w:id w:val="-1284495441"/>
          <w:placeholder>
            <w:docPart w:val="991A3CE5C0D6FB45849EACD058F400B7"/>
          </w:placeholder>
        </w:sdtPr>
        <w:sdtContent>
          <w:r w:rsidR="00730D86" w:rsidRPr="00730D86">
            <w:rPr>
              <w:rFonts w:cs="Times New Roman"/>
              <w:color w:val="000000"/>
              <w:lang w:val="en-US"/>
            </w:rPr>
            <w:t>[3, 4]</w:t>
          </w:r>
        </w:sdtContent>
      </w:sdt>
      <w:r w:rsidRPr="252873E8">
        <w:rPr>
          <w:rFonts w:cs="Times New Roman"/>
          <w:lang w:val="en-US"/>
        </w:rPr>
        <w:t xml:space="preserve"> are </w:t>
      </w:r>
      <w:r>
        <w:rPr>
          <w:rFonts w:cs="Times New Roman"/>
          <w:lang w:val="en-US"/>
        </w:rPr>
        <w:t xml:space="preserve">global references for </w:t>
      </w:r>
      <w:r w:rsidRPr="252873E8">
        <w:rPr>
          <w:rFonts w:cs="Times New Roman"/>
          <w:lang w:val="en-US"/>
        </w:rPr>
        <w:t xml:space="preserve">conflict data. </w:t>
      </w:r>
      <w:r w:rsidR="00D21FDB" w:rsidRPr="252873E8">
        <w:rPr>
          <w:rFonts w:cs="Times New Roman"/>
          <w:lang w:val="en-US"/>
        </w:rPr>
        <w:t>Both databases record conflict events from a wide range of sources, including traditional and new media, reports from international institutions and non-governmental organizations, as well as research articles and books. Additionally, they rely on their networks of local partners to facilitate the real-time transmission of conflict-related information.</w:t>
      </w:r>
    </w:p>
    <w:p w14:paraId="777051F7" w14:textId="77777777" w:rsidR="003F4761" w:rsidRDefault="003F4761" w:rsidP="003F4761">
      <w:pPr>
        <w:spacing w:line="480" w:lineRule="auto"/>
        <w:rPr>
          <w:rFonts w:cs="Times New Roman"/>
          <w:lang w:val="en-US"/>
        </w:rPr>
      </w:pPr>
    </w:p>
    <w:p w14:paraId="08CD898A" w14:textId="02ABB7A6" w:rsidR="003F4761" w:rsidRDefault="003F4761" w:rsidP="003F4761">
      <w:pPr>
        <w:spacing w:line="480" w:lineRule="auto"/>
        <w:rPr>
          <w:rFonts w:cs="Times New Roman"/>
          <w:lang w:val="en-US"/>
        </w:rPr>
      </w:pPr>
      <w:bookmarkStart w:id="0" w:name="OLE_LINK6"/>
      <w:r w:rsidRPr="00C40E48">
        <w:rPr>
          <w:rFonts w:cs="Times New Roman"/>
          <w:lang w:val="en-US"/>
        </w:rPr>
        <w:t xml:space="preserve">The UCDP adopts </w:t>
      </w:r>
      <w:r w:rsidRPr="00007074">
        <w:rPr>
          <w:rFonts w:cs="Times New Roman"/>
          <w:lang w:val="en-US"/>
        </w:rPr>
        <w:t>a strict</w:t>
      </w:r>
      <w:r w:rsidRPr="00C40E48">
        <w:rPr>
          <w:rFonts w:cs="Times New Roman"/>
          <w:lang w:val="en-US"/>
        </w:rPr>
        <w:t xml:space="preserve"> definition of armed conflict</w:t>
      </w:r>
      <w:r w:rsidRPr="00007074">
        <w:rPr>
          <w:rFonts w:cs="Times New Roman"/>
          <w:lang w:val="en-US"/>
        </w:rPr>
        <w:t xml:space="preserve">, </w:t>
      </w:r>
      <w:r>
        <w:rPr>
          <w:rFonts w:cs="Times New Roman"/>
          <w:lang w:val="en-US"/>
        </w:rPr>
        <w:t>requiring</w:t>
      </w:r>
      <w:r w:rsidRPr="00007074">
        <w:rPr>
          <w:rFonts w:cs="Times New Roman"/>
          <w:lang w:val="en-US"/>
        </w:rPr>
        <w:t xml:space="preserve"> 25 deaths annually to be included in the dataset. </w:t>
      </w:r>
      <w:r>
        <w:rPr>
          <w:rFonts w:cs="Times New Roman"/>
          <w:lang w:val="en-US"/>
        </w:rPr>
        <w:t xml:space="preserve">Recorded </w:t>
      </w:r>
      <w:r w:rsidRPr="00007074">
        <w:rPr>
          <w:rFonts w:cs="Times New Roman"/>
          <w:lang w:val="en-US"/>
        </w:rPr>
        <w:t xml:space="preserve">events are those that resulted in at least one fatality. </w:t>
      </w:r>
      <w:bookmarkEnd w:id="0"/>
      <w:r w:rsidRPr="00C40E48">
        <w:rPr>
          <w:rFonts w:cs="Times New Roman"/>
          <w:lang w:val="en-US"/>
        </w:rPr>
        <w:t>In contrast</w:t>
      </w:r>
      <w:r w:rsidRPr="4B141E56">
        <w:rPr>
          <w:rFonts w:cs="Times New Roman"/>
          <w:lang w:val="en-US"/>
        </w:rPr>
        <w:t xml:space="preserve">, ACLED has a broader scope, capturing instances of political violence, explosions, riots, and protests. It also includes events that did not lead to fatalities, which is particularly relevant as some armed perpetrators purposefully terrorize populations, without killing them </w:t>
      </w:r>
      <w:sdt>
        <w:sdtPr>
          <w:rPr>
            <w:rFonts w:cs="Times New Roman"/>
            <w:color w:val="000000"/>
            <w:lang w:val="en-US"/>
          </w:rPr>
          <w:tag w:val="MENDELEY_CITATION_v3_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"/>
          <w:id w:val="-1947136987"/>
          <w:placeholder>
            <w:docPart w:val="991A3CE5C0D6FB45849EACD058F400B7"/>
          </w:placeholder>
        </w:sdtPr>
        <w:sdtContent>
          <w:r w:rsidR="00730D86" w:rsidRPr="00730D86">
            <w:rPr>
              <w:rFonts w:cs="Times New Roman"/>
              <w:color w:val="000000"/>
              <w:lang w:val="en-US"/>
            </w:rPr>
            <w:t>[5]</w:t>
          </w:r>
        </w:sdtContent>
      </w:sdt>
      <w:r w:rsidRPr="4B141E56">
        <w:rPr>
          <w:rFonts w:cs="Times New Roman"/>
          <w:lang w:val="en-US"/>
        </w:rPr>
        <w:t>. For this study, we combined both datasets to include conflict events regardless of whether casualties occurred.</w:t>
      </w:r>
      <w:r>
        <w:rPr>
          <w:rFonts w:cs="Times New Roman"/>
          <w:lang w:val="en-US"/>
        </w:rPr>
        <w:t xml:space="preserve"> </w:t>
      </w:r>
      <w:r w:rsidRPr="4B141E56">
        <w:rPr>
          <w:rFonts w:cs="Times New Roman"/>
          <w:lang w:val="en-US"/>
        </w:rPr>
        <w:t xml:space="preserve">In line with the UCPD’s definition of an armed conflict, across both data sources, we captured the following categories of events: (1) state-based conflict events (i.e., events between two parties, of which one is the government of the state), (2) non-state conflict events (i.e., events between two organized groups, neither of which is the government of the state), and (3) one-sided violent events (i.e., use of force by the government of the state or a formally organized group against civilians). A formally organized group is defined as a group with an announced name. </w:t>
      </w:r>
    </w:p>
    <w:p w14:paraId="6DD7ADB3" w14:textId="77777777" w:rsidR="00625DF8" w:rsidRDefault="00625DF8" w:rsidP="003F4761">
      <w:pPr>
        <w:spacing w:line="480" w:lineRule="auto"/>
        <w:rPr>
          <w:rFonts w:cs="Times New Roman"/>
          <w:lang w:val="en-US"/>
        </w:rPr>
      </w:pPr>
    </w:p>
    <w:p w14:paraId="5022349F" w14:textId="72F48295" w:rsidR="003F4761" w:rsidRDefault="003F4761" w:rsidP="003F4761">
      <w:pPr>
        <w:spacing w:line="480" w:lineRule="auto"/>
        <w:rPr>
          <w:rFonts w:cs="Times New Roman"/>
          <w:lang w:val="en-US"/>
        </w:rPr>
      </w:pPr>
      <w:r w:rsidRPr="63E893FD">
        <w:rPr>
          <w:rFonts w:cs="Times New Roman"/>
          <w:lang w:val="en-US"/>
        </w:rPr>
        <w:t>To capture the</w:t>
      </w:r>
      <w:r w:rsidR="002A55A8" w:rsidRPr="63E893FD">
        <w:rPr>
          <w:rFonts w:cs="Times New Roman"/>
          <w:lang w:val="en-US"/>
        </w:rPr>
        <w:t xml:space="preserve"> UCDP’s</w:t>
      </w:r>
      <w:r w:rsidRPr="63E893FD">
        <w:rPr>
          <w:rFonts w:cs="Times New Roman"/>
          <w:lang w:val="en-US"/>
        </w:rPr>
        <w:t xml:space="preserve"> event categories in ACLED, </w:t>
      </w:r>
      <w:r w:rsidR="002A55A8" w:rsidRPr="63E893FD">
        <w:rPr>
          <w:rFonts w:cs="Times New Roman"/>
          <w:lang w:val="en-US"/>
        </w:rPr>
        <w:t>we limited the ACLED data to battle-related events (which closely align with UCDP’s definition of state and non-state conflict), targeted explosions and remote violence, and violence against civilians (closely matching UCDP’s one-sided violence definition). W</w:t>
      </w:r>
      <w:r w:rsidRPr="63E893FD">
        <w:rPr>
          <w:rFonts w:cs="Times New Roman"/>
          <w:lang w:val="en-US"/>
        </w:rPr>
        <w:t xml:space="preserve">e removed events labeled as </w:t>
      </w:r>
      <w:r w:rsidRPr="007F6D65">
        <w:rPr>
          <w:rFonts w:cs="Times New Roman"/>
          <w:i/>
          <w:iCs/>
          <w:lang w:val="en-US"/>
        </w:rPr>
        <w:t>riots</w:t>
      </w:r>
      <w:r w:rsidRPr="63E893FD">
        <w:rPr>
          <w:rFonts w:cs="Times New Roman"/>
          <w:lang w:val="en-US"/>
        </w:rPr>
        <w:t xml:space="preserve">, </w:t>
      </w:r>
      <w:r w:rsidRPr="007F6D65">
        <w:rPr>
          <w:rFonts w:cs="Times New Roman"/>
          <w:i/>
          <w:iCs/>
          <w:lang w:val="en-US"/>
        </w:rPr>
        <w:t>protests</w:t>
      </w:r>
      <w:r w:rsidR="007F6D65">
        <w:rPr>
          <w:rFonts w:cs="Times New Roman"/>
          <w:lang w:val="en-US"/>
        </w:rPr>
        <w:t>,</w:t>
      </w:r>
      <w:r w:rsidRPr="63E893FD">
        <w:rPr>
          <w:rFonts w:cs="Times New Roman"/>
          <w:lang w:val="en-US"/>
        </w:rPr>
        <w:t xml:space="preserve"> and </w:t>
      </w:r>
      <w:r w:rsidRPr="007F6D65">
        <w:rPr>
          <w:rFonts w:cs="Times New Roman"/>
          <w:i/>
          <w:iCs/>
          <w:lang w:val="en-US"/>
        </w:rPr>
        <w:t>strategic development</w:t>
      </w:r>
      <w:r w:rsidRPr="63E893FD">
        <w:rPr>
          <w:rFonts w:cs="Times New Roman"/>
          <w:lang w:val="en-US"/>
        </w:rPr>
        <w:t xml:space="preserve"> (more information on these events, including their definitions, can be found on the ACLED website</w:t>
      </w:r>
      <w:r w:rsidR="0002660C" w:rsidRPr="63E893FD">
        <w:rPr>
          <w:rFonts w:cs="Times New Roman"/>
          <w:lang w:val="en-US"/>
        </w:rPr>
        <w:t xml:space="preserve"> </w:t>
      </w:r>
      <w:sdt>
        <w:sdtPr>
          <w:rPr>
            <w:rFonts w:cs="Times New Roman"/>
            <w:color w:val="000000" w:themeColor="text1"/>
            <w:lang w:val="en-US"/>
          </w:rPr>
          <w:tag w:val="MENDELEY_CITATION_v3_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"/>
          <w:id w:val="-1480925402"/>
          <w:placeholder>
            <w:docPart w:val="DefaultPlaceholder_-1854013440"/>
          </w:placeholder>
        </w:sdtPr>
        <w:sdtContent>
          <w:r w:rsidR="00730D86" w:rsidRPr="63E893FD">
            <w:rPr>
              <w:rFonts w:cs="Times New Roman"/>
              <w:color w:val="000000" w:themeColor="text1"/>
              <w:lang w:val="en-US"/>
            </w:rPr>
            <w:t>[6]</w:t>
          </w:r>
        </w:sdtContent>
      </w:sdt>
      <w:r w:rsidR="0002660C" w:rsidRPr="63E893FD">
        <w:rPr>
          <w:rFonts w:cs="Times New Roman"/>
          <w:lang w:val="en-US"/>
        </w:rPr>
        <w:t>)</w:t>
      </w:r>
      <w:r w:rsidRPr="63E893FD">
        <w:rPr>
          <w:rFonts w:cs="Times New Roman"/>
          <w:lang w:val="en-US"/>
        </w:rPr>
        <w:t xml:space="preserve">. We also excluded events involving “unidentified armed groups” as actors, to align as closely as possible with the UCDP's definition of a formally organized group. Based on the event notes provided in the ACLED dataset, it was also determined that these actors belonged to criminal networks or were involved in land or mining disputes, which were not relevant to this study. </w:t>
      </w:r>
    </w:p>
    <w:p w14:paraId="61FF5B4C" w14:textId="77777777" w:rsidR="00625DF8" w:rsidRDefault="00625DF8" w:rsidP="003F4761">
      <w:pPr>
        <w:spacing w:line="480" w:lineRule="auto"/>
        <w:rPr>
          <w:rFonts w:cs="Times New Roman"/>
          <w:lang w:val="en-US"/>
        </w:rPr>
      </w:pPr>
    </w:p>
    <w:p w14:paraId="68940B6B" w14:textId="604A923A" w:rsidR="00265CE3" w:rsidRDefault="00265CE3" w:rsidP="00625DF8">
      <w:pPr>
        <w:spacing w:line="480" w:lineRule="auto"/>
        <w:rPr>
          <w:lang w:val="en-CA"/>
        </w:rPr>
      </w:pPr>
      <w:r>
        <w:rPr>
          <w:lang w:val="en-CA"/>
        </w:rPr>
        <w:t xml:space="preserve">Figure </w:t>
      </w:r>
      <w:r w:rsidR="00625DF8">
        <w:rPr>
          <w:lang w:val="en-CA"/>
        </w:rPr>
        <w:t>S</w:t>
      </w:r>
      <w:r w:rsidR="0075283E">
        <w:rPr>
          <w:lang w:val="en-CA"/>
        </w:rPr>
        <w:t>2</w:t>
      </w:r>
      <w:r>
        <w:rPr>
          <w:lang w:val="en-CA"/>
        </w:rPr>
        <w:t xml:space="preserve"> depicts </w:t>
      </w:r>
      <w:r w:rsidR="00625DF8">
        <w:rPr>
          <w:lang w:val="en-CA"/>
        </w:rPr>
        <w:t>the spatio-temporal distribution of conflict events from 2000 to 2024, while Figure S</w:t>
      </w:r>
      <w:r w:rsidR="0075283E">
        <w:rPr>
          <w:lang w:val="en-CA"/>
        </w:rPr>
        <w:t>3</w:t>
      </w:r>
      <w:r w:rsidR="00625DF8">
        <w:rPr>
          <w:lang w:val="en-CA"/>
        </w:rPr>
        <w:t xml:space="preserve"> shows the trends in the number of fatalities by conflict event types over the same time period. </w:t>
      </w:r>
    </w:p>
    <w:p w14:paraId="589F77EC" w14:textId="77777777" w:rsidR="00543616" w:rsidRDefault="00543616" w:rsidP="00625DF8">
      <w:pPr>
        <w:spacing w:line="480" w:lineRule="auto"/>
        <w:rPr>
          <w:lang w:val="en-CA"/>
        </w:rPr>
      </w:pPr>
    </w:p>
    <w:p w14:paraId="3DAF39C3" w14:textId="77777777" w:rsidR="00543616" w:rsidRDefault="00543616" w:rsidP="00625DF8">
      <w:pPr>
        <w:spacing w:line="480" w:lineRule="auto"/>
        <w:rPr>
          <w:lang w:val="en-CA"/>
        </w:rPr>
      </w:pPr>
    </w:p>
    <w:p w14:paraId="0C3F9ED1" w14:textId="77777777" w:rsidR="00543616" w:rsidRDefault="00543616" w:rsidP="00625DF8">
      <w:pPr>
        <w:spacing w:line="480" w:lineRule="auto"/>
        <w:rPr>
          <w:lang w:val="en-CA"/>
        </w:rPr>
      </w:pPr>
    </w:p>
    <w:p w14:paraId="79576CC3" w14:textId="77777777" w:rsidR="00543616" w:rsidRDefault="00543616" w:rsidP="00625DF8">
      <w:pPr>
        <w:spacing w:line="480" w:lineRule="auto"/>
        <w:rPr>
          <w:lang w:val="en-CA"/>
        </w:rPr>
      </w:pPr>
    </w:p>
    <w:p w14:paraId="1F7218D1" w14:textId="77777777" w:rsidR="00543616" w:rsidRDefault="00543616" w:rsidP="00625DF8">
      <w:pPr>
        <w:spacing w:line="480" w:lineRule="auto"/>
        <w:rPr>
          <w:lang w:val="en-CA"/>
        </w:rPr>
      </w:pPr>
    </w:p>
    <w:p w14:paraId="5BCDD46B" w14:textId="77777777" w:rsidR="00543616" w:rsidRDefault="00543616" w:rsidP="00625DF8">
      <w:pPr>
        <w:spacing w:line="480" w:lineRule="auto"/>
        <w:rPr>
          <w:lang w:val="en-CA"/>
        </w:rPr>
      </w:pPr>
    </w:p>
    <w:p w14:paraId="76AD4AA1" w14:textId="3E9874FE" w:rsidR="00543616" w:rsidRDefault="005D788C" w:rsidP="00625DF8">
      <w:pPr>
        <w:spacing w:line="480" w:lineRule="auto"/>
        <w:rPr>
          <w:lang w:val="en-CA"/>
        </w:rPr>
      </w:pPr>
      <w:r>
        <w:rPr>
          <w:rFonts w:cs="Times New Roman"/>
          <w:b/>
          <w:bCs/>
          <w:noProof/>
          <w:lang w:val="en-US"/>
        </w:rPr>
        <w:lastRenderedPageBreak/>
        <w:drawing>
          <wp:inline distT="0" distB="0" distL="0" distR="0" wp14:anchorId="7FBE9FE2" wp14:editId="697DD297">
            <wp:extent cx="5987483" cy="6239435"/>
            <wp:effectExtent l="0" t="0" r="0" b="0"/>
            <wp:docPr id="752067573" name="Picture 1" descr="A char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67573" name="Picture 1" descr="A chart of a diagram&#10;&#10;AI-generated content may be incorrect."/>
                    <pic:cNvPicPr/>
                  </pic:nvPicPr>
                  <pic:blipFill rotWithShape="1">
                    <a:blip r:embed="rId7">
                      <a:extLst>
                        <a:ext uri="{28A0092B-C50C-407E-A947-70E740481C1C}">
                          <a14:useLocalDpi xmlns:a14="http://schemas.microsoft.com/office/drawing/2010/main" val="0"/>
                        </a:ext>
                      </a:extLst>
                    </a:blip>
                    <a:srcRect l="25378" t="2635" r="24936"/>
                    <a:stretch>
                      <a:fillRect/>
                    </a:stretch>
                  </pic:blipFill>
                  <pic:spPr bwMode="auto">
                    <a:xfrm>
                      <a:off x="0" y="0"/>
                      <a:ext cx="6057536" cy="6312436"/>
                    </a:xfrm>
                    <a:prstGeom prst="rect">
                      <a:avLst/>
                    </a:prstGeom>
                    <a:ln>
                      <a:noFill/>
                    </a:ln>
                    <a:extLst>
                      <a:ext uri="{53640926-AAD7-44D8-BBD7-CCE9431645EC}">
                        <a14:shadowObscured xmlns:a14="http://schemas.microsoft.com/office/drawing/2010/main"/>
                      </a:ext>
                    </a:extLst>
                  </pic:spPr>
                </pic:pic>
              </a:graphicData>
            </a:graphic>
          </wp:inline>
        </w:drawing>
      </w:r>
      <w:r w:rsidR="00543616" w:rsidRPr="00232FE6">
        <w:rPr>
          <w:b/>
          <w:bCs/>
          <w:lang w:val="en-CA"/>
        </w:rPr>
        <w:t>Figure S</w:t>
      </w:r>
      <w:r w:rsidR="0075283E">
        <w:rPr>
          <w:b/>
          <w:bCs/>
          <w:lang w:val="en-CA"/>
        </w:rPr>
        <w:t>2</w:t>
      </w:r>
      <w:r w:rsidR="00543616" w:rsidRPr="00232FE6">
        <w:rPr>
          <w:b/>
          <w:bCs/>
          <w:lang w:val="en-CA"/>
        </w:rPr>
        <w:t>.</w:t>
      </w:r>
      <w:r w:rsidR="00543616">
        <w:rPr>
          <w:lang w:val="en-CA"/>
        </w:rPr>
        <w:t xml:space="preserve"> </w:t>
      </w:r>
      <w:r w:rsidR="00D31714" w:rsidRPr="00F622AD">
        <w:rPr>
          <w:rFonts w:cs="Times New Roman"/>
          <w:lang w:val="en-US"/>
        </w:rPr>
        <w:t>Spatial and temporal distribution of conflict-related events in Mali from 2000 to 2024</w:t>
      </w:r>
    </w:p>
    <w:p w14:paraId="4ACDCEBD" w14:textId="77777777" w:rsidR="00543616" w:rsidRDefault="00543616" w:rsidP="00625DF8">
      <w:pPr>
        <w:spacing w:line="480" w:lineRule="auto"/>
        <w:rPr>
          <w:lang w:val="en-CA"/>
        </w:rPr>
      </w:pPr>
    </w:p>
    <w:p w14:paraId="127377E1" w14:textId="77777777" w:rsidR="00232FE6" w:rsidRDefault="00232FE6" w:rsidP="00625DF8">
      <w:pPr>
        <w:spacing w:line="480" w:lineRule="auto"/>
        <w:rPr>
          <w:lang w:val="en-CA"/>
        </w:rPr>
      </w:pPr>
    </w:p>
    <w:p w14:paraId="6734312A" w14:textId="77777777" w:rsidR="00232FE6" w:rsidRDefault="00232FE6" w:rsidP="00625DF8">
      <w:pPr>
        <w:spacing w:line="480" w:lineRule="auto"/>
        <w:rPr>
          <w:lang w:val="en-CA"/>
        </w:rPr>
      </w:pPr>
    </w:p>
    <w:p w14:paraId="67E3F82A" w14:textId="77777777" w:rsidR="00232FE6" w:rsidRDefault="00232FE6" w:rsidP="00625DF8">
      <w:pPr>
        <w:spacing w:line="480" w:lineRule="auto"/>
        <w:rPr>
          <w:lang w:val="en-CA"/>
        </w:rPr>
      </w:pPr>
    </w:p>
    <w:p w14:paraId="356CC225" w14:textId="02F40D7B" w:rsidR="00232FE6" w:rsidRDefault="004F766A" w:rsidP="00625DF8">
      <w:pPr>
        <w:spacing w:line="480" w:lineRule="auto"/>
        <w:rPr>
          <w:lang w:val="en-CA"/>
        </w:rPr>
      </w:pPr>
      <w:r>
        <w:rPr>
          <w:noProof/>
          <w:lang w:val="en-CA"/>
        </w:rPr>
        <w:lastRenderedPageBreak/>
        <w:drawing>
          <wp:inline distT="0" distB="0" distL="0" distR="0" wp14:anchorId="16051CBC" wp14:editId="122482FF">
            <wp:extent cx="5942922" cy="4132729"/>
            <wp:effectExtent l="0" t="0" r="1270" b="0"/>
            <wp:docPr id="82092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2542" name="Picture 82092542"/>
                    <pic:cNvPicPr/>
                  </pic:nvPicPr>
                  <pic:blipFill rotWithShape="1">
                    <a:blip r:embed="rId8">
                      <a:extLst>
                        <a:ext uri="{28A0092B-C50C-407E-A947-70E740481C1C}">
                          <a14:useLocalDpi xmlns:a14="http://schemas.microsoft.com/office/drawing/2010/main" val="0"/>
                        </a:ext>
                      </a:extLst>
                    </a:blip>
                    <a:srcRect t="3845" b="2863"/>
                    <a:stretch>
                      <a:fillRect/>
                    </a:stretch>
                  </pic:blipFill>
                  <pic:spPr bwMode="auto">
                    <a:xfrm>
                      <a:off x="0" y="0"/>
                      <a:ext cx="5943600" cy="4133201"/>
                    </a:xfrm>
                    <a:prstGeom prst="rect">
                      <a:avLst/>
                    </a:prstGeom>
                    <a:ln>
                      <a:noFill/>
                    </a:ln>
                    <a:extLst>
                      <a:ext uri="{53640926-AAD7-44D8-BBD7-CCE9431645EC}">
                        <a14:shadowObscured xmlns:a14="http://schemas.microsoft.com/office/drawing/2010/main"/>
                      </a:ext>
                    </a:extLst>
                  </pic:spPr>
                </pic:pic>
              </a:graphicData>
            </a:graphic>
          </wp:inline>
        </w:drawing>
      </w:r>
    </w:p>
    <w:p w14:paraId="696F1303" w14:textId="4AA62014" w:rsidR="00625DF8" w:rsidRDefault="00293AE9" w:rsidP="00625DF8">
      <w:pPr>
        <w:spacing w:line="480" w:lineRule="auto"/>
        <w:rPr>
          <w:lang w:val="en-CA"/>
        </w:rPr>
      </w:pPr>
      <w:r w:rsidRPr="13102D63">
        <w:rPr>
          <w:b/>
          <w:bCs/>
          <w:lang w:val="en-CA"/>
        </w:rPr>
        <w:t>Figure S</w:t>
      </w:r>
      <w:r w:rsidR="0075283E" w:rsidRPr="13102D63">
        <w:rPr>
          <w:b/>
          <w:bCs/>
          <w:lang w:val="en-CA"/>
        </w:rPr>
        <w:t>3</w:t>
      </w:r>
      <w:r w:rsidRPr="13102D63">
        <w:rPr>
          <w:b/>
          <w:bCs/>
          <w:lang w:val="en-CA"/>
        </w:rPr>
        <w:t>.</w:t>
      </w:r>
      <w:r w:rsidRPr="13102D63">
        <w:rPr>
          <w:lang w:val="en-CA"/>
        </w:rPr>
        <w:t xml:space="preserve"> Temporal distribution of conflict-related fatalities </w:t>
      </w:r>
      <w:r w:rsidR="00AD6B90" w:rsidRPr="13102D63">
        <w:rPr>
          <w:rFonts w:cs="Times New Roman"/>
          <w:lang w:val="en-US"/>
        </w:rPr>
        <w:t xml:space="preserve">by conflict event type (battles, explosions/remote violence, and violence against civilians) </w:t>
      </w:r>
      <w:r w:rsidRPr="13102D63">
        <w:rPr>
          <w:lang w:val="en-CA"/>
        </w:rPr>
        <w:t xml:space="preserve">in Mali from 2000 to 2024. </w:t>
      </w:r>
    </w:p>
    <w:p w14:paraId="76A934DF" w14:textId="77777777" w:rsidR="003F4761" w:rsidRDefault="003F4761">
      <w:pPr>
        <w:rPr>
          <w:lang w:val="en-CA"/>
        </w:rPr>
      </w:pPr>
    </w:p>
    <w:p w14:paraId="7D49BFAC" w14:textId="77777777" w:rsidR="00AD6B90" w:rsidRDefault="00AD6B90">
      <w:pPr>
        <w:rPr>
          <w:lang w:val="en-CA"/>
        </w:rPr>
      </w:pPr>
    </w:p>
    <w:p w14:paraId="09F5C8FF" w14:textId="77777777" w:rsidR="00AD6B90" w:rsidRDefault="00AD6B90">
      <w:pPr>
        <w:rPr>
          <w:lang w:val="en-CA"/>
        </w:rPr>
      </w:pPr>
    </w:p>
    <w:p w14:paraId="1DCE1228" w14:textId="64B5AC0E" w:rsidR="00D355B3" w:rsidRDefault="003F4761">
      <w:pPr>
        <w:rPr>
          <w:b/>
          <w:bCs/>
          <w:lang w:val="en-CA"/>
        </w:rPr>
      </w:pPr>
      <w:r w:rsidRPr="00A41726">
        <w:rPr>
          <w:b/>
          <w:bCs/>
          <w:lang w:val="en-CA"/>
        </w:rPr>
        <w:t xml:space="preserve">Section </w:t>
      </w:r>
      <w:r w:rsidR="0045149A">
        <w:rPr>
          <w:b/>
          <w:bCs/>
          <w:lang w:val="en-CA"/>
        </w:rPr>
        <w:t>3</w:t>
      </w:r>
      <w:r w:rsidRPr="00A41726">
        <w:rPr>
          <w:b/>
          <w:bCs/>
          <w:lang w:val="en-CA"/>
        </w:rPr>
        <w:t>: Kernel density estimation</w:t>
      </w:r>
      <w:r w:rsidR="007B4B41">
        <w:rPr>
          <w:b/>
          <w:bCs/>
          <w:lang w:val="en-CA"/>
        </w:rPr>
        <w:t xml:space="preserve"> (KDE)</w:t>
      </w:r>
    </w:p>
    <w:p w14:paraId="39E59211" w14:textId="77777777" w:rsidR="00225E9E" w:rsidRDefault="00225E9E">
      <w:pPr>
        <w:rPr>
          <w:b/>
          <w:bCs/>
          <w:lang w:val="en-CA"/>
        </w:rPr>
      </w:pPr>
    </w:p>
    <w:p w14:paraId="7C07A09B" w14:textId="7FF1C862" w:rsidR="00225E9E" w:rsidRPr="00A41726" w:rsidRDefault="002639B9" w:rsidP="00F549BC">
      <w:pPr>
        <w:spacing w:line="480" w:lineRule="auto"/>
        <w:rPr>
          <w:b/>
          <w:bCs/>
          <w:lang w:val="en-CA"/>
        </w:rPr>
      </w:pPr>
      <w:r>
        <w:rPr>
          <w:rFonts w:cs="Times New Roman"/>
          <w:lang w:val="en-CA"/>
        </w:rPr>
        <w:t>KDE is a non-parametric method</w:t>
      </w:r>
      <w:r w:rsidRPr="252873E8">
        <w:rPr>
          <w:rFonts w:cs="Times New Roman"/>
          <w:lang w:val="en-CA"/>
        </w:rPr>
        <w:t xml:space="preserve"> that </w:t>
      </w:r>
      <w:r w:rsidR="00037130">
        <w:rPr>
          <w:rFonts w:cs="Times New Roman"/>
          <w:lang w:val="en-CA"/>
        </w:rPr>
        <w:t>estimates</w:t>
      </w:r>
      <w:r>
        <w:rPr>
          <w:rFonts w:cs="Times New Roman"/>
          <w:lang w:val="en-CA"/>
        </w:rPr>
        <w:t xml:space="preserve"> </w:t>
      </w:r>
      <w:r w:rsidR="00037130">
        <w:rPr>
          <w:rFonts w:cs="Times New Roman"/>
          <w:lang w:val="en-CA"/>
        </w:rPr>
        <w:t>the</w:t>
      </w:r>
      <w:r>
        <w:rPr>
          <w:rFonts w:cs="Times New Roman"/>
          <w:lang w:val="en-CA"/>
        </w:rPr>
        <w:t xml:space="preserve"> underlying probability density function (PDF) </w:t>
      </w:r>
      <w:r>
        <w:rPr>
          <w:rFonts w:ascii="Cambria Math" w:hAnsi="Cambria Math" w:cs="Cambria Math"/>
          <w:lang w:val="en-CA"/>
        </w:rPr>
        <w:t>𝑓</w:t>
      </w:r>
      <w:r>
        <w:rPr>
          <w:rFonts w:cs="Times New Roman"/>
          <w:lang w:val="en-CA"/>
        </w:rPr>
        <w:t xml:space="preserve"> </w:t>
      </w:r>
      <w:r w:rsidR="0002660C">
        <w:rPr>
          <w:rFonts w:cs="Times New Roman"/>
          <w:lang w:val="en-CA"/>
        </w:rPr>
        <w:t>from</w:t>
      </w:r>
      <w:r w:rsidR="001927A9">
        <w:rPr>
          <w:rFonts w:cs="Times New Roman"/>
          <w:lang w:val="en-CA"/>
        </w:rPr>
        <w:t xml:space="preserve"> a sample of random realizations</w:t>
      </w:r>
      <w:r>
        <w:rPr>
          <w:rFonts w:cs="Times New Roman"/>
          <w:lang w:val="en-CA"/>
        </w:rPr>
        <w:t xml:space="preserve"> </w:t>
      </w:r>
      <w:r w:rsidR="00652EB9">
        <w:rPr>
          <w:rFonts w:cs="Times New Roman"/>
          <w:lang w:val="en-CA"/>
        </w:rPr>
        <w:t xml:space="preserve">of the process of interest </w:t>
      </w:r>
      <w:sdt>
        <w:sdtPr>
          <w:rPr>
            <w:rFonts w:cs="Times New Roman"/>
            <w:color w:val="000000"/>
            <w:lang w:val="en-CA"/>
          </w:rPr>
          <w:tag w:val="MENDELEY_CITATION_v3_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"/>
          <w:id w:val="113559558"/>
          <w:placeholder>
            <w:docPart w:val="47FCA6807FE81046B26EBE99395EF9E4"/>
          </w:placeholder>
        </w:sdtPr>
        <w:sdtContent>
          <w:r w:rsidR="00730D86" w:rsidRPr="00730D86">
            <w:rPr>
              <w:rFonts w:cs="Times New Roman"/>
              <w:color w:val="000000"/>
              <w:lang w:val="en-CA"/>
            </w:rPr>
            <w:t>[7, 8]</w:t>
          </w:r>
        </w:sdtContent>
      </w:sdt>
      <w:r w:rsidRPr="00964375">
        <w:rPr>
          <w:rFonts w:cs="Times New Roman"/>
          <w:lang w:val="en-CA"/>
        </w:rPr>
        <w:t>.</w:t>
      </w:r>
      <w:r w:rsidR="00652EB9">
        <w:rPr>
          <w:rFonts w:cs="Times New Roman"/>
          <w:lang w:val="en-CA"/>
        </w:rPr>
        <w:t xml:space="preserve"> </w:t>
      </w:r>
      <w:r w:rsidR="00BA2907">
        <w:rPr>
          <w:rFonts w:cs="Times New Roman"/>
          <w:lang w:val="en-CA"/>
        </w:rPr>
        <w:t xml:space="preserve">To estimate the </w:t>
      </w:r>
      <w:r w:rsidR="00652EB9">
        <w:rPr>
          <w:rFonts w:cs="Times New Roman"/>
          <w:lang w:val="en-CA"/>
        </w:rPr>
        <w:t>PDF</w:t>
      </w:r>
      <w:r w:rsidR="00BA2907">
        <w:rPr>
          <w:rFonts w:cs="Times New Roman"/>
          <w:lang w:val="en-CA"/>
        </w:rPr>
        <w:t xml:space="preserve"> that </w:t>
      </w:r>
      <w:r w:rsidR="00E742BF">
        <w:rPr>
          <w:rFonts w:cs="Times New Roman"/>
          <w:lang w:val="en-CA"/>
        </w:rPr>
        <w:t>reflects the phenomenon of interest, KDE requires</w:t>
      </w:r>
      <w:r w:rsidR="00BB457E">
        <w:rPr>
          <w:rFonts w:cs="Times New Roman"/>
          <w:lang w:val="en-CA"/>
        </w:rPr>
        <w:t xml:space="preserve"> </w:t>
      </w:r>
      <w:r w:rsidR="00E742BF">
        <w:rPr>
          <w:rFonts w:cs="Times New Roman"/>
          <w:lang w:val="en-CA"/>
        </w:rPr>
        <w:t xml:space="preserve">a representative finite sample of events. </w:t>
      </w:r>
      <w:r w:rsidR="00AC1346">
        <w:rPr>
          <w:rFonts w:cs="Times New Roman"/>
          <w:lang w:val="en-CA"/>
        </w:rPr>
        <w:t>By specifying a kernel function</w:t>
      </w:r>
      <w:r w:rsidR="000A1BE8">
        <w:rPr>
          <w:rFonts w:cs="Times New Roman"/>
          <w:lang w:val="en-CA"/>
        </w:rPr>
        <w:t xml:space="preserve"> and a bandwidth, </w:t>
      </w:r>
      <w:r w:rsidR="007067E5">
        <w:rPr>
          <w:rFonts w:cs="Times New Roman"/>
          <w:lang w:val="en-CA"/>
        </w:rPr>
        <w:t xml:space="preserve">KDE computes the contribution of each event and, by summing these contributions across all observations, assigns </w:t>
      </w:r>
      <w:r w:rsidR="000A1BE8">
        <w:rPr>
          <w:rFonts w:cs="Times New Roman"/>
          <w:lang w:val="en-CA"/>
        </w:rPr>
        <w:t>a nonzero density to locations where no events were directly observed, based on their proximity to observed events</w:t>
      </w:r>
      <w:r w:rsidR="00652EB9">
        <w:rPr>
          <w:rFonts w:cs="Times New Roman"/>
          <w:lang w:val="en-CA"/>
        </w:rPr>
        <w:t xml:space="preserve"> </w:t>
      </w:r>
      <w:r w:rsidR="00652EB9" w:rsidRPr="007D666D">
        <w:rPr>
          <w:rFonts w:cs="Times New Roman"/>
          <w:lang w:val="en-CA"/>
        </w:rPr>
        <w:lastRenderedPageBreak/>
        <w:t>(Figure S</w:t>
      </w:r>
      <w:r w:rsidR="00AD6B90" w:rsidRPr="007D666D">
        <w:rPr>
          <w:rFonts w:cs="Times New Roman"/>
          <w:lang w:val="en-CA"/>
        </w:rPr>
        <w:t>3</w:t>
      </w:r>
      <w:r w:rsidR="00652EB9" w:rsidRPr="007D666D">
        <w:rPr>
          <w:rFonts w:cs="Times New Roman"/>
          <w:lang w:val="en-CA"/>
        </w:rPr>
        <w:t>)</w:t>
      </w:r>
      <w:r w:rsidR="000A1BE8" w:rsidRPr="007D666D">
        <w:rPr>
          <w:rFonts w:cs="Times New Roman"/>
          <w:lang w:val="en-CA"/>
        </w:rPr>
        <w:t xml:space="preserve">. </w:t>
      </w:r>
      <w:r w:rsidR="00A8078D" w:rsidRPr="007D666D">
        <w:rPr>
          <w:rFonts w:cs="Times New Roman"/>
          <w:lang w:val="en-CA"/>
        </w:rPr>
        <w:t xml:space="preserve">This </w:t>
      </w:r>
      <w:r w:rsidR="009A0E76" w:rsidRPr="007D666D">
        <w:rPr>
          <w:rFonts w:cs="Times New Roman"/>
          <w:lang w:val="en-CA"/>
        </w:rPr>
        <w:t>approach</w:t>
      </w:r>
      <w:r w:rsidR="009A0E76">
        <w:rPr>
          <w:rFonts w:cs="Times New Roman"/>
          <w:lang w:val="en-CA"/>
        </w:rPr>
        <w:t xml:space="preserve"> </w:t>
      </w:r>
      <w:r w:rsidR="00220EBA">
        <w:rPr>
          <w:rFonts w:cs="Times New Roman"/>
          <w:lang w:val="en-CA"/>
        </w:rPr>
        <w:t xml:space="preserve">helps reduce the influence of location bias and partially </w:t>
      </w:r>
      <w:r w:rsidR="009A0E76">
        <w:rPr>
          <w:rFonts w:cs="Times New Roman"/>
          <w:lang w:val="en-CA"/>
        </w:rPr>
        <w:t xml:space="preserve">accounts for missed events. </w:t>
      </w:r>
    </w:p>
    <w:p w14:paraId="4E36C1D9" w14:textId="0C14F44F" w:rsidR="00225E9E" w:rsidRDefault="007305E6" w:rsidP="003F4761">
      <w:pPr>
        <w:spacing w:line="480" w:lineRule="auto"/>
        <w:rPr>
          <w:rFonts w:eastAsiaTheme="minorEastAsia" w:cs="Times New Roman"/>
          <w:b/>
          <w:bCs/>
          <w:lang w:val="en-CA"/>
        </w:rPr>
      </w:pPr>
      <w:r>
        <w:rPr>
          <w:rFonts w:eastAsiaTheme="minorEastAsia" w:cs="Times New Roman"/>
          <w:b/>
          <w:bCs/>
          <w:noProof/>
          <w:lang w:val="en-CA"/>
        </w:rPr>
        <w:drawing>
          <wp:inline distT="0" distB="0" distL="0" distR="0" wp14:anchorId="7DFCF1EC" wp14:editId="4C1803C1">
            <wp:extent cx="5074024" cy="2664540"/>
            <wp:effectExtent l="0" t="0" r="6350" b="2540"/>
            <wp:docPr id="26981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1305" name="Picture 26981305"/>
                    <pic:cNvPicPr/>
                  </pic:nvPicPr>
                  <pic:blipFill rotWithShape="1">
                    <a:blip r:embed="rId9">
                      <a:extLst>
                        <a:ext uri="{28A0092B-C50C-407E-A947-70E740481C1C}">
                          <a14:useLocalDpi xmlns:a14="http://schemas.microsoft.com/office/drawing/2010/main" val="0"/>
                        </a:ext>
                      </a:extLst>
                    </a:blip>
                    <a:srcRect t="22524" r="27601" b="9887"/>
                    <a:stretch>
                      <a:fillRect/>
                    </a:stretch>
                  </pic:blipFill>
                  <pic:spPr bwMode="auto">
                    <a:xfrm>
                      <a:off x="0" y="0"/>
                      <a:ext cx="5083855" cy="2669702"/>
                    </a:xfrm>
                    <a:prstGeom prst="rect">
                      <a:avLst/>
                    </a:prstGeom>
                    <a:ln>
                      <a:noFill/>
                    </a:ln>
                    <a:extLst>
                      <a:ext uri="{53640926-AAD7-44D8-BBD7-CCE9431645EC}">
                        <a14:shadowObscured xmlns:a14="http://schemas.microsoft.com/office/drawing/2010/main"/>
                      </a:ext>
                    </a:extLst>
                  </pic:spPr>
                </pic:pic>
              </a:graphicData>
            </a:graphic>
          </wp:inline>
        </w:drawing>
      </w:r>
    </w:p>
    <w:p w14:paraId="369B1A70" w14:textId="6B6B5A3D" w:rsidR="003F4761" w:rsidRDefault="003F4761" w:rsidP="13102D63">
      <w:pPr>
        <w:spacing w:line="480" w:lineRule="auto"/>
        <w:rPr>
          <w:rFonts w:eastAsiaTheme="minorEastAsia" w:cs="Times New Roman"/>
          <w:lang w:val="en-CA"/>
        </w:rPr>
      </w:pPr>
      <w:r w:rsidRPr="13102D63">
        <w:rPr>
          <w:rFonts w:eastAsiaTheme="minorEastAsia" w:cs="Times New Roman"/>
          <w:b/>
          <w:bCs/>
          <w:lang w:val="en-CA"/>
        </w:rPr>
        <w:t>Figure S</w:t>
      </w:r>
      <w:r w:rsidR="0075283E" w:rsidRPr="13102D63">
        <w:rPr>
          <w:rFonts w:eastAsiaTheme="minorEastAsia" w:cs="Times New Roman"/>
          <w:b/>
          <w:bCs/>
          <w:lang w:val="en-CA"/>
        </w:rPr>
        <w:t>4</w:t>
      </w:r>
      <w:r w:rsidRPr="13102D63">
        <w:rPr>
          <w:rFonts w:eastAsiaTheme="minorEastAsia" w:cs="Times New Roman"/>
          <w:b/>
          <w:bCs/>
          <w:lang w:val="en-CA"/>
        </w:rPr>
        <w:t xml:space="preserve">. </w:t>
      </w:r>
      <w:r w:rsidRPr="13102D63">
        <w:rPr>
          <w:rFonts w:eastAsiaTheme="minorEastAsia" w:cs="Times New Roman"/>
          <w:lang w:val="en-CA"/>
        </w:rPr>
        <w:t>Representation of kernel density estimation (KDE)</w:t>
      </w:r>
      <w:r w:rsidR="00F3201E" w:rsidRPr="13102D63">
        <w:rPr>
          <w:rFonts w:eastAsiaTheme="minorEastAsia" w:cs="Times New Roman"/>
          <w:lang w:val="en-CA"/>
        </w:rPr>
        <w:t xml:space="preserve">. </w:t>
      </w:r>
      <w:r w:rsidR="003331C5" w:rsidRPr="13102D63">
        <w:rPr>
          <w:rFonts w:eastAsiaTheme="minorEastAsia" w:cs="Times New Roman"/>
          <w:b/>
          <w:bCs/>
          <w:lang w:val="en-CA"/>
        </w:rPr>
        <w:t>Legend:</w:t>
      </w:r>
      <w:r w:rsidR="003331C5" w:rsidRPr="13102D63">
        <w:rPr>
          <w:rFonts w:eastAsiaTheme="minorEastAsia" w:cs="Times New Roman"/>
          <w:lang w:val="en-CA"/>
        </w:rPr>
        <w:t xml:space="preserve"> </w:t>
      </w:r>
      <w:r w:rsidR="00273389" w:rsidRPr="13102D63">
        <w:rPr>
          <w:rFonts w:eastAsiaTheme="minorEastAsia" w:cs="Times New Roman"/>
          <w:lang w:val="en-CA"/>
        </w:rPr>
        <w:t xml:space="preserve">The kernel density function </w:t>
      </w:r>
      <w:r w:rsidR="0015204B" w:rsidRPr="13102D63">
        <w:rPr>
          <w:rFonts w:eastAsiaTheme="minorEastAsia" w:cs="Times New Roman"/>
          <w:lang w:val="en-CA"/>
        </w:rPr>
        <w:t>can be obtained by summing the contribution</w:t>
      </w:r>
      <w:r w:rsidR="004841B5" w:rsidRPr="13102D63">
        <w:rPr>
          <w:rFonts w:eastAsiaTheme="minorEastAsia" w:cs="Times New Roman"/>
          <w:lang w:val="en-CA"/>
        </w:rPr>
        <w:t>s</w:t>
      </w:r>
      <w:r w:rsidR="0015204B" w:rsidRPr="13102D63">
        <w:rPr>
          <w:rFonts w:eastAsiaTheme="minorEastAsia" w:cs="Times New Roman"/>
          <w:lang w:val="en-CA"/>
        </w:rPr>
        <w:t xml:space="preserve"> of each conflict event, </w:t>
      </w:r>
      <w:r w:rsidR="004841B5" w:rsidRPr="13102D63">
        <w:rPr>
          <w:rFonts w:eastAsiaTheme="minorEastAsia" w:cs="Times New Roman"/>
          <w:lang w:val="en-CA"/>
        </w:rPr>
        <w:t>each</w:t>
      </w:r>
      <w:r w:rsidR="0015204B" w:rsidRPr="13102D63">
        <w:rPr>
          <w:rFonts w:eastAsiaTheme="minorEastAsia" w:cs="Times New Roman"/>
          <w:lang w:val="en-CA"/>
        </w:rPr>
        <w:t xml:space="preserve"> defined by a kernel (Gaussian) and a spatial and/or temporal bandwidth. </w:t>
      </w:r>
      <w:r w:rsidR="00F3201E" w:rsidRPr="13102D63">
        <w:rPr>
          <w:rFonts w:eastAsiaTheme="minorEastAsia" w:cs="Times New Roman"/>
          <w:lang w:val="en-CA"/>
        </w:rPr>
        <w:t xml:space="preserve"> </w:t>
      </w:r>
    </w:p>
    <w:p w14:paraId="2E12B976" w14:textId="77777777" w:rsidR="009A0E76" w:rsidRDefault="009A0E76" w:rsidP="003F4761">
      <w:pPr>
        <w:spacing w:line="480" w:lineRule="auto"/>
        <w:rPr>
          <w:rFonts w:eastAsiaTheme="minorEastAsia" w:cs="Times New Roman"/>
          <w:lang w:val="en-CA"/>
        </w:rPr>
      </w:pPr>
    </w:p>
    <w:p w14:paraId="321C9313" w14:textId="77777777" w:rsidR="009A0E76" w:rsidRDefault="009A0E76" w:rsidP="009A0E76">
      <w:pPr>
        <w:spacing w:line="480" w:lineRule="auto"/>
        <w:rPr>
          <w:rFonts w:cs="Times New Roman"/>
          <w:lang w:val="en-CA"/>
        </w:rPr>
      </w:pPr>
      <w:r w:rsidRPr="00DF5196">
        <w:rPr>
          <w:rFonts w:cs="Times New Roman"/>
          <w:lang w:val="en-CA"/>
        </w:rPr>
        <w:t>KDE was defined using spatio-temporal bandwidths, considering fatalities, population size, and edge correction. Here, we elaborate on each parameter and offer a detailed rationale for some decisions.</w:t>
      </w:r>
    </w:p>
    <w:p w14:paraId="190CEF8E" w14:textId="77777777" w:rsidR="00037673" w:rsidRPr="00407331" w:rsidRDefault="00037673" w:rsidP="00037673">
      <w:pPr>
        <w:spacing w:line="480" w:lineRule="auto"/>
        <w:rPr>
          <w:rFonts w:eastAsiaTheme="minorEastAsia" w:cs="Times New Roman"/>
          <w:b/>
          <w:bCs/>
          <w:lang w:val="en-CA"/>
        </w:rPr>
      </w:pPr>
    </w:p>
    <w:p w14:paraId="204EDEC6" w14:textId="77777777" w:rsidR="00037673" w:rsidRPr="009F3787" w:rsidRDefault="00037673" w:rsidP="009F3787">
      <w:pPr>
        <w:spacing w:line="480" w:lineRule="auto"/>
        <w:rPr>
          <w:rFonts w:eastAsiaTheme="minorEastAsia" w:cs="Times New Roman"/>
          <w:b/>
          <w:bCs/>
          <w:i/>
          <w:iCs/>
          <w:lang w:val="en-CA"/>
        </w:rPr>
      </w:pPr>
      <w:r w:rsidRPr="009F3787">
        <w:rPr>
          <w:rFonts w:eastAsiaTheme="minorEastAsia" w:cs="Times New Roman"/>
          <w:b/>
          <w:bCs/>
          <w:i/>
          <w:iCs/>
          <w:lang w:val="en-CA"/>
        </w:rPr>
        <w:t>Spatio-temporal bandwidth selection</w:t>
      </w:r>
    </w:p>
    <w:p w14:paraId="3DF803AF" w14:textId="0FFBDD50" w:rsidR="007B5BF1" w:rsidRDefault="00037673" w:rsidP="007B5BF1">
      <w:pPr>
        <w:spacing w:line="480" w:lineRule="auto"/>
        <w:rPr>
          <w:rFonts w:cs="Times New Roman"/>
          <w:lang w:val="en-CA"/>
        </w:rPr>
      </w:pPr>
      <w:r w:rsidRPr="252873E8">
        <w:rPr>
          <w:rFonts w:cs="Times New Roman"/>
          <w:lang w:val="en-CA"/>
        </w:rPr>
        <w:t xml:space="preserve">The most important parameter of the KDE model is the bandwidth, which controls the level of smoothness. Large bandwidth values can lead to over-smoothing, producing surfaces that are too smooth to distinguish local density characteristics </w:t>
      </w:r>
      <w:sdt>
        <w:sdtPr>
          <w:rPr>
            <w:rFonts w:cs="Times New Roman"/>
            <w:color w:val="000000"/>
            <w:lang w:val="en-CA"/>
          </w:rPr>
          <w:tag w:val="MENDELEY_CITATION_v3_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"/>
          <w:id w:val="-1765681224"/>
          <w:placeholder>
            <w:docPart w:val="BD20FD7FD4487744BBA6F3494088BE29"/>
          </w:placeholder>
        </w:sdtPr>
        <w:sdtContent>
          <w:r w:rsidR="00730D86" w:rsidRPr="00730D86">
            <w:rPr>
              <w:rFonts w:cs="Times New Roman"/>
              <w:color w:val="000000"/>
              <w:lang w:val="en-CA"/>
            </w:rPr>
            <w:t>[9]</w:t>
          </w:r>
        </w:sdtContent>
      </w:sdt>
      <w:r w:rsidRPr="252873E8">
        <w:rPr>
          <w:rFonts w:cs="Times New Roman"/>
          <w:lang w:val="en-CA"/>
        </w:rPr>
        <w:t xml:space="preserve">. On the other hand, small bandwidth values can lead to under-smoothing, resulting in surfaces that are too </w:t>
      </w:r>
      <w:r>
        <w:rPr>
          <w:rFonts w:cs="Times New Roman"/>
          <w:lang w:val="en-CA"/>
        </w:rPr>
        <w:t xml:space="preserve">noisy (i.e., </w:t>
      </w:r>
      <w:r w:rsidR="00DF5196">
        <w:rPr>
          <w:rFonts w:cs="Times New Roman"/>
          <w:lang w:val="en-CA"/>
        </w:rPr>
        <w:t>with</w:t>
      </w:r>
      <w:r>
        <w:rPr>
          <w:rFonts w:cs="Times New Roman"/>
          <w:lang w:val="en-CA"/>
        </w:rPr>
        <w:t xml:space="preserve"> multiple peaks)</w:t>
      </w:r>
      <w:r w:rsidRPr="252873E8">
        <w:rPr>
          <w:rFonts w:cs="Times New Roman"/>
          <w:lang w:val="en-CA"/>
        </w:rPr>
        <w:t xml:space="preserve">. </w:t>
      </w:r>
      <w:r w:rsidRPr="252873E8">
        <w:rPr>
          <w:rFonts w:cs="Times New Roman"/>
          <w:lang w:val="en-CA"/>
        </w:rPr>
        <w:lastRenderedPageBreak/>
        <w:t xml:space="preserve">The choice of bandwidth is therefore important for obtaining surfaces that adequately depict the process of interest. The bandwidth can </w:t>
      </w:r>
      <w:r w:rsidR="00416E71" w:rsidRPr="252873E8">
        <w:rPr>
          <w:rFonts w:cs="Times New Roman"/>
          <w:lang w:val="en-CA"/>
        </w:rPr>
        <w:t>either be fixed (impl</w:t>
      </w:r>
      <w:r w:rsidR="00416E71">
        <w:rPr>
          <w:rFonts w:cs="Times New Roman"/>
          <w:lang w:val="en-CA"/>
        </w:rPr>
        <w:t>ying</w:t>
      </w:r>
      <w:r w:rsidR="00416E71" w:rsidRPr="252873E8">
        <w:rPr>
          <w:rFonts w:cs="Times New Roman"/>
          <w:lang w:val="en-CA"/>
        </w:rPr>
        <w:t xml:space="preserve"> that the radius over an event is kept the same</w:t>
      </w:r>
      <w:r w:rsidR="00416E71">
        <w:rPr>
          <w:rFonts w:cs="Times New Roman"/>
          <w:lang w:val="en-CA"/>
        </w:rPr>
        <w:t xml:space="preserve"> across space and over time</w:t>
      </w:r>
      <w:r w:rsidR="00416E71" w:rsidRPr="252873E8">
        <w:rPr>
          <w:rFonts w:cs="Times New Roman"/>
          <w:lang w:val="en-CA"/>
        </w:rPr>
        <w:t>) or adaptive (adjust</w:t>
      </w:r>
      <w:r w:rsidR="00416E71">
        <w:rPr>
          <w:rFonts w:cs="Times New Roman"/>
          <w:lang w:val="en-CA"/>
        </w:rPr>
        <w:t>ing</w:t>
      </w:r>
      <w:r w:rsidRPr="252873E8">
        <w:rPr>
          <w:rFonts w:cs="Times New Roman"/>
          <w:lang w:val="en-CA"/>
        </w:rPr>
        <w:t xml:space="preserve"> the radius based on the number of events). Research has demonstrated that adaptive bandwidth KDE outperforms fixed bandwidth KDE, particularly for densities with substantial magnitude variations and multi-modalities </w:t>
      </w:r>
      <w:sdt>
        <w:sdtPr>
          <w:rPr>
            <w:rFonts w:cs="Times New Roman"/>
            <w:color w:val="000000"/>
            <w:lang w:val="en-CA"/>
          </w:rPr>
          <w:tag w:val="MENDELEY_CITATION_v3_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"/>
          <w:id w:val="-164865072"/>
          <w:placeholder>
            <w:docPart w:val="BD20FD7FD4487744BBA6F3494088BE29"/>
          </w:placeholder>
        </w:sdtPr>
        <w:sdtContent>
          <w:r w:rsidR="00730D86" w:rsidRPr="00730D86">
            <w:rPr>
              <w:rFonts w:cs="Times New Roman"/>
              <w:color w:val="000000"/>
              <w:lang w:val="en-CA"/>
            </w:rPr>
            <w:t>[7]</w:t>
          </w:r>
        </w:sdtContent>
      </w:sdt>
      <w:r w:rsidRPr="252873E8">
        <w:rPr>
          <w:rFonts w:cs="Times New Roman"/>
          <w:lang w:val="en-CA"/>
        </w:rPr>
        <w:t xml:space="preserve">.  </w:t>
      </w:r>
    </w:p>
    <w:p w14:paraId="4562470C" w14:textId="77777777" w:rsidR="007B5BF1" w:rsidRDefault="007B5BF1" w:rsidP="007B5BF1">
      <w:pPr>
        <w:spacing w:line="480" w:lineRule="auto"/>
        <w:rPr>
          <w:rFonts w:cs="Times New Roman"/>
          <w:lang w:val="en-CA"/>
        </w:rPr>
      </w:pPr>
    </w:p>
    <w:p w14:paraId="6B24CDBF" w14:textId="334057C9" w:rsidR="007B5BF1" w:rsidRPr="007B5BF1" w:rsidRDefault="007B5BF1" w:rsidP="007B5BF1">
      <w:pPr>
        <w:spacing w:line="480" w:lineRule="auto"/>
        <w:rPr>
          <w:rFonts w:cs="Times New Roman"/>
          <w:lang w:val="en-CA"/>
        </w:rPr>
      </w:pPr>
      <w:r w:rsidRPr="007B5BF1">
        <w:rPr>
          <w:rFonts w:cs="Times New Roman"/>
          <w:lang w:val="en-CA"/>
        </w:rPr>
        <w:t xml:space="preserve">We used the bootstrap method to determine an appropriate spatio-temporal bandwidth </w:t>
      </w:r>
      <w:sdt>
        <w:sdtPr>
          <w:rPr>
            <w:rFonts w:cs="Times New Roman"/>
            <w:color w:val="000000"/>
            <w:lang w:val="en-CA"/>
          </w:rPr>
          <w:tag w:val="MENDELEY_CITATION_v3_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"/>
          <w:id w:val="1051663259"/>
          <w:placeholder>
            <w:docPart w:val="05FA7D8A1B0B9B40897103DF70C593BE"/>
          </w:placeholder>
        </w:sdtPr>
        <w:sdtContent>
          <w:r w:rsidR="00730D86" w:rsidRPr="00730D86">
            <w:rPr>
              <w:rFonts w:cs="Times New Roman"/>
              <w:color w:val="000000"/>
              <w:lang w:val="en-CA"/>
            </w:rPr>
            <w:t>[10]</w:t>
          </w:r>
        </w:sdtContent>
      </w:sdt>
      <w:r w:rsidRPr="007B5BF1">
        <w:rPr>
          <w:rFonts w:cs="Times New Roman"/>
          <w:lang w:val="en-CA"/>
        </w:rPr>
        <w:t xml:space="preserve">, which involves constructing a ‘reference’ density estimate from the dataset, repeatedly simulating data from that reference density, and calculating the mean integrated squared error (MISE) for each iteration at different bandwidths. The bandwidth that minimises the bootstrap-estimated MISE was selected as the optimal (pilot) bandwidth </w:t>
      </w:r>
      <w:sdt>
        <w:sdtPr>
          <w:rPr>
            <w:rFonts w:cs="Times New Roman"/>
            <w:color w:val="000000"/>
            <w:lang w:val="en-CA"/>
          </w:rPr>
          <w:tag w:val="MENDELEY_CITATION_v3_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"/>
          <w:id w:val="-265621424"/>
          <w:placeholder>
            <w:docPart w:val="05FA7D8A1B0B9B40897103DF70C593BE"/>
          </w:placeholder>
        </w:sdtPr>
        <w:sdtContent>
          <w:r w:rsidR="00730D86" w:rsidRPr="00730D86">
            <w:rPr>
              <w:rFonts w:cs="Times New Roman"/>
              <w:color w:val="000000"/>
              <w:lang w:val="en-CA"/>
            </w:rPr>
            <w:t>[10]</w:t>
          </w:r>
        </w:sdtContent>
      </w:sdt>
      <w:r w:rsidRPr="007B5BF1">
        <w:rPr>
          <w:rFonts w:cs="Times New Roman"/>
          <w:lang w:val="en-CA"/>
        </w:rPr>
        <w:t xml:space="preserve">. </w:t>
      </w:r>
      <w:r w:rsidR="002D39CE">
        <w:rPr>
          <w:rFonts w:cs="Times New Roman"/>
          <w:lang w:val="en-CA"/>
        </w:rPr>
        <w:t xml:space="preserve">The </w:t>
      </w:r>
      <w:r w:rsidR="002D39CE" w:rsidRPr="002D39CE">
        <w:rPr>
          <w:rFonts w:cs="Times New Roman"/>
          <w:i/>
          <w:iCs/>
          <w:lang w:val="en-CA"/>
        </w:rPr>
        <w:t>sparr</w:t>
      </w:r>
      <w:r w:rsidR="002D39CE">
        <w:rPr>
          <w:rFonts w:cs="Times New Roman"/>
          <w:lang w:val="en-CA"/>
        </w:rPr>
        <w:t xml:space="preserve"> package</w:t>
      </w:r>
      <w:r w:rsidR="00F549BC">
        <w:rPr>
          <w:rFonts w:cs="Times New Roman"/>
          <w:lang w:val="en-CA"/>
        </w:rPr>
        <w:t xml:space="preserve"> </w:t>
      </w:r>
      <w:sdt>
        <w:sdtPr>
          <w:rPr>
            <w:rFonts w:cs="Times New Roman"/>
            <w:color w:val="000000"/>
            <w:lang w:val="en-CA"/>
          </w:rPr>
          <w:tag w:val="MENDELEY_CITATION_v3_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"/>
          <w:id w:val="-645506897"/>
          <w:placeholder>
            <w:docPart w:val="DefaultPlaceholder_-1854013440"/>
          </w:placeholder>
        </w:sdtPr>
        <w:sdtContent>
          <w:r w:rsidR="00730D86" w:rsidRPr="00730D86">
            <w:rPr>
              <w:rFonts w:cs="Times New Roman"/>
              <w:color w:val="000000"/>
              <w:lang w:val="en-CA"/>
            </w:rPr>
            <w:t>[10]</w:t>
          </w:r>
        </w:sdtContent>
      </w:sdt>
      <w:r w:rsidR="002D39CE">
        <w:rPr>
          <w:rFonts w:cs="Times New Roman"/>
          <w:lang w:val="en-CA"/>
        </w:rPr>
        <w:t xml:space="preserve"> on R software was used to implement the bootstrap method. </w:t>
      </w:r>
    </w:p>
    <w:p w14:paraId="4120AAC8" w14:textId="3ECE6935" w:rsidR="00037673" w:rsidRPr="009C79F0" w:rsidRDefault="00037673" w:rsidP="00037673">
      <w:pPr>
        <w:spacing w:line="480" w:lineRule="auto"/>
        <w:rPr>
          <w:rFonts w:cs="Times New Roman"/>
          <w:lang w:val="en-CA"/>
        </w:rPr>
      </w:pPr>
    </w:p>
    <w:p w14:paraId="1D448AD5" w14:textId="77777777" w:rsidR="00037673" w:rsidRPr="009F3787" w:rsidRDefault="00037673" w:rsidP="009F3787">
      <w:pPr>
        <w:spacing w:line="480" w:lineRule="auto"/>
        <w:rPr>
          <w:rFonts w:cs="Times New Roman"/>
          <w:b/>
          <w:bCs/>
          <w:i/>
          <w:iCs/>
          <w:lang w:val="en-CA"/>
        </w:rPr>
      </w:pPr>
      <w:r w:rsidRPr="009F3787">
        <w:rPr>
          <w:rFonts w:cs="Times New Roman"/>
          <w:b/>
          <w:bCs/>
          <w:i/>
          <w:iCs/>
          <w:lang w:val="en-CA"/>
        </w:rPr>
        <w:t>Accounting for fatalities and population size</w:t>
      </w:r>
    </w:p>
    <w:p w14:paraId="1A95822F" w14:textId="6BB34DA9" w:rsidR="0002212F" w:rsidRDefault="00037673" w:rsidP="00037673">
      <w:pPr>
        <w:spacing w:line="480" w:lineRule="auto"/>
        <w:rPr>
          <w:lang w:val="en-CA"/>
        </w:rPr>
      </w:pPr>
      <w:r w:rsidRPr="13102D63">
        <w:rPr>
          <w:rFonts w:cs="Times New Roman"/>
          <w:lang w:val="en-CA"/>
        </w:rPr>
        <w:t>Considering the number of fatalities in the KDE is important because it can reflect the intensity of conflict events. Additionally, accounting for population size is relevant, as events in densely populated areas may not spread as widely as those in rural, remote areas.</w:t>
      </w:r>
      <w:r w:rsidR="00F44D8D" w:rsidRPr="13102D63">
        <w:rPr>
          <w:rFonts w:cs="Times New Roman"/>
          <w:lang w:val="en-CA"/>
        </w:rPr>
        <w:t xml:space="preserve"> </w:t>
      </w:r>
      <w:r w:rsidR="00840C8F" w:rsidRPr="13102D63">
        <w:rPr>
          <w:lang w:val="en-CA"/>
        </w:rPr>
        <w:t xml:space="preserve">In the Malian context, </w:t>
      </w:r>
      <w:r w:rsidR="60C68041" w:rsidRPr="13102D63">
        <w:rPr>
          <w:lang w:val="en-CA"/>
        </w:rPr>
        <w:t>most</w:t>
      </w:r>
      <w:r w:rsidR="00840C8F" w:rsidRPr="13102D63">
        <w:rPr>
          <w:lang w:val="en-CA"/>
        </w:rPr>
        <w:t xml:space="preserve"> conflict events have </w:t>
      </w:r>
      <w:r w:rsidR="00DF59B9" w:rsidRPr="13102D63">
        <w:rPr>
          <w:lang w:val="en-CA"/>
        </w:rPr>
        <w:t>occurred</w:t>
      </w:r>
      <w:r w:rsidR="00840C8F" w:rsidRPr="13102D63">
        <w:rPr>
          <w:lang w:val="en-CA"/>
        </w:rPr>
        <w:t xml:space="preserve"> in rural areas, where </w:t>
      </w:r>
      <w:r w:rsidR="00DF59B9" w:rsidRPr="13102D63">
        <w:rPr>
          <w:lang w:val="en-CA"/>
        </w:rPr>
        <w:t>access to social and health services</w:t>
      </w:r>
      <w:r w:rsidR="007870EF" w:rsidRPr="13102D63">
        <w:rPr>
          <w:lang w:val="en-CA"/>
        </w:rPr>
        <w:t>,</w:t>
      </w:r>
      <w:r w:rsidR="00DF59B9" w:rsidRPr="13102D63">
        <w:rPr>
          <w:lang w:val="en-CA"/>
        </w:rPr>
        <w:t xml:space="preserve"> as well as economic opportunities</w:t>
      </w:r>
      <w:r w:rsidR="007870EF" w:rsidRPr="13102D63">
        <w:rPr>
          <w:lang w:val="en-CA"/>
        </w:rPr>
        <w:t>,</w:t>
      </w:r>
      <w:r w:rsidR="00DF59B9" w:rsidRPr="13102D63">
        <w:rPr>
          <w:lang w:val="en-CA"/>
        </w:rPr>
        <w:t xml:space="preserve"> is more l</w:t>
      </w:r>
      <w:r w:rsidR="007870EF" w:rsidRPr="13102D63">
        <w:rPr>
          <w:lang w:val="en-CA"/>
        </w:rPr>
        <w:t>imited</w:t>
      </w:r>
      <w:r w:rsidR="00840C8F" w:rsidRPr="13102D63">
        <w:rPr>
          <w:lang w:val="en-CA"/>
        </w:rPr>
        <w:t xml:space="preserve">. Attacks in populated urban centres, such as the capital city Bamako, have been more targeted and sporadic. As a result, </w:t>
      </w:r>
      <w:r w:rsidR="00D630DB">
        <w:rPr>
          <w:lang w:val="en-CA"/>
        </w:rPr>
        <w:t xml:space="preserve">it is assumed that </w:t>
      </w:r>
      <w:r w:rsidR="00840C8F" w:rsidRPr="13102D63">
        <w:rPr>
          <w:lang w:val="en-CA"/>
        </w:rPr>
        <w:t xml:space="preserve">the broader population is less exposed to their effects, is less likely to change its behaviour, and tends to resume daily life more quickly. Consequently, risk perception in cities differs </w:t>
      </w:r>
      <w:r w:rsidR="00840C8F" w:rsidRPr="13102D63">
        <w:rPr>
          <w:lang w:val="en-CA"/>
        </w:rPr>
        <w:lastRenderedPageBreak/>
        <w:t>significantly from that in remote areas.</w:t>
      </w:r>
      <w:r w:rsidR="002C6BB6">
        <w:rPr>
          <w:lang w:val="en-CA"/>
        </w:rPr>
        <w:t xml:space="preserve"> </w:t>
      </w:r>
      <w:r w:rsidR="00163FDC">
        <w:rPr>
          <w:lang w:val="en-CA"/>
        </w:rPr>
        <w:t xml:space="preserve">This understanding </w:t>
      </w:r>
      <w:r w:rsidR="00166411">
        <w:rPr>
          <w:lang w:val="en-CA"/>
        </w:rPr>
        <w:t xml:space="preserve">draws </w:t>
      </w:r>
      <w:r w:rsidR="00163FDC">
        <w:rPr>
          <w:lang w:val="en-CA"/>
        </w:rPr>
        <w:t xml:space="preserve">on the lived experiences of co-authors from the country, as well as nationwide surveys documenting </w:t>
      </w:r>
      <w:r w:rsidR="00E34F2B">
        <w:rPr>
          <w:lang w:val="en-CA"/>
        </w:rPr>
        <w:t>public perceptions of</w:t>
      </w:r>
      <w:r w:rsidR="00163FDC">
        <w:rPr>
          <w:lang w:val="en-CA"/>
        </w:rPr>
        <w:t xml:space="preserve"> the conflict. </w:t>
      </w:r>
      <w:r w:rsidR="00E34F2B">
        <w:rPr>
          <w:lang w:val="en-CA"/>
        </w:rPr>
        <w:t>The</w:t>
      </w:r>
      <w:r w:rsidR="00BE6EDF">
        <w:rPr>
          <w:lang w:val="en-CA"/>
        </w:rPr>
        <w:t xml:space="preserve"> most recent Afrobarometer</w:t>
      </w:r>
      <w:r w:rsidR="00E34F2B">
        <w:rPr>
          <w:lang w:val="en-CA"/>
        </w:rPr>
        <w:t xml:space="preserve"> survey</w:t>
      </w:r>
      <w:r w:rsidR="00F549BC">
        <w:rPr>
          <w:lang w:val="en-CA"/>
        </w:rPr>
        <w:t xml:space="preserve"> </w:t>
      </w:r>
      <w:sdt>
        <w:sdtPr>
          <w:rPr>
            <w:rFonts w:cs="Times New Roman"/>
            <w:color w:val="000000"/>
            <w:lang w:val="en-CA"/>
          </w:rPr>
          <w:tag w:val="MENDELEY_CITATION_v3_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"/>
          <w:id w:val="-1420863466"/>
          <w:placeholder>
            <w:docPart w:val="DefaultPlaceholder_-1854013440"/>
          </w:placeholder>
        </w:sdtPr>
        <w:sdtContent>
          <w:r w:rsidR="00730D86" w:rsidRPr="00730D86">
            <w:rPr>
              <w:rFonts w:cs="Times New Roman"/>
              <w:color w:val="000000"/>
              <w:lang w:val="en-CA"/>
            </w:rPr>
            <w:t>[11]</w:t>
          </w:r>
        </w:sdtContent>
      </w:sdt>
      <w:r w:rsidR="00E34F2B">
        <w:rPr>
          <w:lang w:val="en-CA"/>
        </w:rPr>
        <w:t>,</w:t>
      </w:r>
      <w:r w:rsidR="00A31E7E">
        <w:rPr>
          <w:lang w:val="en-CA"/>
        </w:rPr>
        <w:t xml:space="preserve"> conducted in 2024</w:t>
      </w:r>
      <w:r w:rsidR="00BE6EDF">
        <w:rPr>
          <w:lang w:val="en-CA"/>
        </w:rPr>
        <w:t xml:space="preserve">, </w:t>
      </w:r>
      <w:r w:rsidR="00E34F2B">
        <w:rPr>
          <w:lang w:val="en-CA"/>
        </w:rPr>
        <w:t>found</w:t>
      </w:r>
      <w:r w:rsidR="00BE6EDF">
        <w:rPr>
          <w:lang w:val="en-CA"/>
        </w:rPr>
        <w:t xml:space="preserve"> that </w:t>
      </w:r>
      <w:r w:rsidR="001E370B">
        <w:rPr>
          <w:lang w:val="en-CA"/>
        </w:rPr>
        <w:t xml:space="preserve">63% of </w:t>
      </w:r>
      <w:r w:rsidR="00094B4A">
        <w:rPr>
          <w:lang w:val="en-CA"/>
        </w:rPr>
        <w:t>rural respondents felt unsafe in their home</w:t>
      </w:r>
      <w:r w:rsidR="00A773D0">
        <w:rPr>
          <w:lang w:val="en-CA"/>
        </w:rPr>
        <w:t>s</w:t>
      </w:r>
      <w:r w:rsidR="00094B4A">
        <w:rPr>
          <w:lang w:val="en-CA"/>
        </w:rPr>
        <w:t xml:space="preserve"> and </w:t>
      </w:r>
      <w:r w:rsidR="000F516D">
        <w:rPr>
          <w:lang w:val="en-CA"/>
        </w:rPr>
        <w:t>neighborhood</w:t>
      </w:r>
      <w:r w:rsidR="00A773D0">
        <w:rPr>
          <w:lang w:val="en-CA"/>
        </w:rPr>
        <w:t>s</w:t>
      </w:r>
      <w:r w:rsidR="000F516D">
        <w:rPr>
          <w:lang w:val="en-CA"/>
        </w:rPr>
        <w:t xml:space="preserve"> </w:t>
      </w:r>
      <w:r w:rsidR="00A773D0">
        <w:rPr>
          <w:lang w:val="en-CA"/>
        </w:rPr>
        <w:t>du</w:t>
      </w:r>
      <w:r w:rsidR="000F516D">
        <w:rPr>
          <w:lang w:val="en-CA"/>
        </w:rPr>
        <w:t xml:space="preserve">e </w:t>
      </w:r>
      <w:r w:rsidR="00A773D0">
        <w:rPr>
          <w:lang w:val="en-CA"/>
        </w:rPr>
        <w:t>to</w:t>
      </w:r>
      <w:r w:rsidR="000F516D">
        <w:rPr>
          <w:lang w:val="en-CA"/>
        </w:rPr>
        <w:t xml:space="preserve"> </w:t>
      </w:r>
      <w:r w:rsidR="00A31E7E">
        <w:rPr>
          <w:lang w:val="en-CA"/>
        </w:rPr>
        <w:t xml:space="preserve">insecurity, compared </w:t>
      </w:r>
      <w:r w:rsidR="00A773D0">
        <w:rPr>
          <w:lang w:val="en-CA"/>
        </w:rPr>
        <w:t>with</w:t>
      </w:r>
      <w:r w:rsidR="00A31E7E">
        <w:rPr>
          <w:lang w:val="en-CA"/>
        </w:rPr>
        <w:t xml:space="preserve"> </w:t>
      </w:r>
      <w:r w:rsidR="00CB3381">
        <w:rPr>
          <w:lang w:val="en-CA"/>
        </w:rPr>
        <w:t xml:space="preserve">46% </w:t>
      </w:r>
      <w:r w:rsidR="00A773D0">
        <w:rPr>
          <w:lang w:val="en-CA"/>
        </w:rPr>
        <w:t>of</w:t>
      </w:r>
      <w:r w:rsidR="00CB3381">
        <w:rPr>
          <w:lang w:val="en-CA"/>
        </w:rPr>
        <w:t xml:space="preserve"> urban </w:t>
      </w:r>
      <w:r w:rsidR="00A773D0">
        <w:rPr>
          <w:lang w:val="en-CA"/>
        </w:rPr>
        <w:t>respondents</w:t>
      </w:r>
      <w:r w:rsidR="00CB3381">
        <w:rPr>
          <w:lang w:val="en-CA"/>
        </w:rPr>
        <w:t xml:space="preserve">. </w:t>
      </w:r>
      <w:r w:rsidR="00A773D0">
        <w:rPr>
          <w:lang w:val="en-CA"/>
        </w:rPr>
        <w:t xml:space="preserve">Regional differences were also pronounced: </w:t>
      </w:r>
      <w:r w:rsidR="0002212F">
        <w:rPr>
          <w:lang w:val="en-CA"/>
        </w:rPr>
        <w:t xml:space="preserve">in the more remote central regions of Mopti and Segou, perceived insecurity was 92% and 74%, respectively. It averaged 79% across the northern regions of Tombouctou, Gao, and Kidal, which </w:t>
      </w:r>
      <w:r w:rsidR="00C05DFC">
        <w:rPr>
          <w:lang w:val="en-CA"/>
        </w:rPr>
        <w:t>together account for</w:t>
      </w:r>
      <w:r w:rsidR="0002212F">
        <w:rPr>
          <w:lang w:val="en-CA"/>
        </w:rPr>
        <w:t xml:space="preserve"> less than 10% of the </w:t>
      </w:r>
      <w:r w:rsidR="00C05DFC">
        <w:rPr>
          <w:lang w:val="en-CA"/>
        </w:rPr>
        <w:t>country's</w:t>
      </w:r>
      <w:r w:rsidR="0002212F">
        <w:rPr>
          <w:lang w:val="en-CA"/>
        </w:rPr>
        <w:t xml:space="preserve"> </w:t>
      </w:r>
      <w:r w:rsidR="00C05DFC">
        <w:rPr>
          <w:lang w:val="en-CA"/>
        </w:rPr>
        <w:t>overall</w:t>
      </w:r>
      <w:r w:rsidR="0002212F">
        <w:rPr>
          <w:lang w:val="en-CA"/>
        </w:rPr>
        <w:t xml:space="preserve"> population. By contrast, in the more densely populated southern areas (e.g., Bamako, Sikasso, Koulikoro), the perceived insecurity ranged from 44% to 48%</w:t>
      </w:r>
      <w:r w:rsidR="00F549BC">
        <w:rPr>
          <w:lang w:val="en-CA"/>
        </w:rPr>
        <w:t xml:space="preserve"> </w:t>
      </w:r>
      <w:sdt>
        <w:sdtPr>
          <w:rPr>
            <w:rFonts w:cs="Times New Roman"/>
            <w:color w:val="000000"/>
            <w:lang w:val="en-CA"/>
          </w:rPr>
          <w:tag w:val="MENDELEY_CITATION_v3_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"/>
          <w:id w:val="1967848359"/>
          <w:placeholder>
            <w:docPart w:val="DefaultPlaceholder_-1854013440"/>
          </w:placeholder>
        </w:sdtPr>
        <w:sdtContent>
          <w:r w:rsidR="00730D86" w:rsidRPr="00730D86">
            <w:rPr>
              <w:rFonts w:cs="Times New Roman"/>
              <w:color w:val="000000"/>
              <w:lang w:val="en-CA"/>
            </w:rPr>
            <w:t>[11, 12]</w:t>
          </w:r>
        </w:sdtContent>
      </w:sdt>
      <w:r w:rsidR="0002212F">
        <w:rPr>
          <w:lang w:val="en-CA"/>
        </w:rPr>
        <w:t xml:space="preserve">.  </w:t>
      </w:r>
    </w:p>
    <w:p w14:paraId="768A7473" w14:textId="77777777" w:rsidR="00F44D8D" w:rsidRDefault="00F44D8D" w:rsidP="00037673">
      <w:pPr>
        <w:spacing w:line="480" w:lineRule="auto"/>
        <w:rPr>
          <w:rFonts w:cs="Times New Roman"/>
          <w:lang w:val="en-CA"/>
        </w:rPr>
      </w:pPr>
    </w:p>
    <w:p w14:paraId="698ECE7D" w14:textId="3B6D52D8" w:rsidR="00037673" w:rsidRPr="00FE49C7" w:rsidRDefault="00037673" w:rsidP="00037673">
      <w:pPr>
        <w:spacing w:line="480" w:lineRule="auto"/>
        <w:rPr>
          <w:rFonts w:cs="Times New Roman"/>
          <w:lang w:val="en-CA"/>
        </w:rPr>
      </w:pPr>
      <w:r w:rsidRPr="3F5BCACA">
        <w:rPr>
          <w:rFonts w:cs="Times New Roman"/>
          <w:lang w:val="en-CA"/>
        </w:rPr>
        <w:t xml:space="preserve"> The KDE formula presented in (3) can be adapted to account for the number of fatalities as well as population size as weights </w:t>
      </w:r>
      <w:sdt>
        <w:sdtPr>
          <w:rPr>
            <w:rFonts w:cs="Times New Roman"/>
            <w:color w:val="000000"/>
            <w:lang w:val="en-CA"/>
          </w:rPr>
          <w:tag w:val="MENDELEY_CITATION_v3_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"/>
          <w:id w:val="566612977"/>
          <w:placeholder>
            <w:docPart w:val="BD20FD7FD4487744BBA6F3494088BE29"/>
          </w:placeholder>
        </w:sdtPr>
        <w:sdtContent>
          <w:r w:rsidR="00730D86" w:rsidRPr="00730D86">
            <w:rPr>
              <w:rFonts w:cs="Times New Roman"/>
              <w:color w:val="000000"/>
              <w:lang w:val="en-CA"/>
            </w:rPr>
            <w:t>[13]</w:t>
          </w:r>
        </w:sdtContent>
      </w:sdt>
      <w:r w:rsidRPr="3F5BCACA">
        <w:rPr>
          <w:rFonts w:cs="Times New Roman"/>
          <w:lang w:val="en-CA"/>
        </w:rPr>
        <w:t xml:space="preserve">: </w:t>
      </w:r>
    </w:p>
    <w:p w14:paraId="26948BB2" w14:textId="7C00DE25" w:rsidR="00037673" w:rsidRPr="00FE49C7" w:rsidRDefault="00000000" w:rsidP="00037673">
      <w:pPr>
        <w:spacing w:line="480" w:lineRule="auto"/>
        <w:jc w:val="center"/>
        <w:rPr>
          <w:rFonts w:cs="Times New Roman"/>
          <w:lang w:val="en-CA"/>
        </w:rPr>
      </w:pPr>
      <m:oMath>
        <m:acc>
          <m:accPr>
            <m:ctrlPr>
              <w:rPr>
                <w:rFonts w:ascii="Cambria Math" w:hAnsi="Cambria Math" w:cs="Times New Roman"/>
                <w:i/>
                <w:lang w:val="en-CA"/>
              </w:rPr>
            </m:ctrlPr>
          </m:accPr>
          <m:e>
            <m:r>
              <w:rPr>
                <w:rFonts w:ascii="Cambria Math" w:hAnsi="Cambria Math" w:cs="Times New Roman"/>
                <w:lang w:val="en-CA"/>
              </w:rPr>
              <m:t>f</m:t>
            </m:r>
          </m:e>
        </m:acc>
        <m:d>
          <m:dPr>
            <m:ctrlPr>
              <w:rPr>
                <w:rFonts w:ascii="Cambria Math" w:hAnsi="Cambria Math" w:cs="Times New Roman"/>
                <w:i/>
                <w:lang w:val="en-CA"/>
              </w:rPr>
            </m:ctrlPr>
          </m:dPr>
          <m:e>
            <m:acc>
              <m:accPr>
                <m:chr m:val="̅"/>
                <m:ctrlPr>
                  <w:rPr>
                    <w:rFonts w:ascii="Cambria Math" w:hAnsi="Cambria Math" w:cs="Times New Roman"/>
                    <w:i/>
                    <w:lang w:val="en-CA"/>
                  </w:rPr>
                </m:ctrlPr>
              </m:accPr>
              <m:e>
                <m:r>
                  <w:rPr>
                    <w:rFonts w:ascii="Cambria Math" w:hAnsi="Cambria Math" w:cs="Times New Roman"/>
                    <w:lang w:val="en-CA"/>
                  </w:rPr>
                  <m:t>x</m:t>
                </m:r>
              </m:e>
            </m:acc>
          </m:e>
        </m:d>
        <m:r>
          <w:rPr>
            <w:rFonts w:ascii="Cambria Math" w:hAnsi="Cambria Math" w:cs="Times New Roman"/>
            <w:lang w:val="en-CA"/>
          </w:rPr>
          <m:t xml:space="preserve">= </m:t>
        </m:r>
        <m:nary>
          <m:naryPr>
            <m:chr m:val="∑"/>
            <m:limLoc m:val="undOvr"/>
            <m:ctrlPr>
              <w:rPr>
                <w:rFonts w:ascii="Cambria Math" w:hAnsi="Cambria Math" w:cs="Times New Roman"/>
                <w:i/>
                <w:lang w:val="en-CA"/>
              </w:rPr>
            </m:ctrlPr>
          </m:naryPr>
          <m:sub>
            <m:r>
              <w:rPr>
                <w:rFonts w:ascii="Cambria Math" w:hAnsi="Cambria Math" w:cs="Times New Roman"/>
                <w:lang w:val="en-CA"/>
              </w:rPr>
              <m:t>i=1</m:t>
            </m:r>
          </m:sub>
          <m:sup>
            <m:r>
              <w:rPr>
                <w:rFonts w:ascii="Cambria Math" w:hAnsi="Cambria Math" w:cs="Times New Roman"/>
                <w:lang w:val="en-CA"/>
              </w:rPr>
              <m:t>n</m:t>
            </m:r>
          </m:sup>
          <m:e>
            <m:r>
              <w:rPr>
                <w:rFonts w:ascii="Cambria Math" w:hAnsi="Cambria Math" w:cs="Times New Roman"/>
                <w:lang w:val="en-CA"/>
              </w:rPr>
              <m:t>φ</m:t>
            </m:r>
            <m:d>
              <m:dPr>
                <m:ctrlPr>
                  <w:rPr>
                    <w:rFonts w:ascii="Cambria Math" w:hAnsi="Cambria Math" w:cs="Times New Roman"/>
                    <w:i/>
                    <w:lang w:val="en-CA"/>
                  </w:rPr>
                </m:ctrlPr>
              </m:dPr>
              <m:e>
                <m:sSub>
                  <m:sSubPr>
                    <m:ctrlPr>
                      <w:rPr>
                        <w:rFonts w:ascii="Cambria Math" w:hAnsi="Cambria Math" w:cs="Times New Roman"/>
                        <w:i/>
                        <w:lang w:val="en-CA"/>
                      </w:rPr>
                    </m:ctrlPr>
                  </m:sSubPr>
                  <m:e>
                    <m:r>
                      <w:rPr>
                        <w:rFonts w:ascii="Cambria Math" w:hAnsi="Cambria Math" w:cs="Times New Roman"/>
                        <w:lang w:val="en-CA"/>
                      </w:rPr>
                      <m:t>m</m:t>
                    </m:r>
                  </m:e>
                  <m:sub>
                    <m:r>
                      <w:rPr>
                        <w:rFonts w:ascii="Cambria Math" w:hAnsi="Cambria Math" w:cs="Times New Roman"/>
                        <w:lang w:val="en-CA"/>
                      </w:rPr>
                      <m:t>i</m:t>
                    </m:r>
                  </m:sub>
                </m:sSub>
              </m:e>
            </m:d>
            <m:r>
              <w:rPr>
                <w:rFonts w:ascii="Cambria Math" w:hAnsi="Cambria Math" w:cs="Times New Roman"/>
                <w:lang w:val="en-CA"/>
              </w:rPr>
              <m:t xml:space="preserve"> </m:t>
            </m:r>
            <m:f>
              <m:fPr>
                <m:ctrlPr>
                  <w:rPr>
                    <w:rFonts w:ascii="Cambria Math" w:hAnsi="Cambria Math" w:cs="Times New Roman"/>
                    <w:i/>
                    <w:lang w:val="en-CA"/>
                  </w:rPr>
                </m:ctrlPr>
              </m:fPr>
              <m:num>
                <m:r>
                  <w:rPr>
                    <w:rFonts w:ascii="Cambria Math" w:hAnsi="Cambria Math" w:cs="Times New Roman"/>
                    <w:lang w:val="en-CA"/>
                  </w:rPr>
                  <m:t>1</m:t>
                </m:r>
              </m:num>
              <m:den>
                <m:r>
                  <w:rPr>
                    <w:rFonts w:ascii="Cambria Math" w:hAnsi="Cambria Math" w:cs="Times New Roman"/>
                    <w:lang w:val="en-CA"/>
                  </w:rPr>
                  <m:t>n</m:t>
                </m:r>
                <m:sSub>
                  <m:sSubPr>
                    <m:ctrlPr>
                      <w:rPr>
                        <w:rFonts w:ascii="Cambria Math" w:hAnsi="Cambria Math" w:cs="Times New Roman"/>
                        <w:i/>
                        <w:lang w:val="en-CA"/>
                      </w:rPr>
                    </m:ctrlPr>
                  </m:sSubPr>
                  <m:e>
                    <m:r>
                      <w:rPr>
                        <w:rFonts w:ascii="Cambria Math" w:hAnsi="Cambria Math" w:cs="Times New Roman"/>
                        <w:lang w:val="en-CA"/>
                      </w:rPr>
                      <m:t>λ</m:t>
                    </m:r>
                  </m:e>
                  <m:sub>
                    <m:r>
                      <w:rPr>
                        <w:rFonts w:ascii="Cambria Math" w:hAnsi="Cambria Math" w:cs="Times New Roman"/>
                        <w:lang w:val="en-CA"/>
                      </w:rPr>
                      <m:t>i</m:t>
                    </m:r>
                  </m:sub>
                </m:sSub>
                <m:r>
                  <w:rPr>
                    <w:rFonts w:ascii="Cambria Math" w:hAnsi="Cambria Math" w:cs="Times New Roman"/>
                    <w:lang w:val="en-CA"/>
                  </w:rPr>
                  <m:t>H</m:t>
                </m:r>
              </m:den>
            </m:f>
          </m:e>
        </m:nary>
        <m:r>
          <w:rPr>
            <w:rFonts w:ascii="Cambria Math" w:hAnsi="Cambria Math" w:cs="Times New Roman"/>
            <w:lang w:val="en-CA"/>
          </w:rPr>
          <m:t>K</m:t>
        </m:r>
        <m:d>
          <m:dPr>
            <m:ctrlPr>
              <w:rPr>
                <w:rFonts w:ascii="Cambria Math" w:hAnsi="Cambria Math" w:cs="Times New Roman"/>
                <w:i/>
                <w:lang w:val="en-CA"/>
              </w:rPr>
            </m:ctrlPr>
          </m:dPr>
          <m:e>
            <m:f>
              <m:fPr>
                <m:ctrlPr>
                  <w:rPr>
                    <w:rFonts w:ascii="Cambria Math" w:hAnsi="Cambria Math" w:cs="Times New Roman"/>
                    <w:i/>
                    <w:lang w:val="en-CA"/>
                  </w:rPr>
                </m:ctrlPr>
              </m:fPr>
              <m:num>
                <m:r>
                  <w:rPr>
                    <w:rFonts w:ascii="Cambria Math" w:hAnsi="Cambria Math" w:cs="Times New Roman"/>
                    <w:lang w:val="en-CA"/>
                  </w:rPr>
                  <m:t>(</m:t>
                </m:r>
                <m:sSub>
                  <m:sSubPr>
                    <m:ctrlPr>
                      <w:rPr>
                        <w:rFonts w:ascii="Cambria Math" w:hAnsi="Cambria Math" w:cs="Times New Roman"/>
                        <w:i/>
                        <w:lang w:val="en-CA"/>
                      </w:rPr>
                    </m:ctrlPr>
                  </m:sSubPr>
                  <m:e>
                    <m:acc>
                      <m:accPr>
                        <m:chr m:val="̅"/>
                        <m:ctrlPr>
                          <w:rPr>
                            <w:rFonts w:ascii="Cambria Math" w:hAnsi="Cambria Math" w:cs="Times New Roman"/>
                            <w:i/>
                            <w:lang w:val="en-CA"/>
                          </w:rPr>
                        </m:ctrlPr>
                      </m:accPr>
                      <m:e>
                        <m:r>
                          <w:rPr>
                            <w:rFonts w:ascii="Cambria Math" w:hAnsi="Cambria Math" w:cs="Times New Roman"/>
                            <w:lang w:val="en-CA"/>
                          </w:rPr>
                          <m:t>x</m:t>
                        </m:r>
                      </m:e>
                    </m:acc>
                  </m:e>
                  <m:sub>
                    <m:r>
                      <w:rPr>
                        <w:rFonts w:ascii="Cambria Math" w:hAnsi="Cambria Math" w:cs="Times New Roman"/>
                        <w:lang w:val="en-CA"/>
                      </w:rPr>
                      <m:t>i</m:t>
                    </m:r>
                  </m:sub>
                </m:sSub>
                <m:r>
                  <w:rPr>
                    <w:rFonts w:ascii="Cambria Math" w:hAnsi="Cambria Math" w:cs="Times New Roman"/>
                    <w:lang w:val="en-CA"/>
                  </w:rPr>
                  <m:t>-</m:t>
                </m:r>
                <m:acc>
                  <m:accPr>
                    <m:chr m:val="̅"/>
                    <m:ctrlPr>
                      <w:rPr>
                        <w:rFonts w:ascii="Cambria Math" w:hAnsi="Cambria Math" w:cs="Times New Roman"/>
                        <w:i/>
                        <w:lang w:val="en-CA"/>
                      </w:rPr>
                    </m:ctrlPr>
                  </m:accPr>
                  <m:e>
                    <m:r>
                      <w:rPr>
                        <w:rFonts w:ascii="Cambria Math" w:hAnsi="Cambria Math" w:cs="Times New Roman"/>
                        <w:lang w:val="en-CA"/>
                      </w:rPr>
                      <m:t>x</m:t>
                    </m:r>
                  </m:e>
                </m:acc>
              </m:num>
              <m:den>
                <m:sSub>
                  <m:sSubPr>
                    <m:ctrlPr>
                      <w:rPr>
                        <w:rFonts w:ascii="Cambria Math" w:hAnsi="Cambria Math" w:cs="Times New Roman"/>
                        <w:i/>
                        <w:lang w:val="en-CA"/>
                      </w:rPr>
                    </m:ctrlPr>
                  </m:sSubPr>
                  <m:e>
                    <m:r>
                      <w:rPr>
                        <w:rFonts w:ascii="Cambria Math" w:hAnsi="Cambria Math" w:cs="Times New Roman"/>
                        <w:lang w:val="en-CA"/>
                      </w:rPr>
                      <m:t>λ</m:t>
                    </m:r>
                  </m:e>
                  <m:sub>
                    <m:r>
                      <w:rPr>
                        <w:rFonts w:ascii="Cambria Math" w:hAnsi="Cambria Math" w:cs="Times New Roman"/>
                        <w:lang w:val="en-CA"/>
                      </w:rPr>
                      <m:t>i</m:t>
                    </m:r>
                  </m:sub>
                </m:sSub>
                <m:r>
                  <w:rPr>
                    <w:rFonts w:ascii="Cambria Math" w:hAnsi="Cambria Math" w:cs="Times New Roman"/>
                    <w:lang w:val="en-CA"/>
                  </w:rPr>
                  <m:t>H</m:t>
                </m:r>
              </m:den>
            </m:f>
          </m:e>
        </m:d>
      </m:oMath>
      <w:r w:rsidR="00037673" w:rsidRPr="00FE49C7">
        <w:rPr>
          <w:rFonts w:eastAsiaTheme="minorEastAsia" w:cs="Times New Roman"/>
          <w:lang w:val="en-CA"/>
        </w:rPr>
        <w:t>,</w:t>
      </w:r>
    </w:p>
    <w:p w14:paraId="66A61493" w14:textId="17A31D6D" w:rsidR="0055517D" w:rsidRPr="00A24C36" w:rsidRDefault="00037673" w:rsidP="00037673">
      <w:pPr>
        <w:spacing w:line="480" w:lineRule="auto"/>
        <w:rPr>
          <w:lang w:val="en-CA"/>
        </w:rPr>
      </w:pPr>
      <w:r w:rsidRPr="00FE49C7">
        <w:rPr>
          <w:rFonts w:cs="Times New Roman"/>
          <w:lang w:val="en-CA"/>
        </w:rPr>
        <w:t xml:space="preserve">, where </w:t>
      </w:r>
      <w:r w:rsidRPr="00FE49C7">
        <w:rPr>
          <w:rFonts w:ascii="Cambria Math" w:hAnsi="Cambria Math" w:cs="Cambria Math"/>
          <w:lang w:val="en-CA"/>
        </w:rPr>
        <w:t>𝜑</w:t>
      </w:r>
      <w:r w:rsidRPr="00FE49C7">
        <w:rPr>
          <w:rFonts w:cs="Times New Roman"/>
          <w:lang w:val="en-CA"/>
        </w:rPr>
        <w:t>(</w:t>
      </w:r>
      <m:oMath>
        <m:sSub>
          <m:sSubPr>
            <m:ctrlPr>
              <w:rPr>
                <w:rFonts w:ascii="Cambria Math" w:hAnsi="Cambria Math" w:cs="Times New Roman"/>
                <w:i/>
                <w:lang w:val="en-CA"/>
              </w:rPr>
            </m:ctrlPr>
          </m:sSubPr>
          <m:e>
            <m:r>
              <w:rPr>
                <w:rFonts w:ascii="Cambria Math" w:hAnsi="Cambria Math" w:cs="Times New Roman"/>
                <w:lang w:val="en-CA"/>
              </w:rPr>
              <m:t>m</m:t>
            </m:r>
          </m:e>
          <m:sub>
            <m:r>
              <w:rPr>
                <w:rFonts w:ascii="Cambria Math" w:hAnsi="Cambria Math" w:cs="Times New Roman"/>
                <w:lang w:val="en-CA"/>
              </w:rPr>
              <m:t>i</m:t>
            </m:r>
          </m:sub>
        </m:sSub>
      </m:oMath>
      <w:r w:rsidRPr="00FE49C7">
        <w:rPr>
          <w:rFonts w:cs="Times New Roman"/>
          <w:lang w:val="en-CA"/>
        </w:rPr>
        <w:t xml:space="preserve">) = 1 + </w:t>
      </w:r>
      <m:oMath>
        <m:r>
          <m:rPr>
            <m:sty m:val="p"/>
          </m:rPr>
          <w:rPr>
            <w:rFonts w:ascii="Cambria Math" w:hAnsi="Cambria Math" w:cs="Times New Roman"/>
            <w:lang w:val="en-CA"/>
          </w:rPr>
          <m:t>log⁡</m:t>
        </m:r>
        <m:r>
          <w:rPr>
            <w:rFonts w:ascii="Cambria Math" w:hAnsi="Cambria Math" w:cs="Times New Roman"/>
            <w:lang w:val="en-CA"/>
          </w:rPr>
          <m:t xml:space="preserve">(1+ </m:t>
        </m:r>
        <m:sSub>
          <m:sSubPr>
            <m:ctrlPr>
              <w:rPr>
                <w:rFonts w:ascii="Cambria Math" w:hAnsi="Cambria Math" w:cs="Times New Roman"/>
                <w:i/>
                <w:lang w:val="en-CA"/>
              </w:rPr>
            </m:ctrlPr>
          </m:sSubPr>
          <m:e>
            <m:r>
              <w:rPr>
                <w:rFonts w:ascii="Cambria Math" w:hAnsi="Cambria Math" w:cs="Times New Roman"/>
                <w:lang w:val="en-CA"/>
              </w:rPr>
              <m:t>m</m:t>
            </m:r>
          </m:e>
          <m:sub>
            <m:r>
              <w:rPr>
                <w:rFonts w:ascii="Cambria Math" w:hAnsi="Cambria Math" w:cs="Times New Roman"/>
                <w:lang w:val="en-CA"/>
              </w:rPr>
              <m:t>i</m:t>
            </m:r>
          </m:sub>
        </m:sSub>
      </m:oMath>
      <w:r w:rsidRPr="00FE49C7">
        <w:rPr>
          <w:rFonts w:eastAsiaTheme="minorEastAsia" w:cs="Times New Roman"/>
          <w:lang w:val="en-CA"/>
        </w:rPr>
        <w:t>)</w:t>
      </w:r>
      <w:r w:rsidRPr="00FE49C7">
        <w:rPr>
          <w:rFonts w:cs="Times New Roman"/>
          <w:lang w:val="en-CA"/>
        </w:rPr>
        <w:t xml:space="preserve"> is the weight variable. </w:t>
      </w:r>
      <m:oMath>
        <m:sSub>
          <m:sSubPr>
            <m:ctrlPr>
              <w:rPr>
                <w:rFonts w:ascii="Cambria Math" w:hAnsi="Cambria Math" w:cs="Times New Roman"/>
                <w:i/>
                <w:lang w:val="en-CA"/>
              </w:rPr>
            </m:ctrlPr>
          </m:sSubPr>
          <m:e>
            <m:r>
              <w:rPr>
                <w:rFonts w:ascii="Cambria Math" w:hAnsi="Cambria Math" w:cs="Times New Roman"/>
                <w:lang w:val="en-CA"/>
              </w:rPr>
              <m:t>m</m:t>
            </m:r>
          </m:e>
          <m:sub>
            <m:r>
              <w:rPr>
                <w:rFonts w:ascii="Cambria Math" w:hAnsi="Cambria Math" w:cs="Times New Roman"/>
                <w:lang w:val="en-CA"/>
              </w:rPr>
              <m:t>i</m:t>
            </m:r>
          </m:sub>
        </m:sSub>
      </m:oMath>
      <w:r w:rsidRPr="00FE49C7">
        <w:rPr>
          <w:rFonts w:eastAsiaTheme="minorEastAsia" w:cs="Times New Roman"/>
          <w:lang w:val="en-CA"/>
        </w:rPr>
        <w:t xml:space="preserve"> is obtained by dividing the number of fatalities for event </w:t>
      </w:r>
      <w:r w:rsidRPr="00FE49C7">
        <w:rPr>
          <w:rFonts w:eastAsiaTheme="minorEastAsia" w:cs="Times New Roman"/>
          <w:i/>
          <w:iCs/>
          <w:lang w:val="en-CA"/>
        </w:rPr>
        <w:t xml:space="preserve">i </w:t>
      </w:r>
      <w:r w:rsidRPr="00FE49C7">
        <w:rPr>
          <w:rFonts w:eastAsiaTheme="minorEastAsia" w:cs="Times New Roman"/>
          <w:lang w:val="en-CA"/>
        </w:rPr>
        <w:t xml:space="preserve">by the population count at the location of event </w:t>
      </w:r>
      <w:r w:rsidRPr="00FE49C7">
        <w:rPr>
          <w:rFonts w:eastAsiaTheme="minorEastAsia" w:cs="Times New Roman"/>
          <w:i/>
          <w:iCs/>
          <w:lang w:val="en-CA"/>
        </w:rPr>
        <w:t>i</w:t>
      </w:r>
      <w:r w:rsidRPr="00FE49C7">
        <w:rPr>
          <w:rFonts w:eastAsiaTheme="minorEastAsia" w:cs="Times New Roman"/>
          <w:lang w:val="en-CA"/>
        </w:rPr>
        <w:t xml:space="preserve">. The log scale was used, recognizing that many events had zero casualties, while a few had very high casualty numbers. The weights were then rounded to the nearest integer to reduce the effect of fluctuations in the number of casualties </w:t>
      </w:r>
      <w:sdt>
        <w:sdtPr>
          <w:rPr>
            <w:rFonts w:eastAsiaTheme="minorEastAsia" w:cs="Times New Roman"/>
            <w:color w:val="000000"/>
            <w:lang w:val="en-CA"/>
          </w:rPr>
          <w:tag w:val="MENDELEY_CITATION_v3_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"/>
          <w:id w:val="-1558310104"/>
          <w:placeholder>
            <w:docPart w:val="BD20FD7FD4487744BBA6F3494088BE29"/>
          </w:placeholder>
        </w:sdtPr>
        <w:sdtContent>
          <w:r w:rsidR="00730D86" w:rsidRPr="00730D86">
            <w:rPr>
              <w:rFonts w:eastAsiaTheme="minorEastAsia" w:cs="Times New Roman"/>
              <w:color w:val="000000"/>
              <w:lang w:val="en-CA"/>
            </w:rPr>
            <w:t>[13]</w:t>
          </w:r>
        </w:sdtContent>
      </w:sdt>
      <w:r w:rsidRPr="00FE49C7">
        <w:rPr>
          <w:rFonts w:eastAsiaTheme="minorEastAsia" w:cs="Times New Roman"/>
          <w:lang w:val="en-CA"/>
        </w:rPr>
        <w:t>.</w:t>
      </w:r>
      <w:r w:rsidRPr="252873E8">
        <w:rPr>
          <w:rFonts w:eastAsiaTheme="minorEastAsia" w:cs="Times New Roman"/>
          <w:lang w:val="en-CA"/>
        </w:rPr>
        <w:t xml:space="preserve"> </w:t>
      </w:r>
    </w:p>
    <w:p w14:paraId="7441F070" w14:textId="77777777" w:rsidR="0055517D" w:rsidRDefault="0055517D" w:rsidP="00037673">
      <w:pPr>
        <w:spacing w:line="480" w:lineRule="auto"/>
        <w:rPr>
          <w:rFonts w:eastAsiaTheme="minorEastAsia" w:cs="Times New Roman"/>
          <w:lang w:val="en-CA"/>
        </w:rPr>
      </w:pPr>
    </w:p>
    <w:p w14:paraId="04B0FBA7" w14:textId="77777777" w:rsidR="00037673" w:rsidRPr="009F3787" w:rsidRDefault="00037673" w:rsidP="009F3787">
      <w:pPr>
        <w:spacing w:line="480" w:lineRule="auto"/>
        <w:rPr>
          <w:rFonts w:cs="Times New Roman"/>
          <w:b/>
          <w:bCs/>
          <w:i/>
          <w:iCs/>
          <w:lang w:val="en-CA"/>
        </w:rPr>
      </w:pPr>
      <w:r w:rsidRPr="009F3787">
        <w:rPr>
          <w:rFonts w:cs="Times New Roman"/>
          <w:b/>
          <w:bCs/>
          <w:i/>
          <w:iCs/>
          <w:lang w:val="en-CA"/>
        </w:rPr>
        <w:t>Edge correction</w:t>
      </w:r>
    </w:p>
    <w:p w14:paraId="6829BD0C" w14:textId="0D52B636" w:rsidR="003A2390" w:rsidRDefault="00037673" w:rsidP="00037673">
      <w:pPr>
        <w:spacing w:line="480" w:lineRule="auto"/>
        <w:rPr>
          <w:rFonts w:cs="Times New Roman"/>
          <w:lang w:val="en-CA"/>
        </w:rPr>
      </w:pPr>
      <w:r w:rsidRPr="13102D63">
        <w:rPr>
          <w:rFonts w:cs="Times New Roman"/>
          <w:lang w:val="en-CA"/>
        </w:rPr>
        <w:t xml:space="preserve">KDE values for areas near country boundaries can be distorted by edge effects </w:t>
      </w:r>
      <w:sdt>
        <w:sdtPr>
          <w:rPr>
            <w:rFonts w:cs="Times New Roman"/>
            <w:color w:val="000000"/>
            <w:lang w:val="en-CA"/>
          </w:rPr>
          <w:tag w:val="MENDELEY_CITATION_v3_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"/>
          <w:id w:val="1741354553"/>
          <w:placeholder>
            <w:docPart w:val="BD20FD7FD4487744BBA6F3494088BE29"/>
          </w:placeholder>
        </w:sdtPr>
        <w:sdtContent>
          <w:r w:rsidR="00730D86" w:rsidRPr="00730D86">
            <w:rPr>
              <w:rFonts w:cs="Times New Roman"/>
              <w:color w:val="000000"/>
              <w:lang w:val="en-CA"/>
            </w:rPr>
            <w:t>[9, 14]</w:t>
          </w:r>
        </w:sdtContent>
      </w:sdt>
      <w:r w:rsidRPr="13102D63">
        <w:rPr>
          <w:rFonts w:cs="Times New Roman"/>
          <w:lang w:val="en-CA"/>
        </w:rPr>
        <w:t>. Each event contributes a kernel to the density function; however, for events near the boundaries</w:t>
      </w:r>
      <w:r w:rsidR="00727C04">
        <w:rPr>
          <w:rFonts w:cs="Times New Roman"/>
          <w:lang w:val="en-CA"/>
        </w:rPr>
        <w:t xml:space="preserve"> (or </w:t>
      </w:r>
      <w:r w:rsidR="00727C04">
        <w:rPr>
          <w:rFonts w:cs="Times New Roman"/>
          <w:lang w:val="en-CA"/>
        </w:rPr>
        <w:lastRenderedPageBreak/>
        <w:t>edges of the study window)</w:t>
      </w:r>
      <w:r w:rsidRPr="13102D63">
        <w:rPr>
          <w:rFonts w:cs="Times New Roman"/>
          <w:lang w:val="en-CA"/>
        </w:rPr>
        <w:t xml:space="preserve">, part of the kernel extends beyond the study area and is therefore truncated. KDE values near the boundary are thus biased downward. Diggle proposed an edge-correction method that addresses this bias by weighting each event by the inverse of the proportion of its kernel that lies within the study boundaries </w:t>
      </w:r>
      <w:sdt>
        <w:sdtPr>
          <w:rPr>
            <w:rFonts w:cs="Times New Roman"/>
            <w:color w:val="000000"/>
            <w:lang w:val="en-CA"/>
          </w:rPr>
          <w:tag w:val="MENDELEY_CITATION_v3_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"/>
          <w:id w:val="1818534295"/>
          <w:placeholder>
            <w:docPart w:val="BD20FD7FD4487744BBA6F3494088BE29"/>
          </w:placeholder>
        </w:sdtPr>
        <w:sdtContent>
          <w:r w:rsidR="00730D86" w:rsidRPr="00730D86">
            <w:rPr>
              <w:rFonts w:cs="Times New Roman"/>
              <w:color w:val="000000"/>
              <w:lang w:val="en-CA"/>
            </w:rPr>
            <w:t>[14]</w:t>
          </w:r>
        </w:sdtContent>
      </w:sdt>
      <w:r w:rsidRPr="13102D63">
        <w:rPr>
          <w:rFonts w:cs="Times New Roman"/>
          <w:lang w:val="en-CA"/>
        </w:rPr>
        <w:t xml:space="preserve">. Events whose kernels fall entirely within the study area receive a weight of 1, whereas events for which only a fraction of the kernel lies within the boundary receive a weight of 1 by that fraction. We implemented the edge correction using Monte Carlo sampling. For each conflict event location, 1,000 random points were generated to represent the kernel's spatial spread under an adaptive bandwidth, and the proportion of points falling within the country's boundaries was used to compute the corresponding weight for each event. </w:t>
      </w:r>
    </w:p>
    <w:p w14:paraId="2FAE2141" w14:textId="77777777" w:rsidR="00E7022A" w:rsidRDefault="00E7022A" w:rsidP="00037673">
      <w:pPr>
        <w:spacing w:line="480" w:lineRule="auto"/>
        <w:rPr>
          <w:rFonts w:cs="Times New Roman"/>
          <w:lang w:val="en-CA"/>
        </w:rPr>
      </w:pPr>
    </w:p>
    <w:p w14:paraId="4E63F990" w14:textId="122F3C89" w:rsidR="00E7022A" w:rsidRPr="00E7022A" w:rsidRDefault="00E7022A" w:rsidP="00037673">
      <w:pPr>
        <w:spacing w:line="480" w:lineRule="auto"/>
        <w:rPr>
          <w:rFonts w:cs="Times New Roman"/>
          <w:b/>
          <w:bCs/>
          <w:i/>
          <w:iCs/>
          <w:lang w:val="en-CA"/>
        </w:rPr>
      </w:pPr>
      <w:r w:rsidRPr="00E7022A">
        <w:rPr>
          <w:rFonts w:cs="Times New Roman"/>
          <w:b/>
          <w:bCs/>
          <w:i/>
          <w:iCs/>
          <w:lang w:val="en-CA"/>
        </w:rPr>
        <w:t>Model specifications</w:t>
      </w:r>
    </w:p>
    <w:p w14:paraId="6DC2AB7F" w14:textId="238E522C" w:rsidR="00E7022A" w:rsidRDefault="001274D5" w:rsidP="00037673">
      <w:pPr>
        <w:spacing w:line="480" w:lineRule="auto"/>
        <w:rPr>
          <w:rFonts w:cs="Times New Roman"/>
          <w:lang w:val="en-CA"/>
        </w:rPr>
      </w:pPr>
      <w:r w:rsidRPr="13102D63">
        <w:rPr>
          <w:rFonts w:cs="Times New Roman"/>
          <w:lang w:val="en-CA"/>
        </w:rPr>
        <w:t>Several model specifications for KDE were implemented</w:t>
      </w:r>
      <w:r w:rsidR="00FA6993" w:rsidRPr="13102D63">
        <w:rPr>
          <w:rFonts w:cs="Times New Roman"/>
          <w:lang w:val="en-CA"/>
        </w:rPr>
        <w:t>, considering changes in spatial and temporal bandwidths and windows</w:t>
      </w:r>
      <w:r w:rsidR="00FA0B70" w:rsidRPr="13102D63">
        <w:rPr>
          <w:rFonts w:cs="Times New Roman"/>
          <w:lang w:val="en-CA"/>
        </w:rPr>
        <w:t xml:space="preserve"> and adjustments for population size, mortality, and edge correction. </w:t>
      </w:r>
      <w:r w:rsidR="00C449B5" w:rsidRPr="13102D63">
        <w:rPr>
          <w:rFonts w:cs="Times New Roman"/>
          <w:lang w:val="en-CA"/>
        </w:rPr>
        <w:t xml:space="preserve">Because our objective was to produce yearly surfaces, a reference date within each year was required; we selected December 31st, and applied a 364-day temporal window so that only events occurring during the year contributed to the annual intensity surfaces. A temporal bandwidth was not always applied in our base models, as it would imply that events closer to the reference date contributed more to the estimated probability density function than those earlier in the year. Since our primary interest was to weight all events within a given year equally, the temporal bandwidth was only considered in separate models. Additionally, </w:t>
      </w:r>
      <w:r w:rsidR="00F31641" w:rsidRPr="13102D63">
        <w:rPr>
          <w:rFonts w:cs="Times New Roman"/>
          <w:lang w:val="en-CA"/>
        </w:rPr>
        <w:t xml:space="preserve">as a </w:t>
      </w:r>
      <w:r w:rsidR="00C449B5" w:rsidRPr="13102D63">
        <w:rPr>
          <w:rFonts w:cs="Times New Roman"/>
          <w:lang w:val="en-CA"/>
        </w:rPr>
        <w:t xml:space="preserve">sensitivity analysis, we also considered a symmetric temporal window of ±182 days centered on the </w:t>
      </w:r>
      <w:r w:rsidR="00C449B5" w:rsidRPr="13102D63">
        <w:rPr>
          <w:rFonts w:cs="Times New Roman"/>
          <w:lang w:val="en-CA"/>
        </w:rPr>
        <w:lastRenderedPageBreak/>
        <w:t xml:space="preserve">reference date, July </w:t>
      </w:r>
      <w:r w:rsidR="00A850DB">
        <w:rPr>
          <w:rFonts w:cs="Times New Roman"/>
          <w:lang w:val="en-CA"/>
        </w:rPr>
        <w:t>2</w:t>
      </w:r>
      <w:r w:rsidR="00C449B5" w:rsidRPr="13102D63">
        <w:rPr>
          <w:rFonts w:cs="Times New Roman"/>
          <w:lang w:val="en-CA"/>
        </w:rPr>
        <w:t xml:space="preserve">. </w:t>
      </w:r>
      <w:r w:rsidR="00F31641" w:rsidRPr="13102D63">
        <w:rPr>
          <w:rFonts w:cs="Times New Roman"/>
          <w:lang w:val="en-CA"/>
        </w:rPr>
        <w:t>We also</w:t>
      </w:r>
      <w:r w:rsidR="00C449B5" w:rsidRPr="13102D63">
        <w:rPr>
          <w:rFonts w:cs="Times New Roman"/>
          <w:lang w:val="en-CA"/>
        </w:rPr>
        <w:t xml:space="preserve"> further restricted the kernel by applying a 500- km cap to the spatial window in addition to the temporal window.</w:t>
      </w:r>
    </w:p>
    <w:p w14:paraId="522CCEBA" w14:textId="77777777" w:rsidR="0002660C" w:rsidRDefault="0002660C" w:rsidP="003F4761">
      <w:pPr>
        <w:spacing w:line="480" w:lineRule="auto"/>
        <w:rPr>
          <w:rFonts w:eastAsiaTheme="minorEastAsia" w:cs="Times New Roman"/>
          <w:b/>
          <w:bCs/>
          <w:lang w:val="en-CA"/>
        </w:rPr>
      </w:pPr>
    </w:p>
    <w:p w14:paraId="25247F45" w14:textId="0FD39BDC" w:rsidR="00D3065A" w:rsidRPr="00D3065A" w:rsidRDefault="00740B09" w:rsidP="00D3065A">
      <w:pPr>
        <w:spacing w:line="480" w:lineRule="auto"/>
        <w:rPr>
          <w:rFonts w:eastAsiaTheme="minorEastAsia" w:cs="Times New Roman"/>
          <w:b/>
          <w:bCs/>
          <w:lang w:val="en-CA"/>
        </w:rPr>
      </w:pPr>
      <w:r>
        <w:rPr>
          <w:rFonts w:eastAsiaTheme="minorEastAsia" w:cs="Times New Roman"/>
          <w:b/>
          <w:bCs/>
          <w:lang w:val="en-CA"/>
        </w:rPr>
        <w:t xml:space="preserve">Section </w:t>
      </w:r>
      <w:r w:rsidR="00F5275F">
        <w:rPr>
          <w:rFonts w:eastAsiaTheme="minorEastAsia" w:cs="Times New Roman"/>
          <w:b/>
          <w:bCs/>
          <w:lang w:val="en-CA"/>
        </w:rPr>
        <w:t>4</w:t>
      </w:r>
      <w:r>
        <w:rPr>
          <w:rFonts w:eastAsiaTheme="minorEastAsia" w:cs="Times New Roman"/>
          <w:b/>
          <w:bCs/>
          <w:lang w:val="en-CA"/>
        </w:rPr>
        <w:t xml:space="preserve">: </w:t>
      </w:r>
      <w:r w:rsidR="00D3065A">
        <w:rPr>
          <w:rFonts w:eastAsiaTheme="minorEastAsia" w:cs="Times New Roman"/>
          <w:b/>
          <w:bCs/>
          <w:lang w:val="en-CA"/>
        </w:rPr>
        <w:t>Exposure and outcome variables</w:t>
      </w:r>
    </w:p>
    <w:p w14:paraId="043346A6" w14:textId="70A6B6E0" w:rsidR="00D3065A" w:rsidRPr="007A2A89" w:rsidRDefault="00D3065A" w:rsidP="00D3065A">
      <w:pPr>
        <w:spacing w:line="480" w:lineRule="auto"/>
        <w:rPr>
          <w:rFonts w:cs="Times New Roman"/>
          <w:b/>
          <w:bCs/>
          <w:lang w:val="en-US"/>
        </w:rPr>
      </w:pPr>
      <w:r w:rsidRPr="21A6F948">
        <w:rPr>
          <w:rFonts w:cs="Times New Roman"/>
          <w:b/>
          <w:bCs/>
          <w:lang w:val="en-US"/>
        </w:rPr>
        <w:t xml:space="preserve">Table </w:t>
      </w:r>
      <w:r>
        <w:rPr>
          <w:rFonts w:cs="Times New Roman"/>
          <w:b/>
          <w:bCs/>
          <w:lang w:val="en-US"/>
        </w:rPr>
        <w:t>S1</w:t>
      </w:r>
      <w:r w:rsidRPr="21A6F948">
        <w:rPr>
          <w:rFonts w:cs="Times New Roman"/>
          <w:b/>
          <w:bCs/>
          <w:lang w:val="en-US"/>
        </w:rPr>
        <w:t xml:space="preserve">. List of exposure and outcome variables </w:t>
      </w:r>
    </w:p>
    <w:tbl>
      <w:tblPr>
        <w:tblStyle w:val="TableGrid"/>
        <w:tblW w:w="9493" w:type="dxa"/>
        <w:tblLook w:val="04A0" w:firstRow="1" w:lastRow="0" w:firstColumn="1" w:lastColumn="0" w:noHBand="0" w:noVBand="1"/>
      </w:tblPr>
      <w:tblGrid>
        <w:gridCol w:w="1980"/>
        <w:gridCol w:w="7513"/>
      </w:tblGrid>
      <w:tr w:rsidR="00E112C6" w:rsidRPr="00E112C6" w14:paraId="4526F1F5" w14:textId="77777777" w:rsidTr="00007074">
        <w:tc>
          <w:tcPr>
            <w:tcW w:w="1980" w:type="dxa"/>
          </w:tcPr>
          <w:p w14:paraId="4FC2C9F6" w14:textId="5A7CBD13" w:rsidR="00E112C6" w:rsidRPr="00E112C6" w:rsidRDefault="00E112C6" w:rsidP="00007074">
            <w:pPr>
              <w:rPr>
                <w:rFonts w:cs="Times New Roman"/>
                <w:b/>
                <w:bCs/>
                <w:lang w:val="en-US"/>
              </w:rPr>
            </w:pPr>
            <w:r w:rsidRPr="00E112C6">
              <w:rPr>
                <w:rFonts w:cs="Times New Roman"/>
                <w:b/>
                <w:bCs/>
                <w:lang w:val="en-US"/>
              </w:rPr>
              <w:t>Construct</w:t>
            </w:r>
          </w:p>
        </w:tc>
        <w:tc>
          <w:tcPr>
            <w:tcW w:w="7513" w:type="dxa"/>
          </w:tcPr>
          <w:p w14:paraId="7ECACCFD" w14:textId="6E8CC2A3" w:rsidR="00E112C6" w:rsidRPr="00E112C6" w:rsidRDefault="00E112C6" w:rsidP="00007074">
            <w:pPr>
              <w:spacing w:after="120"/>
              <w:rPr>
                <w:rFonts w:cs="Times New Roman"/>
                <w:b/>
                <w:bCs/>
                <w:lang w:val="en-US"/>
              </w:rPr>
            </w:pPr>
            <w:r w:rsidRPr="00E112C6">
              <w:rPr>
                <w:rFonts w:cs="Times New Roman"/>
                <w:b/>
                <w:bCs/>
                <w:lang w:val="en-US"/>
              </w:rPr>
              <w:t>Variable details</w:t>
            </w:r>
          </w:p>
        </w:tc>
      </w:tr>
      <w:tr w:rsidR="00D3065A" w:rsidRPr="00AB4696" w14:paraId="537AC058" w14:textId="77777777" w:rsidTr="00007074">
        <w:tc>
          <w:tcPr>
            <w:tcW w:w="1980" w:type="dxa"/>
            <w:vMerge w:val="restart"/>
          </w:tcPr>
          <w:p w14:paraId="3E29F3D8" w14:textId="77777777" w:rsidR="00D3065A" w:rsidRDefault="00D3065A" w:rsidP="00007074">
            <w:pPr>
              <w:rPr>
                <w:rFonts w:cs="Times New Roman"/>
                <w:lang w:val="en-US"/>
              </w:rPr>
            </w:pPr>
            <w:r>
              <w:rPr>
                <w:rFonts w:cs="Times New Roman"/>
                <w:lang w:val="en-US"/>
              </w:rPr>
              <w:t xml:space="preserve">Exposure to armed conflict </w:t>
            </w:r>
          </w:p>
        </w:tc>
        <w:tc>
          <w:tcPr>
            <w:tcW w:w="7513" w:type="dxa"/>
          </w:tcPr>
          <w:p w14:paraId="6A7C7F61" w14:textId="77777777" w:rsidR="00D3065A" w:rsidRDefault="00D3065A" w:rsidP="00007074">
            <w:pPr>
              <w:spacing w:after="120"/>
              <w:rPr>
                <w:rFonts w:cs="Times New Roman"/>
                <w:lang w:val="en-US"/>
              </w:rPr>
            </w:pPr>
            <w:r w:rsidRPr="21A6F948">
              <w:rPr>
                <w:rFonts w:cs="Times New Roman"/>
                <w:lang w:val="en-US"/>
              </w:rPr>
              <w:t xml:space="preserve">1. </w:t>
            </w:r>
            <w:r w:rsidRPr="005D2778">
              <w:rPr>
                <w:rFonts w:cs="Times New Roman"/>
                <w:b/>
                <w:bCs/>
                <w:i/>
                <w:iCs/>
                <w:lang w:val="en-US"/>
              </w:rPr>
              <w:t>Continuous KDE-based conflict intensity values</w:t>
            </w:r>
            <w:r w:rsidRPr="21A6F948">
              <w:rPr>
                <w:rFonts w:cs="Times New Roman"/>
                <w:lang w:val="en-US"/>
              </w:rPr>
              <w:t>, capturing the expected number of conflict events per unit area</w:t>
            </w:r>
          </w:p>
          <w:p w14:paraId="452FAB3E" w14:textId="61730F91" w:rsidR="00D3065A" w:rsidRDefault="00D3065A" w:rsidP="00D3065A">
            <w:pPr>
              <w:pStyle w:val="ListParagraph"/>
              <w:numPr>
                <w:ilvl w:val="0"/>
                <w:numId w:val="3"/>
              </w:numPr>
              <w:rPr>
                <w:rFonts w:cs="Times New Roman"/>
                <w:lang w:val="en-US"/>
              </w:rPr>
            </w:pPr>
            <w:r>
              <w:rPr>
                <w:rFonts w:cs="Times New Roman"/>
                <w:lang w:val="en-US"/>
              </w:rPr>
              <w:t>Aggregated at community health centre</w:t>
            </w:r>
            <w:r w:rsidR="00C65847">
              <w:rPr>
                <w:rFonts w:cs="Times New Roman"/>
                <w:lang w:val="en-US"/>
              </w:rPr>
              <w:t xml:space="preserve"> </w:t>
            </w:r>
            <w:r>
              <w:rPr>
                <w:rFonts w:cs="Times New Roman"/>
                <w:lang w:val="en-US"/>
              </w:rPr>
              <w:t>catchment area and health district levels</w:t>
            </w:r>
          </w:p>
          <w:p w14:paraId="50C93ECB" w14:textId="77777777" w:rsidR="00D3065A" w:rsidRPr="002F5D13" w:rsidRDefault="00D3065A" w:rsidP="00007074">
            <w:pPr>
              <w:pStyle w:val="ListParagraph"/>
              <w:rPr>
                <w:rFonts w:cs="Times New Roman"/>
                <w:lang w:val="en-US"/>
              </w:rPr>
            </w:pPr>
          </w:p>
        </w:tc>
      </w:tr>
      <w:tr w:rsidR="00D3065A" w:rsidRPr="00AB4696" w14:paraId="470032BA" w14:textId="77777777" w:rsidTr="00007074">
        <w:tc>
          <w:tcPr>
            <w:tcW w:w="1980" w:type="dxa"/>
            <w:vMerge/>
          </w:tcPr>
          <w:p w14:paraId="2731DE91" w14:textId="77777777" w:rsidR="00D3065A" w:rsidRDefault="00D3065A" w:rsidP="00007074">
            <w:pPr>
              <w:rPr>
                <w:rFonts w:cs="Times New Roman"/>
                <w:lang w:val="en-US"/>
              </w:rPr>
            </w:pPr>
          </w:p>
        </w:tc>
        <w:tc>
          <w:tcPr>
            <w:tcW w:w="7513" w:type="dxa"/>
          </w:tcPr>
          <w:p w14:paraId="3F34180C" w14:textId="7A33B668" w:rsidR="00D3065A" w:rsidRDefault="00D3065A" w:rsidP="00007074">
            <w:pPr>
              <w:spacing w:after="120"/>
              <w:rPr>
                <w:rFonts w:cs="Times New Roman"/>
                <w:lang w:val="en-US"/>
              </w:rPr>
            </w:pPr>
            <w:r>
              <w:rPr>
                <w:rFonts w:cs="Times New Roman"/>
                <w:lang w:val="en-US"/>
              </w:rPr>
              <w:t xml:space="preserve">2. </w:t>
            </w:r>
            <w:r w:rsidR="00AC6FB8" w:rsidRPr="005D2778">
              <w:rPr>
                <w:rFonts w:cs="Times New Roman"/>
                <w:b/>
                <w:bCs/>
                <w:i/>
                <w:iCs/>
                <w:lang w:val="en-US"/>
              </w:rPr>
              <w:t>Standard b</w:t>
            </w:r>
            <w:r w:rsidRPr="005D2778">
              <w:rPr>
                <w:rFonts w:cs="Times New Roman"/>
                <w:b/>
                <w:bCs/>
                <w:i/>
                <w:iCs/>
                <w:lang w:val="en-US"/>
              </w:rPr>
              <w:t>inary conflict exposure</w:t>
            </w:r>
            <w:r>
              <w:rPr>
                <w:rFonts w:cs="Times New Roman"/>
                <w:lang w:val="en-US"/>
              </w:rPr>
              <w:t>, captur</w:t>
            </w:r>
            <w:r w:rsidR="00AC6FB8">
              <w:rPr>
                <w:rFonts w:cs="Times New Roman"/>
                <w:lang w:val="en-US"/>
              </w:rPr>
              <w:t>ed</w:t>
            </w:r>
            <w:r>
              <w:rPr>
                <w:rFonts w:cs="Times New Roman"/>
                <w:lang w:val="en-US"/>
              </w:rPr>
              <w:t xml:space="preserve"> as exposure to at least 1 event</w:t>
            </w:r>
          </w:p>
          <w:p w14:paraId="4C8B671D" w14:textId="77777777" w:rsidR="00D3065A" w:rsidRDefault="00D3065A" w:rsidP="00D3065A">
            <w:pPr>
              <w:pStyle w:val="ListParagraph"/>
              <w:numPr>
                <w:ilvl w:val="0"/>
                <w:numId w:val="3"/>
              </w:numPr>
              <w:rPr>
                <w:rFonts w:cs="Times New Roman"/>
                <w:lang w:val="en-US"/>
              </w:rPr>
            </w:pPr>
            <w:r>
              <w:rPr>
                <w:rFonts w:cs="Times New Roman"/>
                <w:lang w:val="en-US"/>
              </w:rPr>
              <w:t>Presence of at least 1 event at the health district level</w:t>
            </w:r>
          </w:p>
          <w:p w14:paraId="1AFFACD0" w14:textId="02258420" w:rsidR="00D3065A" w:rsidRDefault="00D3065A" w:rsidP="00D3065A">
            <w:pPr>
              <w:pStyle w:val="ListParagraph"/>
              <w:numPr>
                <w:ilvl w:val="0"/>
                <w:numId w:val="3"/>
              </w:numPr>
              <w:rPr>
                <w:rFonts w:cs="Times New Roman"/>
                <w:lang w:val="en-US"/>
              </w:rPr>
            </w:pPr>
            <w:r>
              <w:rPr>
                <w:rFonts w:cs="Times New Roman"/>
                <w:lang w:val="en-US"/>
              </w:rPr>
              <w:t xml:space="preserve">Proximity to at least 1 conflict event within a 50-km radius of a </w:t>
            </w:r>
            <w:r w:rsidR="0019280C">
              <w:rPr>
                <w:rFonts w:cs="Times New Roman"/>
                <w:lang w:val="en-US"/>
              </w:rPr>
              <w:t>Community health centre</w:t>
            </w:r>
          </w:p>
          <w:p w14:paraId="5D9562E7" w14:textId="77777777" w:rsidR="00D3065A" w:rsidRPr="00FA6D00" w:rsidRDefault="00D3065A" w:rsidP="00007074">
            <w:pPr>
              <w:pStyle w:val="ListParagraph"/>
              <w:rPr>
                <w:rFonts w:cs="Times New Roman"/>
                <w:lang w:val="en-US"/>
              </w:rPr>
            </w:pPr>
          </w:p>
        </w:tc>
      </w:tr>
      <w:tr w:rsidR="00D3065A" w:rsidRPr="00AB4696" w14:paraId="575C4654" w14:textId="77777777" w:rsidTr="00007074">
        <w:tc>
          <w:tcPr>
            <w:tcW w:w="1980" w:type="dxa"/>
            <w:vMerge/>
          </w:tcPr>
          <w:p w14:paraId="6DA6D83E" w14:textId="77777777" w:rsidR="00D3065A" w:rsidRDefault="00D3065A" w:rsidP="00007074">
            <w:pPr>
              <w:rPr>
                <w:rFonts w:cs="Times New Roman"/>
                <w:lang w:val="en-US"/>
              </w:rPr>
            </w:pPr>
          </w:p>
        </w:tc>
        <w:tc>
          <w:tcPr>
            <w:tcW w:w="7513" w:type="dxa"/>
          </w:tcPr>
          <w:p w14:paraId="34C2B816" w14:textId="213AF695" w:rsidR="00D3065A" w:rsidRDefault="00D3065A" w:rsidP="00007074">
            <w:pPr>
              <w:spacing w:after="120"/>
              <w:rPr>
                <w:rFonts w:cs="Times New Roman"/>
                <w:lang w:val="en-US"/>
              </w:rPr>
            </w:pPr>
            <w:r>
              <w:rPr>
                <w:rFonts w:cs="Times New Roman"/>
                <w:lang w:val="en-US"/>
              </w:rPr>
              <w:t xml:space="preserve">3. </w:t>
            </w:r>
            <w:r w:rsidR="00AC6FB8" w:rsidRPr="005D2778">
              <w:rPr>
                <w:rFonts w:cs="Times New Roman"/>
                <w:b/>
                <w:bCs/>
                <w:i/>
                <w:iCs/>
                <w:lang w:val="en-US"/>
              </w:rPr>
              <w:t>Standard c</w:t>
            </w:r>
            <w:r w:rsidRPr="005D2778">
              <w:rPr>
                <w:rFonts w:cs="Times New Roman"/>
                <w:b/>
                <w:bCs/>
                <w:i/>
                <w:iCs/>
                <w:lang w:val="en-US"/>
              </w:rPr>
              <w:t>ontinuous conflict exposure</w:t>
            </w:r>
            <w:r>
              <w:rPr>
                <w:rFonts w:cs="Times New Roman"/>
                <w:lang w:val="en-US"/>
              </w:rPr>
              <w:t>, which is defined as the number of conflict events reported</w:t>
            </w:r>
          </w:p>
          <w:p w14:paraId="2D1CFDAF" w14:textId="77777777" w:rsidR="00D3065A" w:rsidRDefault="00D3065A" w:rsidP="00D3065A">
            <w:pPr>
              <w:pStyle w:val="ListParagraph"/>
              <w:numPr>
                <w:ilvl w:val="0"/>
                <w:numId w:val="3"/>
              </w:numPr>
              <w:rPr>
                <w:rFonts w:cs="Times New Roman"/>
                <w:lang w:val="en-US"/>
              </w:rPr>
            </w:pPr>
            <w:r>
              <w:rPr>
                <w:rFonts w:cs="Times New Roman"/>
                <w:lang w:val="en-US"/>
              </w:rPr>
              <w:t>Aggregated at the health district level</w:t>
            </w:r>
          </w:p>
          <w:p w14:paraId="526F0160" w14:textId="0BB32583" w:rsidR="00D3065A" w:rsidRDefault="00D3065A" w:rsidP="00D3065A">
            <w:pPr>
              <w:pStyle w:val="ListParagraph"/>
              <w:numPr>
                <w:ilvl w:val="0"/>
                <w:numId w:val="3"/>
              </w:numPr>
              <w:rPr>
                <w:rFonts w:cs="Times New Roman"/>
                <w:lang w:val="en-US"/>
              </w:rPr>
            </w:pPr>
            <w:r>
              <w:rPr>
                <w:rFonts w:cs="Times New Roman"/>
                <w:lang w:val="en-US"/>
              </w:rPr>
              <w:t xml:space="preserve">Aggregated within a 50-km radius from the </w:t>
            </w:r>
            <w:r w:rsidR="0019280C">
              <w:rPr>
                <w:rFonts w:cs="Times New Roman"/>
                <w:lang w:val="en-US"/>
              </w:rPr>
              <w:t>community health centre</w:t>
            </w:r>
          </w:p>
          <w:p w14:paraId="4C3CE64F" w14:textId="77777777" w:rsidR="00AC6FB8" w:rsidRPr="00BD66FD" w:rsidRDefault="00AC6FB8" w:rsidP="00AC6FB8">
            <w:pPr>
              <w:pStyle w:val="ListParagraph"/>
              <w:rPr>
                <w:rFonts w:cs="Times New Roman"/>
                <w:lang w:val="en-US"/>
              </w:rPr>
            </w:pPr>
          </w:p>
        </w:tc>
      </w:tr>
      <w:tr w:rsidR="00D3065A" w:rsidRPr="00AB4696" w14:paraId="10DBF423" w14:textId="77777777" w:rsidTr="00007074">
        <w:tc>
          <w:tcPr>
            <w:tcW w:w="1980" w:type="dxa"/>
            <w:vMerge w:val="restart"/>
          </w:tcPr>
          <w:p w14:paraId="476461BD" w14:textId="77777777" w:rsidR="00D3065A" w:rsidRDefault="00D3065A" w:rsidP="00007074">
            <w:pPr>
              <w:rPr>
                <w:rFonts w:cs="Times New Roman"/>
                <w:lang w:val="en-US"/>
              </w:rPr>
            </w:pPr>
            <w:r>
              <w:rPr>
                <w:rFonts w:cs="Times New Roman"/>
                <w:lang w:val="en-US"/>
              </w:rPr>
              <w:t>Reproductive, maternal, and child health outcomes</w:t>
            </w:r>
          </w:p>
        </w:tc>
        <w:tc>
          <w:tcPr>
            <w:tcW w:w="7513" w:type="dxa"/>
          </w:tcPr>
          <w:p w14:paraId="7106611B" w14:textId="70C6FF0A" w:rsidR="00D3065A" w:rsidRPr="007367BD" w:rsidRDefault="007367BD" w:rsidP="007367BD">
            <w:pPr>
              <w:pStyle w:val="ListParagraph"/>
              <w:numPr>
                <w:ilvl w:val="0"/>
                <w:numId w:val="4"/>
              </w:numPr>
              <w:spacing w:after="120"/>
              <w:rPr>
                <w:rFonts w:cs="Times New Roman"/>
                <w:lang w:val="en-US"/>
              </w:rPr>
            </w:pPr>
            <w:r w:rsidRPr="007367BD">
              <w:rPr>
                <w:rFonts w:cs="Times New Roman"/>
                <w:b/>
                <w:bCs/>
                <w:i/>
                <w:iCs/>
                <w:lang w:val="en-US"/>
              </w:rPr>
              <w:t>Unmet need for family planning:</w:t>
            </w:r>
            <w:r>
              <w:rPr>
                <w:rFonts w:cs="Times New Roman"/>
                <w:lang w:val="en-US"/>
              </w:rPr>
              <w:t xml:space="preserve"> </w:t>
            </w:r>
            <w:r w:rsidR="00D3065A" w:rsidRPr="007367BD">
              <w:rPr>
                <w:rFonts w:cs="Times New Roman"/>
                <w:lang w:val="en-US"/>
              </w:rPr>
              <w:t xml:space="preserve">Proportion of women of reproductive age with unmet contraceptive needs </w:t>
            </w:r>
          </w:p>
          <w:p w14:paraId="1CC833A9" w14:textId="50737FB1" w:rsidR="00D3065A" w:rsidRDefault="00D3065A" w:rsidP="00D3065A">
            <w:pPr>
              <w:pStyle w:val="ListParagraph"/>
              <w:numPr>
                <w:ilvl w:val="0"/>
                <w:numId w:val="3"/>
              </w:numPr>
              <w:rPr>
                <w:rFonts w:cs="Times New Roman"/>
                <w:lang w:val="en-US"/>
              </w:rPr>
            </w:pPr>
            <w:r>
              <w:rPr>
                <w:rFonts w:cs="Times New Roman"/>
                <w:lang w:val="en-US"/>
              </w:rPr>
              <w:t xml:space="preserve">Aggregated at </w:t>
            </w:r>
            <w:r w:rsidR="0019280C">
              <w:rPr>
                <w:rFonts w:cs="Times New Roman"/>
                <w:lang w:val="en-US"/>
              </w:rPr>
              <w:t>community health centre</w:t>
            </w:r>
            <w:r>
              <w:rPr>
                <w:rFonts w:cs="Times New Roman"/>
                <w:lang w:val="en-US"/>
              </w:rPr>
              <w:t xml:space="preserve"> catchment area and health district levels</w:t>
            </w:r>
          </w:p>
          <w:p w14:paraId="47728EC5" w14:textId="77777777" w:rsidR="00D3065A" w:rsidRPr="007821DB" w:rsidRDefault="00D3065A" w:rsidP="00007074">
            <w:pPr>
              <w:pStyle w:val="ListParagraph"/>
              <w:rPr>
                <w:rFonts w:cs="Times New Roman"/>
                <w:lang w:val="en-US"/>
              </w:rPr>
            </w:pPr>
          </w:p>
        </w:tc>
      </w:tr>
      <w:tr w:rsidR="00D3065A" w:rsidRPr="00AB4696" w14:paraId="671C1506" w14:textId="77777777" w:rsidTr="00007074">
        <w:tc>
          <w:tcPr>
            <w:tcW w:w="1980" w:type="dxa"/>
            <w:vMerge/>
          </w:tcPr>
          <w:p w14:paraId="61318AA6" w14:textId="77777777" w:rsidR="00D3065A" w:rsidRDefault="00D3065A" w:rsidP="00007074">
            <w:pPr>
              <w:rPr>
                <w:rFonts w:cs="Times New Roman"/>
                <w:lang w:val="en-US"/>
              </w:rPr>
            </w:pPr>
          </w:p>
        </w:tc>
        <w:tc>
          <w:tcPr>
            <w:tcW w:w="7513" w:type="dxa"/>
          </w:tcPr>
          <w:p w14:paraId="44A0FB64" w14:textId="269C68C0" w:rsidR="00D3065A" w:rsidRPr="007367BD" w:rsidRDefault="007367BD" w:rsidP="007367BD">
            <w:pPr>
              <w:pStyle w:val="ListParagraph"/>
              <w:numPr>
                <w:ilvl w:val="0"/>
                <w:numId w:val="4"/>
              </w:numPr>
              <w:spacing w:after="120"/>
              <w:rPr>
                <w:rFonts w:cs="Times New Roman"/>
                <w:lang w:val="en-US"/>
              </w:rPr>
            </w:pPr>
            <w:r w:rsidRPr="007367BD">
              <w:rPr>
                <w:rFonts w:cs="Times New Roman"/>
                <w:b/>
                <w:bCs/>
                <w:i/>
                <w:iCs/>
                <w:lang w:val="en-US"/>
              </w:rPr>
              <w:t>Ineffective antenatal care</w:t>
            </w:r>
            <w:r>
              <w:rPr>
                <w:rFonts w:cs="Times New Roman"/>
                <w:lang w:val="en-US"/>
              </w:rPr>
              <w:t xml:space="preserve">: </w:t>
            </w:r>
            <w:r w:rsidR="00D3065A" w:rsidRPr="007367BD">
              <w:rPr>
                <w:rFonts w:cs="Times New Roman"/>
                <w:lang w:val="en-US"/>
              </w:rPr>
              <w:t xml:space="preserve">Proportion of pregnant women who attend fewer than four antenatal care visits </w:t>
            </w:r>
          </w:p>
          <w:p w14:paraId="6ED8F32F" w14:textId="0070D4FF" w:rsidR="00D3065A" w:rsidRDefault="00D3065A" w:rsidP="00D3065A">
            <w:pPr>
              <w:pStyle w:val="ListParagraph"/>
              <w:numPr>
                <w:ilvl w:val="0"/>
                <w:numId w:val="3"/>
              </w:numPr>
              <w:rPr>
                <w:rFonts w:cs="Times New Roman"/>
                <w:lang w:val="en-US"/>
              </w:rPr>
            </w:pPr>
            <w:r w:rsidRPr="0034332F">
              <w:rPr>
                <w:rFonts w:cs="Times New Roman"/>
                <w:lang w:val="en-US"/>
              </w:rPr>
              <w:t xml:space="preserve">Aggregated at </w:t>
            </w:r>
            <w:r w:rsidR="0019280C">
              <w:rPr>
                <w:rFonts w:cs="Times New Roman"/>
                <w:lang w:val="en-US"/>
              </w:rPr>
              <w:t>community health centre</w:t>
            </w:r>
            <w:r w:rsidRPr="0034332F">
              <w:rPr>
                <w:rFonts w:cs="Times New Roman"/>
                <w:lang w:val="en-US"/>
              </w:rPr>
              <w:t xml:space="preserve"> catchment area and health district levels</w:t>
            </w:r>
          </w:p>
          <w:p w14:paraId="13F63356" w14:textId="77777777" w:rsidR="00D3065A" w:rsidRPr="0034332F" w:rsidRDefault="00D3065A" w:rsidP="00007074">
            <w:pPr>
              <w:pStyle w:val="ListParagraph"/>
              <w:rPr>
                <w:rFonts w:cs="Times New Roman"/>
                <w:lang w:val="en-US"/>
              </w:rPr>
            </w:pPr>
          </w:p>
        </w:tc>
      </w:tr>
      <w:tr w:rsidR="00D3065A" w:rsidRPr="00AB4696" w14:paraId="14F04747" w14:textId="77777777" w:rsidTr="00007074">
        <w:tc>
          <w:tcPr>
            <w:tcW w:w="1980" w:type="dxa"/>
            <w:vMerge/>
          </w:tcPr>
          <w:p w14:paraId="3B5F7C85" w14:textId="77777777" w:rsidR="00D3065A" w:rsidRDefault="00D3065A" w:rsidP="00007074">
            <w:pPr>
              <w:rPr>
                <w:rFonts w:cs="Times New Roman"/>
                <w:lang w:val="en-US"/>
              </w:rPr>
            </w:pPr>
          </w:p>
        </w:tc>
        <w:tc>
          <w:tcPr>
            <w:tcW w:w="7513" w:type="dxa"/>
          </w:tcPr>
          <w:p w14:paraId="5938BF06" w14:textId="7674D525" w:rsidR="00D3065A" w:rsidRPr="007367BD" w:rsidRDefault="007367BD" w:rsidP="007367BD">
            <w:pPr>
              <w:pStyle w:val="ListParagraph"/>
              <w:numPr>
                <w:ilvl w:val="0"/>
                <w:numId w:val="4"/>
              </w:numPr>
              <w:spacing w:after="120"/>
              <w:rPr>
                <w:rFonts w:cs="Times New Roman"/>
                <w:lang w:val="en-US"/>
              </w:rPr>
            </w:pPr>
            <w:r w:rsidRPr="007367BD">
              <w:rPr>
                <w:rFonts w:cs="Times New Roman"/>
                <w:b/>
                <w:bCs/>
                <w:i/>
                <w:iCs/>
                <w:lang w:val="en-US"/>
              </w:rPr>
              <w:t>Non-institutional delivery:</w:t>
            </w:r>
            <w:r>
              <w:rPr>
                <w:rFonts w:cs="Times New Roman"/>
                <w:lang w:val="en-US"/>
              </w:rPr>
              <w:t xml:space="preserve"> </w:t>
            </w:r>
            <w:r w:rsidR="00D3065A" w:rsidRPr="007367BD">
              <w:rPr>
                <w:rFonts w:cs="Times New Roman"/>
                <w:lang w:val="en-US"/>
              </w:rPr>
              <w:t>Proportion of women who gave birth outside a health facility</w:t>
            </w:r>
          </w:p>
          <w:p w14:paraId="710538AC" w14:textId="5C721FB0" w:rsidR="00D3065A" w:rsidRDefault="00D3065A" w:rsidP="00D3065A">
            <w:pPr>
              <w:pStyle w:val="ListParagraph"/>
              <w:numPr>
                <w:ilvl w:val="0"/>
                <w:numId w:val="3"/>
              </w:numPr>
              <w:rPr>
                <w:rFonts w:cs="Times New Roman"/>
                <w:lang w:val="en-US"/>
              </w:rPr>
            </w:pPr>
            <w:r>
              <w:rPr>
                <w:rFonts w:cs="Times New Roman"/>
                <w:lang w:val="en-US"/>
              </w:rPr>
              <w:t xml:space="preserve">Aggregated at </w:t>
            </w:r>
            <w:r w:rsidR="0019280C">
              <w:rPr>
                <w:rFonts w:cs="Times New Roman"/>
                <w:lang w:val="en-US"/>
              </w:rPr>
              <w:t>community health centre</w:t>
            </w:r>
            <w:r>
              <w:rPr>
                <w:rFonts w:cs="Times New Roman"/>
                <w:lang w:val="en-US"/>
              </w:rPr>
              <w:t xml:space="preserve"> catchment area and health district levels</w:t>
            </w:r>
          </w:p>
          <w:p w14:paraId="705C031C" w14:textId="77777777" w:rsidR="00D3065A" w:rsidRPr="00D17B15" w:rsidRDefault="00D3065A" w:rsidP="00007074">
            <w:pPr>
              <w:ind w:left="360"/>
              <w:rPr>
                <w:rFonts w:cs="Times New Roman"/>
                <w:lang w:val="en-US"/>
              </w:rPr>
            </w:pPr>
          </w:p>
        </w:tc>
      </w:tr>
      <w:tr w:rsidR="00D3065A" w:rsidRPr="00AB4696" w14:paraId="0BBA97F2" w14:textId="77777777" w:rsidTr="00007074">
        <w:tc>
          <w:tcPr>
            <w:tcW w:w="1980" w:type="dxa"/>
            <w:vMerge/>
          </w:tcPr>
          <w:p w14:paraId="60EB3D3E" w14:textId="77777777" w:rsidR="00D3065A" w:rsidRDefault="00D3065A" w:rsidP="00007074">
            <w:pPr>
              <w:rPr>
                <w:rFonts w:cs="Times New Roman"/>
                <w:lang w:val="en-US"/>
              </w:rPr>
            </w:pPr>
          </w:p>
        </w:tc>
        <w:tc>
          <w:tcPr>
            <w:tcW w:w="7513" w:type="dxa"/>
          </w:tcPr>
          <w:p w14:paraId="3B99542E" w14:textId="0F2362B3" w:rsidR="00D3065A" w:rsidRPr="007367BD" w:rsidRDefault="007367BD" w:rsidP="007367BD">
            <w:pPr>
              <w:pStyle w:val="ListParagraph"/>
              <w:numPr>
                <w:ilvl w:val="0"/>
                <w:numId w:val="4"/>
              </w:numPr>
              <w:spacing w:after="120"/>
              <w:rPr>
                <w:rFonts w:cs="Times New Roman"/>
                <w:lang w:val="en-US"/>
              </w:rPr>
            </w:pPr>
            <w:r w:rsidRPr="007367BD">
              <w:rPr>
                <w:rFonts w:cs="Times New Roman"/>
                <w:b/>
                <w:bCs/>
                <w:i/>
                <w:iCs/>
                <w:lang w:val="en-US"/>
              </w:rPr>
              <w:t>Missed DTP3 vaccination:</w:t>
            </w:r>
            <w:r>
              <w:rPr>
                <w:rFonts w:cs="Times New Roman"/>
                <w:lang w:val="en-US"/>
              </w:rPr>
              <w:t xml:space="preserve"> </w:t>
            </w:r>
            <w:r w:rsidR="00D3065A" w:rsidRPr="007367BD">
              <w:rPr>
                <w:rFonts w:cs="Times New Roman"/>
                <w:lang w:val="en-US"/>
              </w:rPr>
              <w:t>Proportion of children between 12 and 23 months who did not receive their DTP3 dose</w:t>
            </w:r>
          </w:p>
          <w:p w14:paraId="043F4EB1" w14:textId="474CD928" w:rsidR="00D3065A" w:rsidRPr="00EE0535" w:rsidRDefault="00D3065A" w:rsidP="00D3065A">
            <w:pPr>
              <w:pStyle w:val="ListParagraph"/>
              <w:numPr>
                <w:ilvl w:val="0"/>
                <w:numId w:val="3"/>
              </w:numPr>
              <w:rPr>
                <w:rFonts w:cs="Times New Roman"/>
                <w:lang w:val="en-US"/>
              </w:rPr>
            </w:pPr>
            <w:r>
              <w:rPr>
                <w:rFonts w:cs="Times New Roman"/>
                <w:lang w:val="en-US"/>
              </w:rPr>
              <w:t xml:space="preserve">Aggregated at </w:t>
            </w:r>
            <w:r w:rsidR="0019280C">
              <w:rPr>
                <w:rFonts w:cs="Times New Roman"/>
                <w:lang w:val="en-US"/>
              </w:rPr>
              <w:t>community health centre</w:t>
            </w:r>
            <w:r>
              <w:rPr>
                <w:rFonts w:cs="Times New Roman"/>
                <w:lang w:val="en-US"/>
              </w:rPr>
              <w:t xml:space="preserve"> catchment area and health district levels</w:t>
            </w:r>
          </w:p>
        </w:tc>
      </w:tr>
    </w:tbl>
    <w:p w14:paraId="0176541A" w14:textId="77777777" w:rsidR="00A346F8" w:rsidRDefault="00A346F8" w:rsidP="003F4761">
      <w:pPr>
        <w:spacing w:line="480" w:lineRule="auto"/>
        <w:rPr>
          <w:rFonts w:eastAsiaTheme="minorEastAsia" w:cs="Times New Roman"/>
          <w:b/>
          <w:bCs/>
          <w:lang w:val="en-CA"/>
        </w:rPr>
        <w:sectPr w:rsidR="00A346F8" w:rsidSect="0022225B">
          <w:pgSz w:w="12240" w:h="15840"/>
          <w:pgMar w:top="1440" w:right="1440" w:bottom="1440" w:left="1440" w:header="709" w:footer="709" w:gutter="0"/>
          <w:cols w:space="708"/>
          <w:docGrid w:linePitch="360"/>
        </w:sectPr>
      </w:pPr>
    </w:p>
    <w:p w14:paraId="7032BBDC" w14:textId="65031566" w:rsidR="00D07180" w:rsidRDefault="006626E4">
      <w:pPr>
        <w:rPr>
          <w:rFonts w:eastAsiaTheme="minorEastAsia" w:cs="Times New Roman"/>
          <w:b/>
          <w:bCs/>
          <w:lang w:val="en-CA"/>
        </w:rPr>
      </w:pPr>
      <w:r>
        <w:rPr>
          <w:rFonts w:eastAsiaTheme="minorEastAsia" w:cs="Times New Roman"/>
          <w:b/>
          <w:bCs/>
          <w:lang w:val="en-CA"/>
        </w:rPr>
        <w:lastRenderedPageBreak/>
        <w:t xml:space="preserve">Section 4: Additional </w:t>
      </w:r>
      <w:r w:rsidR="00D07180">
        <w:rPr>
          <w:rFonts w:eastAsiaTheme="minorEastAsia" w:cs="Times New Roman"/>
          <w:b/>
          <w:bCs/>
          <w:lang w:val="en-CA"/>
        </w:rPr>
        <w:t>figures</w:t>
      </w:r>
    </w:p>
    <w:p w14:paraId="315CA322" w14:textId="77777777" w:rsidR="002E7924" w:rsidRDefault="002E7924">
      <w:pPr>
        <w:rPr>
          <w:rFonts w:eastAsiaTheme="minorEastAsia" w:cs="Times New Roman"/>
          <w:b/>
          <w:bCs/>
          <w:lang w:val="en-CA"/>
        </w:rPr>
      </w:pPr>
    </w:p>
    <w:p w14:paraId="71074DCA" w14:textId="77777777" w:rsidR="003331C5" w:rsidRDefault="003331C5" w:rsidP="003331C5">
      <w:pPr>
        <w:spacing w:line="480" w:lineRule="auto"/>
        <w:rPr>
          <w:rFonts w:cs="Times New Roman"/>
          <w:b/>
          <w:bCs/>
          <w:lang w:val="en-US"/>
        </w:rPr>
      </w:pPr>
      <w:r>
        <w:rPr>
          <w:rFonts w:cs="Times New Roman"/>
          <w:b/>
          <w:bCs/>
          <w:noProof/>
          <w:lang w:val="en-US"/>
        </w:rPr>
        <w:drawing>
          <wp:inline distT="0" distB="0" distL="0" distR="0" wp14:anchorId="14093260" wp14:editId="3FDE59D4">
            <wp:extent cx="6181664" cy="5270831"/>
            <wp:effectExtent l="0" t="0" r="3810" b="0"/>
            <wp:docPr id="1077863068" name="Picture 1" descr="A collage of images of a map&#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863068" name="Picture 1" descr="A collage of images of a map&#10;&#10;AI-generated content may be incorrect."/>
                    <pic:cNvPicPr/>
                  </pic:nvPicPr>
                  <pic:blipFill rotWithShape="1">
                    <a:blip r:embed="rId10">
                      <a:extLst>
                        <a:ext uri="{28A0092B-C50C-407E-A947-70E740481C1C}">
                          <a14:useLocalDpi xmlns:a14="http://schemas.microsoft.com/office/drawing/2010/main" val="0"/>
                        </a:ext>
                      </a:extLst>
                    </a:blip>
                    <a:srcRect l="19231" t="2393" r="19899"/>
                    <a:stretch>
                      <a:fillRect/>
                    </a:stretch>
                  </pic:blipFill>
                  <pic:spPr bwMode="auto">
                    <a:xfrm>
                      <a:off x="0" y="0"/>
                      <a:ext cx="6200564" cy="5286946"/>
                    </a:xfrm>
                    <a:prstGeom prst="rect">
                      <a:avLst/>
                    </a:prstGeom>
                    <a:ln>
                      <a:noFill/>
                    </a:ln>
                    <a:extLst>
                      <a:ext uri="{53640926-AAD7-44D8-BBD7-CCE9431645EC}">
                        <a14:shadowObscured xmlns:a14="http://schemas.microsoft.com/office/drawing/2010/main"/>
                      </a:ext>
                    </a:extLst>
                  </pic:spPr>
                </pic:pic>
              </a:graphicData>
            </a:graphic>
          </wp:inline>
        </w:drawing>
      </w:r>
    </w:p>
    <w:p w14:paraId="76FCA09F" w14:textId="76F7E509" w:rsidR="003331C5" w:rsidRDefault="003331C5" w:rsidP="003331C5">
      <w:pPr>
        <w:spacing w:line="480" w:lineRule="auto"/>
        <w:rPr>
          <w:rFonts w:cs="Times New Roman"/>
          <w:b/>
          <w:bCs/>
          <w:lang w:val="en-US"/>
        </w:rPr>
      </w:pPr>
      <w:r w:rsidRPr="5693D330">
        <w:rPr>
          <w:rFonts w:cs="Times New Roman"/>
          <w:b/>
          <w:bCs/>
          <w:lang w:val="en-US"/>
        </w:rPr>
        <w:t>Figure S</w:t>
      </w:r>
      <w:r w:rsidR="0075283E">
        <w:rPr>
          <w:rFonts w:cs="Times New Roman"/>
          <w:b/>
          <w:bCs/>
          <w:lang w:val="en-US"/>
        </w:rPr>
        <w:t>5</w:t>
      </w:r>
      <w:r w:rsidRPr="5693D330">
        <w:rPr>
          <w:rFonts w:cs="Times New Roman"/>
          <w:b/>
          <w:bCs/>
          <w:lang w:val="en-US"/>
        </w:rPr>
        <w:t xml:space="preserve">. </w:t>
      </w:r>
      <w:r w:rsidRPr="003331C5">
        <w:rPr>
          <w:rFonts w:cs="Times New Roman"/>
          <w:lang w:val="en-US"/>
        </w:rPr>
        <w:t>Annual conflict intensity surfaces</w:t>
      </w:r>
      <w:r w:rsidR="00F9688F">
        <w:rPr>
          <w:rFonts w:cs="Times New Roman"/>
          <w:lang w:val="en-US"/>
        </w:rPr>
        <w:t xml:space="preserve"> on the log-scale</w:t>
      </w:r>
      <w:r w:rsidRPr="003331C5">
        <w:rPr>
          <w:rFonts w:cs="Times New Roman"/>
          <w:lang w:val="en-US"/>
        </w:rPr>
        <w:t xml:space="preserve"> obtained using Model 2 specifications, Mali 2000 to 2024</w:t>
      </w:r>
      <w:r>
        <w:rPr>
          <w:rFonts w:cs="Times New Roman"/>
          <w:lang w:val="en-US"/>
        </w:rPr>
        <w:t xml:space="preserve">. </w:t>
      </w:r>
      <w:r w:rsidR="00F9688F" w:rsidRPr="005F7F09">
        <w:rPr>
          <w:rFonts w:cs="Times New Roman"/>
          <w:b/>
          <w:bCs/>
          <w:lang w:val="en-US"/>
        </w:rPr>
        <w:t>Legend:</w:t>
      </w:r>
      <w:r w:rsidR="00F9688F">
        <w:rPr>
          <w:rFonts w:cs="Times New Roman"/>
          <w:lang w:val="en-US"/>
        </w:rPr>
        <w:t xml:space="preserve"> </w:t>
      </w:r>
      <w:r w:rsidR="005F7F09">
        <w:rPr>
          <w:rFonts w:cs="Times New Roman"/>
          <w:lang w:val="en-US"/>
        </w:rPr>
        <w:t>Model 2 included a temporal window of 364 days, an adaptive</w:t>
      </w:r>
      <w:r w:rsidR="00A51E6E">
        <w:rPr>
          <w:rFonts w:cs="Times New Roman"/>
          <w:lang w:val="en-US"/>
        </w:rPr>
        <w:t xml:space="preserve"> spatial</w:t>
      </w:r>
      <w:r w:rsidR="005F7F09">
        <w:rPr>
          <w:rFonts w:cs="Times New Roman"/>
          <w:lang w:val="en-US"/>
        </w:rPr>
        <w:t xml:space="preserve"> bandwidth, and edge correction. No spatial window, temporal bandwidth, </w:t>
      </w:r>
      <w:r w:rsidR="00EB2076">
        <w:rPr>
          <w:rFonts w:cs="Times New Roman"/>
          <w:lang w:val="en-US"/>
        </w:rPr>
        <w:t xml:space="preserve">or </w:t>
      </w:r>
      <w:r w:rsidR="005F7F09">
        <w:rPr>
          <w:rFonts w:cs="Times New Roman"/>
          <w:lang w:val="en-US"/>
        </w:rPr>
        <w:t>population size adjustment w</w:t>
      </w:r>
      <w:r w:rsidR="00D72F95">
        <w:rPr>
          <w:rFonts w:cs="Times New Roman"/>
          <w:lang w:val="en-US"/>
        </w:rPr>
        <w:t>as</w:t>
      </w:r>
      <w:r w:rsidR="005F7F09">
        <w:rPr>
          <w:rFonts w:cs="Times New Roman"/>
          <w:lang w:val="en-US"/>
        </w:rPr>
        <w:t xml:space="preserve"> accounted for. </w:t>
      </w:r>
      <w:r w:rsidR="00EE3895">
        <w:rPr>
          <w:rFonts w:cs="Times New Roman"/>
          <w:lang w:val="en-US"/>
        </w:rPr>
        <w:t xml:space="preserve">It should be noted that the </w:t>
      </w:r>
      <w:r w:rsidR="00D72F95">
        <w:rPr>
          <w:rFonts w:cs="Times New Roman"/>
          <w:lang w:val="en-US"/>
        </w:rPr>
        <w:t xml:space="preserve">number of events per </w:t>
      </w:r>
      <w:r w:rsidR="00D72F95">
        <w:rPr>
          <w:rFonts w:cs="Times New Roman"/>
          <w:kern w:val="0"/>
          <w:lang w:val="en-US"/>
          <w14:ligatures w14:val="none"/>
        </w:rPr>
        <w:t>unit area</w:t>
      </w:r>
      <w:r w:rsidR="00EB2076">
        <w:rPr>
          <w:rFonts w:cs="Times New Roman"/>
          <w:kern w:val="0"/>
          <w:lang w:val="en-US"/>
          <w14:ligatures w14:val="none"/>
        </w:rPr>
        <w:t xml:space="preserve"> (10 km</w:t>
      </w:r>
      <w:r w:rsidR="00EB2076" w:rsidRPr="00EB2076">
        <w:rPr>
          <w:rFonts w:cs="Times New Roman"/>
          <w:kern w:val="0"/>
          <w:vertAlign w:val="superscript"/>
          <w:lang w:val="en-US"/>
          <w14:ligatures w14:val="none"/>
        </w:rPr>
        <w:t>2</w:t>
      </w:r>
      <w:r w:rsidR="00EB2076">
        <w:rPr>
          <w:rFonts w:cs="Times New Roman"/>
          <w:kern w:val="0"/>
          <w:lang w:val="en-US"/>
          <w14:ligatures w14:val="none"/>
        </w:rPr>
        <w:t>)</w:t>
      </w:r>
      <w:r w:rsidR="00D72F95">
        <w:rPr>
          <w:rFonts w:cs="Times New Roman"/>
          <w:kern w:val="0"/>
          <w:lang w:val="en-US"/>
          <w14:ligatures w14:val="none"/>
        </w:rPr>
        <w:t xml:space="preserve"> is displayed on a</w:t>
      </w:r>
      <w:r w:rsidR="00D72F95">
        <w:rPr>
          <w:rFonts w:cs="Times New Roman"/>
          <w:lang w:val="en-US"/>
        </w:rPr>
        <w:t xml:space="preserve"> log scale. </w:t>
      </w:r>
    </w:p>
    <w:p w14:paraId="40403153" w14:textId="77777777" w:rsidR="003331C5" w:rsidRDefault="003331C5" w:rsidP="003331C5">
      <w:pPr>
        <w:rPr>
          <w:rFonts w:cs="Times New Roman"/>
          <w:b/>
          <w:bCs/>
          <w:lang w:val="en-US"/>
        </w:rPr>
      </w:pPr>
      <w:r>
        <w:rPr>
          <w:rFonts w:cs="Times New Roman"/>
          <w:b/>
          <w:bCs/>
          <w:lang w:val="en-US"/>
        </w:rPr>
        <w:br w:type="page"/>
      </w:r>
    </w:p>
    <w:p w14:paraId="17BAF7BE" w14:textId="77777777" w:rsidR="003331C5" w:rsidRDefault="003331C5" w:rsidP="003331C5">
      <w:pPr>
        <w:spacing w:line="480" w:lineRule="auto"/>
        <w:rPr>
          <w:rFonts w:cs="Times New Roman"/>
          <w:b/>
          <w:bCs/>
          <w:lang w:val="en-US"/>
        </w:rPr>
      </w:pPr>
      <w:r>
        <w:rPr>
          <w:rFonts w:cs="Times New Roman"/>
          <w:b/>
          <w:bCs/>
          <w:noProof/>
          <w:lang w:val="en-US"/>
        </w:rPr>
        <w:lastRenderedPageBreak/>
        <w:drawing>
          <wp:inline distT="0" distB="0" distL="0" distR="0" wp14:anchorId="5028E265" wp14:editId="4B82285D">
            <wp:extent cx="6181200" cy="5266800"/>
            <wp:effectExtent l="0" t="0" r="3810" b="3810"/>
            <wp:docPr id="62341520" name="Picture 2" descr="A screenshot of a computer generated imag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41520" name="Picture 2" descr="A screenshot of a computer generated image&#10;&#10;AI-generated content may be incorrect."/>
                    <pic:cNvPicPr/>
                  </pic:nvPicPr>
                  <pic:blipFill rotWithShape="1">
                    <a:blip r:embed="rId11">
                      <a:extLst>
                        <a:ext uri="{28A0092B-C50C-407E-A947-70E740481C1C}">
                          <a14:useLocalDpi xmlns:a14="http://schemas.microsoft.com/office/drawing/2010/main" val="0"/>
                        </a:ext>
                      </a:extLst>
                    </a:blip>
                    <a:srcRect l="19899" t="2202" r="19897"/>
                    <a:stretch>
                      <a:fillRect/>
                    </a:stretch>
                  </pic:blipFill>
                  <pic:spPr bwMode="auto">
                    <a:xfrm>
                      <a:off x="0" y="0"/>
                      <a:ext cx="6181200" cy="5266800"/>
                    </a:xfrm>
                    <a:prstGeom prst="rect">
                      <a:avLst/>
                    </a:prstGeom>
                    <a:ln>
                      <a:noFill/>
                    </a:ln>
                    <a:extLst>
                      <a:ext uri="{53640926-AAD7-44D8-BBD7-CCE9431645EC}">
                        <a14:shadowObscured xmlns:a14="http://schemas.microsoft.com/office/drawing/2010/main"/>
                      </a:ext>
                    </a:extLst>
                  </pic:spPr>
                </pic:pic>
              </a:graphicData>
            </a:graphic>
          </wp:inline>
        </w:drawing>
      </w:r>
    </w:p>
    <w:p w14:paraId="2A692468" w14:textId="5459A281" w:rsidR="001D6424" w:rsidRDefault="001D6424" w:rsidP="003331C5">
      <w:pPr>
        <w:spacing w:line="480" w:lineRule="auto"/>
        <w:rPr>
          <w:rFonts w:cs="Times New Roman"/>
          <w:b/>
          <w:bCs/>
          <w:lang w:val="en-US"/>
        </w:rPr>
      </w:pPr>
      <w:r w:rsidRPr="5693D330">
        <w:rPr>
          <w:rFonts w:cs="Times New Roman"/>
          <w:b/>
          <w:bCs/>
          <w:lang w:val="en-US"/>
        </w:rPr>
        <w:t>Figure S</w:t>
      </w:r>
      <w:r w:rsidR="0075283E">
        <w:rPr>
          <w:rFonts w:cs="Times New Roman"/>
          <w:b/>
          <w:bCs/>
          <w:lang w:val="en-US"/>
        </w:rPr>
        <w:t>6</w:t>
      </w:r>
      <w:r w:rsidRPr="5693D330">
        <w:rPr>
          <w:rFonts w:cs="Times New Roman"/>
          <w:b/>
          <w:bCs/>
          <w:lang w:val="en-US"/>
        </w:rPr>
        <w:t xml:space="preserve">. </w:t>
      </w:r>
      <w:r w:rsidRPr="003331C5">
        <w:rPr>
          <w:rFonts w:cs="Times New Roman"/>
          <w:lang w:val="en-US"/>
        </w:rPr>
        <w:t>Annual conflict intensity surfaces</w:t>
      </w:r>
      <w:r>
        <w:rPr>
          <w:rFonts w:cs="Times New Roman"/>
          <w:lang w:val="en-US"/>
        </w:rPr>
        <w:t xml:space="preserve"> on the log-scale</w:t>
      </w:r>
      <w:r w:rsidRPr="003331C5">
        <w:rPr>
          <w:rFonts w:cs="Times New Roman"/>
          <w:lang w:val="en-US"/>
        </w:rPr>
        <w:t xml:space="preserve"> obtained using Model </w:t>
      </w:r>
      <w:r>
        <w:rPr>
          <w:rFonts w:cs="Times New Roman"/>
          <w:lang w:val="en-US"/>
        </w:rPr>
        <w:t>3</w:t>
      </w:r>
      <w:r w:rsidRPr="003331C5">
        <w:rPr>
          <w:rFonts w:cs="Times New Roman"/>
          <w:lang w:val="en-US"/>
        </w:rPr>
        <w:t xml:space="preserve"> specifications, Mali 2000 to 2024</w:t>
      </w:r>
      <w:r>
        <w:rPr>
          <w:rFonts w:cs="Times New Roman"/>
          <w:lang w:val="en-US"/>
        </w:rPr>
        <w:t xml:space="preserve">. </w:t>
      </w:r>
      <w:r w:rsidRPr="005F7F09">
        <w:rPr>
          <w:rFonts w:cs="Times New Roman"/>
          <w:b/>
          <w:bCs/>
          <w:lang w:val="en-US"/>
        </w:rPr>
        <w:t>Legend:</w:t>
      </w:r>
      <w:r>
        <w:rPr>
          <w:rFonts w:cs="Times New Roman"/>
          <w:lang w:val="en-US"/>
        </w:rPr>
        <w:t xml:space="preserve"> Model 3 included a temporal window of 364 days, an adaptive</w:t>
      </w:r>
      <w:r w:rsidR="00A51E6E">
        <w:rPr>
          <w:rFonts w:cs="Times New Roman"/>
          <w:lang w:val="en-US"/>
        </w:rPr>
        <w:t xml:space="preserve"> spatio-temporal</w:t>
      </w:r>
      <w:r>
        <w:rPr>
          <w:rFonts w:cs="Times New Roman"/>
          <w:lang w:val="en-US"/>
        </w:rPr>
        <w:t xml:space="preserve"> bandwidth, </w:t>
      </w:r>
      <w:r w:rsidR="00A51E6E">
        <w:rPr>
          <w:rFonts w:cs="Times New Roman"/>
          <w:lang w:val="en-US"/>
        </w:rPr>
        <w:t xml:space="preserve">population size adjustment, </w:t>
      </w:r>
      <w:r>
        <w:rPr>
          <w:rFonts w:cs="Times New Roman"/>
          <w:lang w:val="en-US"/>
        </w:rPr>
        <w:t>and edge correction. No spatial window</w:t>
      </w:r>
      <w:r w:rsidR="00A51E6E">
        <w:rPr>
          <w:rFonts w:cs="Times New Roman"/>
          <w:lang w:val="en-US"/>
        </w:rPr>
        <w:t xml:space="preserve"> was included.</w:t>
      </w:r>
      <w:r w:rsidR="00D72F95">
        <w:rPr>
          <w:rFonts w:cs="Times New Roman"/>
          <w:lang w:val="en-US"/>
        </w:rPr>
        <w:t xml:space="preserve"> It should be noted that the number of events per </w:t>
      </w:r>
      <w:r w:rsidR="00D72F95">
        <w:rPr>
          <w:rFonts w:cs="Times New Roman"/>
          <w:kern w:val="0"/>
          <w:lang w:val="en-US"/>
          <w14:ligatures w14:val="none"/>
        </w:rPr>
        <w:t>unit area</w:t>
      </w:r>
      <w:r w:rsidR="00EB2076">
        <w:rPr>
          <w:rFonts w:cs="Times New Roman"/>
          <w:kern w:val="0"/>
          <w:lang w:val="en-US"/>
          <w14:ligatures w14:val="none"/>
        </w:rPr>
        <w:t xml:space="preserve"> (10 km</w:t>
      </w:r>
      <w:r w:rsidR="00EB2076" w:rsidRPr="00EB2076">
        <w:rPr>
          <w:rFonts w:cs="Times New Roman"/>
          <w:kern w:val="0"/>
          <w:vertAlign w:val="superscript"/>
          <w:lang w:val="en-US"/>
          <w14:ligatures w14:val="none"/>
        </w:rPr>
        <w:t>2</w:t>
      </w:r>
      <w:r w:rsidR="00EB2076">
        <w:rPr>
          <w:rFonts w:cs="Times New Roman"/>
          <w:kern w:val="0"/>
          <w:lang w:val="en-US"/>
          <w14:ligatures w14:val="none"/>
        </w:rPr>
        <w:t>)</w:t>
      </w:r>
      <w:r w:rsidR="00D72F95">
        <w:rPr>
          <w:rFonts w:cs="Times New Roman"/>
          <w:kern w:val="0"/>
          <w:lang w:val="en-US"/>
          <w14:ligatures w14:val="none"/>
        </w:rPr>
        <w:t xml:space="preserve"> per time unit</w:t>
      </w:r>
      <w:r w:rsidR="00EB2076">
        <w:rPr>
          <w:rFonts w:cs="Times New Roman"/>
          <w:kern w:val="0"/>
          <w:lang w:val="en-US"/>
          <w14:ligatures w14:val="none"/>
        </w:rPr>
        <w:t xml:space="preserve"> (days)</w:t>
      </w:r>
      <w:r w:rsidR="00D72F95">
        <w:rPr>
          <w:rFonts w:cs="Times New Roman"/>
          <w:kern w:val="0"/>
          <w:lang w:val="en-US"/>
          <w14:ligatures w14:val="none"/>
        </w:rPr>
        <w:t xml:space="preserve"> is displayed on a</w:t>
      </w:r>
      <w:r w:rsidR="00D72F95">
        <w:rPr>
          <w:rFonts w:cs="Times New Roman"/>
          <w:lang w:val="en-US"/>
        </w:rPr>
        <w:t xml:space="preserve"> log scale.</w:t>
      </w:r>
    </w:p>
    <w:p w14:paraId="7ABF0491" w14:textId="77777777" w:rsidR="003331C5" w:rsidRDefault="003331C5" w:rsidP="003331C5">
      <w:pPr>
        <w:spacing w:line="480" w:lineRule="auto"/>
        <w:rPr>
          <w:rFonts w:cs="Times New Roman"/>
          <w:b/>
          <w:bCs/>
          <w:lang w:val="en-US"/>
        </w:rPr>
      </w:pPr>
    </w:p>
    <w:p w14:paraId="0D1F38FF" w14:textId="77777777" w:rsidR="003331C5" w:rsidRDefault="003331C5" w:rsidP="003331C5">
      <w:pPr>
        <w:rPr>
          <w:rFonts w:cs="Times New Roman"/>
          <w:b/>
          <w:bCs/>
          <w:lang w:val="en-US"/>
        </w:rPr>
      </w:pPr>
      <w:r>
        <w:rPr>
          <w:rFonts w:cs="Times New Roman"/>
          <w:b/>
          <w:bCs/>
          <w:lang w:val="en-US"/>
        </w:rPr>
        <w:br w:type="page"/>
      </w:r>
    </w:p>
    <w:p w14:paraId="2EF30F84" w14:textId="77777777" w:rsidR="003331C5" w:rsidRDefault="003331C5" w:rsidP="003331C5">
      <w:pPr>
        <w:spacing w:line="480" w:lineRule="auto"/>
        <w:rPr>
          <w:rFonts w:cs="Times New Roman"/>
          <w:b/>
          <w:bCs/>
          <w:lang w:val="en-US"/>
        </w:rPr>
      </w:pPr>
      <w:r>
        <w:rPr>
          <w:rFonts w:cs="Times New Roman"/>
          <w:b/>
          <w:bCs/>
          <w:noProof/>
          <w:lang w:val="en-US"/>
        </w:rPr>
        <w:lastRenderedPageBreak/>
        <w:drawing>
          <wp:inline distT="0" distB="0" distL="0" distR="0" wp14:anchorId="5B53524C" wp14:editId="268917A3">
            <wp:extent cx="6181200" cy="5266800"/>
            <wp:effectExtent l="0" t="0" r="3810" b="3810"/>
            <wp:docPr id="1250214226" name="Picture 3" descr="A screenshot of a computer generated imag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214226" name="Picture 3" descr="A screenshot of a computer generated image&#10;&#10;AI-generated content may be incorrect."/>
                    <pic:cNvPicPr/>
                  </pic:nvPicPr>
                  <pic:blipFill rotWithShape="1">
                    <a:blip r:embed="rId12">
                      <a:extLst>
                        <a:ext uri="{28A0092B-C50C-407E-A947-70E740481C1C}">
                          <a14:useLocalDpi xmlns:a14="http://schemas.microsoft.com/office/drawing/2010/main" val="0"/>
                        </a:ext>
                      </a:extLst>
                    </a:blip>
                    <a:srcRect l="19733" t="2517" r="20234"/>
                    <a:stretch>
                      <a:fillRect/>
                    </a:stretch>
                  </pic:blipFill>
                  <pic:spPr bwMode="auto">
                    <a:xfrm>
                      <a:off x="0" y="0"/>
                      <a:ext cx="6181200" cy="5266800"/>
                    </a:xfrm>
                    <a:prstGeom prst="rect">
                      <a:avLst/>
                    </a:prstGeom>
                    <a:ln>
                      <a:noFill/>
                    </a:ln>
                    <a:extLst>
                      <a:ext uri="{53640926-AAD7-44D8-BBD7-CCE9431645EC}">
                        <a14:shadowObscured xmlns:a14="http://schemas.microsoft.com/office/drawing/2010/main"/>
                      </a:ext>
                    </a:extLst>
                  </pic:spPr>
                </pic:pic>
              </a:graphicData>
            </a:graphic>
          </wp:inline>
        </w:drawing>
      </w:r>
    </w:p>
    <w:p w14:paraId="012F22C9" w14:textId="032AC19C" w:rsidR="00A51E6E" w:rsidRDefault="00A51E6E" w:rsidP="00A51E6E">
      <w:pPr>
        <w:spacing w:line="480" w:lineRule="auto"/>
        <w:rPr>
          <w:rFonts w:cs="Times New Roman"/>
          <w:b/>
          <w:bCs/>
          <w:lang w:val="en-US"/>
        </w:rPr>
      </w:pPr>
      <w:r w:rsidRPr="5693D330">
        <w:rPr>
          <w:rFonts w:cs="Times New Roman"/>
          <w:b/>
          <w:bCs/>
          <w:lang w:val="en-US"/>
        </w:rPr>
        <w:t>Figure S</w:t>
      </w:r>
      <w:r w:rsidR="0075283E">
        <w:rPr>
          <w:rFonts w:cs="Times New Roman"/>
          <w:b/>
          <w:bCs/>
          <w:lang w:val="en-US"/>
        </w:rPr>
        <w:t>7</w:t>
      </w:r>
      <w:r w:rsidRPr="5693D330">
        <w:rPr>
          <w:rFonts w:cs="Times New Roman"/>
          <w:b/>
          <w:bCs/>
          <w:lang w:val="en-US"/>
        </w:rPr>
        <w:t xml:space="preserve">. </w:t>
      </w:r>
      <w:r w:rsidRPr="003331C5">
        <w:rPr>
          <w:rFonts w:cs="Times New Roman"/>
          <w:lang w:val="en-US"/>
        </w:rPr>
        <w:t>Annual conflict intensity surfaces</w:t>
      </w:r>
      <w:r>
        <w:rPr>
          <w:rFonts w:cs="Times New Roman"/>
          <w:lang w:val="en-US"/>
        </w:rPr>
        <w:t xml:space="preserve"> on the log-scale</w:t>
      </w:r>
      <w:r w:rsidRPr="003331C5">
        <w:rPr>
          <w:rFonts w:cs="Times New Roman"/>
          <w:lang w:val="en-US"/>
        </w:rPr>
        <w:t xml:space="preserve"> obtained using Model </w:t>
      </w:r>
      <w:r>
        <w:rPr>
          <w:rFonts w:cs="Times New Roman"/>
          <w:lang w:val="en-US"/>
        </w:rPr>
        <w:t>4</w:t>
      </w:r>
      <w:r w:rsidRPr="003331C5">
        <w:rPr>
          <w:rFonts w:cs="Times New Roman"/>
          <w:lang w:val="en-US"/>
        </w:rPr>
        <w:t xml:space="preserve"> specifications, Mali 2000 to 2024</w:t>
      </w:r>
      <w:r>
        <w:rPr>
          <w:rFonts w:cs="Times New Roman"/>
          <w:lang w:val="en-US"/>
        </w:rPr>
        <w:t xml:space="preserve">. </w:t>
      </w:r>
      <w:r w:rsidRPr="005F7F09">
        <w:rPr>
          <w:rFonts w:cs="Times New Roman"/>
          <w:b/>
          <w:bCs/>
          <w:lang w:val="en-US"/>
        </w:rPr>
        <w:t>Legend:</w:t>
      </w:r>
      <w:r>
        <w:rPr>
          <w:rFonts w:cs="Times New Roman"/>
          <w:lang w:val="en-US"/>
        </w:rPr>
        <w:t xml:space="preserve"> Model 4 included a temporal window of 182 days, an adaptive spatio-temporal bandwidth, population size adjustment, and edge correction. No spatial window was included.</w:t>
      </w:r>
      <w:r w:rsidR="00EB2076" w:rsidRPr="00EB2076">
        <w:rPr>
          <w:rFonts w:cs="Times New Roman"/>
          <w:lang w:val="en-US"/>
        </w:rPr>
        <w:t xml:space="preserve"> </w:t>
      </w:r>
      <w:r w:rsidR="00EB2076">
        <w:rPr>
          <w:rFonts w:cs="Times New Roman"/>
          <w:lang w:val="en-US"/>
        </w:rPr>
        <w:t xml:space="preserve">It should be noted that the number of events per </w:t>
      </w:r>
      <w:r w:rsidR="00EB2076">
        <w:rPr>
          <w:rFonts w:cs="Times New Roman"/>
          <w:kern w:val="0"/>
          <w:lang w:val="en-US"/>
          <w14:ligatures w14:val="none"/>
        </w:rPr>
        <w:t>unit area (10 km</w:t>
      </w:r>
      <w:r w:rsidR="00EB2076" w:rsidRPr="00EB2076">
        <w:rPr>
          <w:rFonts w:cs="Times New Roman"/>
          <w:kern w:val="0"/>
          <w:vertAlign w:val="superscript"/>
          <w:lang w:val="en-US"/>
          <w14:ligatures w14:val="none"/>
        </w:rPr>
        <w:t>2</w:t>
      </w:r>
      <w:r w:rsidR="00EB2076">
        <w:rPr>
          <w:rFonts w:cs="Times New Roman"/>
          <w:kern w:val="0"/>
          <w:lang w:val="en-US"/>
          <w14:ligatures w14:val="none"/>
        </w:rPr>
        <w:t>) per time unit (days) is displayed on a</w:t>
      </w:r>
      <w:r w:rsidR="00EB2076">
        <w:rPr>
          <w:rFonts w:cs="Times New Roman"/>
          <w:lang w:val="en-US"/>
        </w:rPr>
        <w:t xml:space="preserve"> log scale.</w:t>
      </w:r>
    </w:p>
    <w:p w14:paraId="28094351" w14:textId="138B6346" w:rsidR="003331C5" w:rsidRDefault="003331C5" w:rsidP="003331C5">
      <w:pPr>
        <w:rPr>
          <w:rFonts w:cs="Times New Roman"/>
          <w:b/>
          <w:bCs/>
          <w:lang w:val="en-US"/>
        </w:rPr>
      </w:pPr>
      <w:r>
        <w:rPr>
          <w:rFonts w:cs="Times New Roman"/>
          <w:b/>
          <w:bCs/>
          <w:lang w:val="en-US"/>
        </w:rPr>
        <w:br w:type="page"/>
      </w:r>
      <w:r>
        <w:rPr>
          <w:rFonts w:cs="Times New Roman"/>
          <w:b/>
          <w:bCs/>
          <w:noProof/>
          <w:lang w:val="en-US"/>
        </w:rPr>
        <w:lastRenderedPageBreak/>
        <w:drawing>
          <wp:inline distT="0" distB="0" distL="0" distR="0" wp14:anchorId="745C7C83" wp14:editId="1B21A58D">
            <wp:extent cx="6181200" cy="5266800"/>
            <wp:effectExtent l="0" t="0" r="3810" b="3810"/>
            <wp:docPr id="1453682611" name="Picture 4" descr="A collage of images of a map&#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682611" name="Picture 4" descr="A collage of images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19733" t="2076" r="20234"/>
                    <a:stretch>
                      <a:fillRect/>
                    </a:stretch>
                  </pic:blipFill>
                  <pic:spPr bwMode="auto">
                    <a:xfrm>
                      <a:off x="0" y="0"/>
                      <a:ext cx="6181200" cy="5266800"/>
                    </a:xfrm>
                    <a:prstGeom prst="rect">
                      <a:avLst/>
                    </a:prstGeom>
                    <a:ln>
                      <a:noFill/>
                    </a:ln>
                    <a:extLst>
                      <a:ext uri="{53640926-AAD7-44D8-BBD7-CCE9431645EC}">
                        <a14:shadowObscured xmlns:a14="http://schemas.microsoft.com/office/drawing/2010/main"/>
                      </a:ext>
                    </a:extLst>
                  </pic:spPr>
                </pic:pic>
              </a:graphicData>
            </a:graphic>
          </wp:inline>
        </w:drawing>
      </w:r>
    </w:p>
    <w:p w14:paraId="044EBDE9" w14:textId="77777777" w:rsidR="007C4B91" w:rsidRPr="007C4B91" w:rsidRDefault="007C4B91" w:rsidP="003331C5">
      <w:pPr>
        <w:rPr>
          <w:rFonts w:cs="Times New Roman"/>
          <w:b/>
          <w:bCs/>
          <w:lang w:val="en-US"/>
        </w:rPr>
      </w:pPr>
    </w:p>
    <w:p w14:paraId="5C8905A3" w14:textId="5B40527D" w:rsidR="007C4B91" w:rsidRDefault="007C4B91" w:rsidP="007C4B91">
      <w:pPr>
        <w:spacing w:line="480" w:lineRule="auto"/>
        <w:rPr>
          <w:rFonts w:cs="Times New Roman"/>
          <w:b/>
          <w:bCs/>
          <w:lang w:val="en-US"/>
        </w:rPr>
      </w:pPr>
      <w:r w:rsidRPr="5693D330">
        <w:rPr>
          <w:rFonts w:cs="Times New Roman"/>
          <w:b/>
          <w:bCs/>
          <w:lang w:val="en-US"/>
        </w:rPr>
        <w:t>Figure S</w:t>
      </w:r>
      <w:r w:rsidR="0075283E">
        <w:rPr>
          <w:rFonts w:cs="Times New Roman"/>
          <w:b/>
          <w:bCs/>
          <w:lang w:val="en-US"/>
        </w:rPr>
        <w:t>8</w:t>
      </w:r>
      <w:r w:rsidRPr="5693D330">
        <w:rPr>
          <w:rFonts w:cs="Times New Roman"/>
          <w:b/>
          <w:bCs/>
          <w:lang w:val="en-US"/>
        </w:rPr>
        <w:t xml:space="preserve">. </w:t>
      </w:r>
      <w:r w:rsidRPr="003331C5">
        <w:rPr>
          <w:rFonts w:cs="Times New Roman"/>
          <w:lang w:val="en-US"/>
        </w:rPr>
        <w:t>Annual conflict intensity surfaces</w:t>
      </w:r>
      <w:r>
        <w:rPr>
          <w:rFonts w:cs="Times New Roman"/>
          <w:lang w:val="en-US"/>
        </w:rPr>
        <w:t xml:space="preserve"> on the log-scale</w:t>
      </w:r>
      <w:r w:rsidRPr="003331C5">
        <w:rPr>
          <w:rFonts w:cs="Times New Roman"/>
          <w:lang w:val="en-US"/>
        </w:rPr>
        <w:t xml:space="preserve"> obtained using Model </w:t>
      </w:r>
      <w:r>
        <w:rPr>
          <w:rFonts w:cs="Times New Roman"/>
          <w:lang w:val="en-US"/>
        </w:rPr>
        <w:t>5</w:t>
      </w:r>
      <w:r w:rsidRPr="003331C5">
        <w:rPr>
          <w:rFonts w:cs="Times New Roman"/>
          <w:lang w:val="en-US"/>
        </w:rPr>
        <w:t xml:space="preserve"> specifications, Mali 2000 to 2024</w:t>
      </w:r>
      <w:r>
        <w:rPr>
          <w:rFonts w:cs="Times New Roman"/>
          <w:lang w:val="en-US"/>
        </w:rPr>
        <w:t xml:space="preserve">. </w:t>
      </w:r>
      <w:r w:rsidRPr="005F7F09">
        <w:rPr>
          <w:rFonts w:cs="Times New Roman"/>
          <w:b/>
          <w:bCs/>
          <w:lang w:val="en-US"/>
        </w:rPr>
        <w:t>Legend:</w:t>
      </w:r>
      <w:r>
        <w:rPr>
          <w:rFonts w:cs="Times New Roman"/>
          <w:lang w:val="en-US"/>
        </w:rPr>
        <w:t xml:space="preserve"> Model 5 included a temporal window of </w:t>
      </w:r>
      <w:r w:rsidR="0004546F">
        <w:rPr>
          <w:rFonts w:cs="Times New Roman"/>
          <w:lang w:val="en-US"/>
        </w:rPr>
        <w:t>364</w:t>
      </w:r>
      <w:r>
        <w:rPr>
          <w:rFonts w:cs="Times New Roman"/>
          <w:lang w:val="en-US"/>
        </w:rPr>
        <w:t xml:space="preserve"> days, </w:t>
      </w:r>
      <w:r w:rsidR="0004546F">
        <w:rPr>
          <w:rFonts w:cs="Times New Roman"/>
          <w:lang w:val="en-US"/>
        </w:rPr>
        <w:t xml:space="preserve">a spatial window of 500 km, </w:t>
      </w:r>
      <w:r>
        <w:rPr>
          <w:rFonts w:cs="Times New Roman"/>
          <w:lang w:val="en-US"/>
        </w:rPr>
        <w:t>an adaptive spati</w:t>
      </w:r>
      <w:r w:rsidR="0004546F">
        <w:rPr>
          <w:rFonts w:cs="Times New Roman"/>
          <w:lang w:val="en-US"/>
        </w:rPr>
        <w:t>al</w:t>
      </w:r>
      <w:r>
        <w:rPr>
          <w:rFonts w:cs="Times New Roman"/>
          <w:lang w:val="en-US"/>
        </w:rPr>
        <w:t xml:space="preserve"> bandwidth, population size adjustment, and edge correction. No </w:t>
      </w:r>
      <w:r w:rsidR="0004546F">
        <w:rPr>
          <w:rFonts w:cs="Times New Roman"/>
          <w:lang w:val="en-US"/>
        </w:rPr>
        <w:t>temporal bandwidth</w:t>
      </w:r>
      <w:r>
        <w:rPr>
          <w:rFonts w:cs="Times New Roman"/>
          <w:lang w:val="en-US"/>
        </w:rPr>
        <w:t xml:space="preserve"> was included.</w:t>
      </w:r>
      <w:r w:rsidR="00EB2076">
        <w:rPr>
          <w:rFonts w:cs="Times New Roman"/>
          <w:lang w:val="en-US"/>
        </w:rPr>
        <w:t xml:space="preserve"> It should be noted that the number of events per </w:t>
      </w:r>
      <w:r w:rsidR="00EB2076">
        <w:rPr>
          <w:rFonts w:cs="Times New Roman"/>
          <w:kern w:val="0"/>
          <w:lang w:val="en-US"/>
          <w14:ligatures w14:val="none"/>
        </w:rPr>
        <w:t>unit area (10 km</w:t>
      </w:r>
      <w:r w:rsidR="00EB2076" w:rsidRPr="00EB2076">
        <w:rPr>
          <w:rFonts w:cs="Times New Roman"/>
          <w:kern w:val="0"/>
          <w:vertAlign w:val="superscript"/>
          <w:lang w:val="en-US"/>
          <w14:ligatures w14:val="none"/>
        </w:rPr>
        <w:t>2</w:t>
      </w:r>
      <w:r w:rsidR="00EB2076">
        <w:rPr>
          <w:rFonts w:cs="Times New Roman"/>
          <w:kern w:val="0"/>
          <w:lang w:val="en-US"/>
          <w14:ligatures w14:val="none"/>
        </w:rPr>
        <w:t>) is displayed on a</w:t>
      </w:r>
      <w:r w:rsidR="00EB2076">
        <w:rPr>
          <w:rFonts w:cs="Times New Roman"/>
          <w:lang w:val="en-US"/>
        </w:rPr>
        <w:t xml:space="preserve"> log scale.</w:t>
      </w:r>
    </w:p>
    <w:p w14:paraId="0668540B" w14:textId="77777777" w:rsidR="003331C5" w:rsidRDefault="003331C5" w:rsidP="003331C5">
      <w:pPr>
        <w:rPr>
          <w:rFonts w:cs="Times New Roman"/>
          <w:highlight w:val="yellow"/>
          <w:lang w:val="en-US"/>
        </w:rPr>
      </w:pPr>
    </w:p>
    <w:p w14:paraId="6ACF5E12" w14:textId="77777777" w:rsidR="00261404" w:rsidRDefault="00261404" w:rsidP="003331C5">
      <w:pPr>
        <w:rPr>
          <w:rFonts w:cs="Times New Roman"/>
          <w:highlight w:val="yellow"/>
          <w:lang w:val="en-US"/>
        </w:rPr>
        <w:sectPr w:rsidR="00261404" w:rsidSect="003331C5">
          <w:pgSz w:w="12240" w:h="15840"/>
          <w:pgMar w:top="1440" w:right="1440" w:bottom="1440" w:left="1440" w:header="709" w:footer="709" w:gutter="0"/>
          <w:cols w:space="708"/>
          <w:docGrid w:linePitch="360"/>
        </w:sectPr>
      </w:pPr>
    </w:p>
    <w:p w14:paraId="12331079" w14:textId="7950ACE5" w:rsidR="003331C5" w:rsidRDefault="00347CF6" w:rsidP="003331C5">
      <w:pPr>
        <w:rPr>
          <w:rFonts w:cs="Times New Roman"/>
          <w:highlight w:val="yellow"/>
          <w:lang w:val="en-US"/>
        </w:rPr>
      </w:pPr>
      <w:r>
        <w:rPr>
          <w:rFonts w:cs="Times New Roman"/>
          <w:noProof/>
          <w:lang w:val="en-US"/>
        </w:rPr>
        <w:lastRenderedPageBreak/>
        <w:drawing>
          <wp:inline distT="0" distB="0" distL="0" distR="0" wp14:anchorId="2705D7D0" wp14:editId="3C546F24">
            <wp:extent cx="8229600" cy="4389120"/>
            <wp:effectExtent l="0" t="0" r="0" b="5080"/>
            <wp:docPr id="536012503" name="Picture 1" descr="A chart with different colore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12503" name="Picture 1" descr="A chart with different colored box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0" cy="4389120"/>
                    </a:xfrm>
                    <a:prstGeom prst="rect">
                      <a:avLst/>
                    </a:prstGeom>
                  </pic:spPr>
                </pic:pic>
              </a:graphicData>
            </a:graphic>
          </wp:inline>
        </w:drawing>
      </w:r>
    </w:p>
    <w:p w14:paraId="4C0BAFD9" w14:textId="77777777" w:rsidR="003331C5" w:rsidRDefault="003331C5" w:rsidP="003331C5">
      <w:pPr>
        <w:rPr>
          <w:rFonts w:cs="Times New Roman"/>
          <w:highlight w:val="yellow"/>
          <w:lang w:val="en-US"/>
        </w:rPr>
      </w:pPr>
    </w:p>
    <w:p w14:paraId="41FA3516" w14:textId="3B1C3F88" w:rsidR="003331C5" w:rsidRPr="007C5097" w:rsidRDefault="003331C5" w:rsidP="007C5097">
      <w:pPr>
        <w:spacing w:line="480" w:lineRule="auto"/>
        <w:rPr>
          <w:rFonts w:cs="Times New Roman"/>
          <w:lang w:val="en-US"/>
        </w:rPr>
      </w:pPr>
      <w:r w:rsidRPr="00A5747F">
        <w:rPr>
          <w:rFonts w:cs="Times New Roman"/>
          <w:b/>
          <w:bCs/>
          <w:lang w:val="en-US"/>
        </w:rPr>
        <w:t>Figure S</w:t>
      </w:r>
      <w:r w:rsidR="0075283E">
        <w:rPr>
          <w:rFonts w:cs="Times New Roman"/>
          <w:b/>
          <w:bCs/>
          <w:lang w:val="en-US"/>
        </w:rPr>
        <w:t>9</w:t>
      </w:r>
      <w:r w:rsidRPr="00A5747F">
        <w:rPr>
          <w:rFonts w:cs="Times New Roman"/>
          <w:b/>
          <w:bCs/>
          <w:lang w:val="en-US"/>
        </w:rPr>
        <w:t>.</w:t>
      </w:r>
      <w:r w:rsidRPr="00A5747F">
        <w:rPr>
          <w:rFonts w:cs="Times New Roman"/>
          <w:lang w:val="en-US"/>
        </w:rPr>
        <w:t xml:space="preserve"> </w:t>
      </w:r>
      <w:r w:rsidR="00AD19C5" w:rsidRPr="00A5747F">
        <w:rPr>
          <w:rFonts w:cs="Times New Roman"/>
          <w:lang w:val="en-US"/>
        </w:rPr>
        <w:t xml:space="preserve">Annual distribution </w:t>
      </w:r>
      <w:r w:rsidR="00A5747F" w:rsidRPr="00A5747F">
        <w:rPr>
          <w:rFonts w:cs="Times New Roman"/>
          <w:lang w:val="en-US"/>
        </w:rPr>
        <w:t xml:space="preserve">of conflict intensity value on the log scale across KDE model specifications. </w:t>
      </w:r>
      <w:r w:rsidR="00940982">
        <w:rPr>
          <w:rFonts w:cs="Times New Roman"/>
          <w:lang w:val="en-US"/>
        </w:rPr>
        <w:t xml:space="preserve">The five model specifications are depicted. </w:t>
      </w:r>
      <w:r w:rsidR="007B57AE" w:rsidRPr="007B57AE">
        <w:rPr>
          <w:rFonts w:cs="Times New Roman"/>
          <w:b/>
          <w:bCs/>
          <w:lang w:val="en-US"/>
        </w:rPr>
        <w:t>Legend:</w:t>
      </w:r>
      <w:r w:rsidR="007B57AE">
        <w:rPr>
          <w:rFonts w:cs="Times New Roman"/>
          <w:lang w:val="en-US"/>
        </w:rPr>
        <w:t xml:space="preserve"> </w:t>
      </w:r>
      <w:r w:rsidR="002D711B" w:rsidRPr="002D711B">
        <w:rPr>
          <w:rFonts w:cs="Times New Roman"/>
          <w:lang w:val="en-US"/>
        </w:rPr>
        <w:t xml:space="preserve">To facilitate comparison between the spatial KDE (models 1, 2, and 5) and the spatio-temporal KDE (models 3 and 4), we converted the spatio-temporal KDE models to spatial models by aggregating the estimated intensity values over the temporal window </w:t>
      </w:r>
      <w:sdt>
        <w:sdtPr>
          <w:rPr>
            <w:rFonts w:cs="Times New Roman"/>
            <w:color w:val="000000"/>
            <w:lang w:val="en-US"/>
          </w:rPr>
          <w:tag w:val="MENDELEY_CITATION_v3_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"/>
          <w:id w:val="-1830273136"/>
          <w:placeholder>
            <w:docPart w:val="DefaultPlaceholder_-1854013440"/>
          </w:placeholder>
        </w:sdtPr>
        <w:sdtContent>
          <w:r w:rsidR="00730D86" w:rsidRPr="00730D86">
            <w:rPr>
              <w:rFonts w:cs="Times New Roman"/>
              <w:color w:val="000000"/>
              <w:lang w:val="en-US"/>
            </w:rPr>
            <w:t>[15]</w:t>
          </w:r>
        </w:sdtContent>
      </w:sdt>
      <w:r w:rsidR="002D711B" w:rsidRPr="002D711B">
        <w:rPr>
          <w:rFonts w:cs="Times New Roman"/>
          <w:lang w:val="en-US"/>
        </w:rPr>
        <w:t xml:space="preserve">. </w:t>
      </w:r>
    </w:p>
    <w:p w14:paraId="76F30386" w14:textId="66A7C0EF" w:rsidR="00C40D79" w:rsidRDefault="00C40D79" w:rsidP="007C5097">
      <w:pPr>
        <w:rPr>
          <w:rFonts w:cs="Times New Roman"/>
          <w:highlight w:val="yellow"/>
          <w:lang w:val="en-US"/>
        </w:rPr>
        <w:sectPr w:rsidR="00C40D79" w:rsidSect="00261404">
          <w:pgSz w:w="15840" w:h="12240" w:orient="landscape"/>
          <w:pgMar w:top="1440" w:right="1440" w:bottom="1440" w:left="1440" w:header="709" w:footer="709" w:gutter="0"/>
          <w:cols w:space="708"/>
          <w:docGrid w:linePitch="360"/>
        </w:sectPr>
      </w:pPr>
    </w:p>
    <w:p w14:paraId="0A6227E3" w14:textId="7BD80E85" w:rsidR="00C40D79" w:rsidRDefault="00C40D79">
      <w:pPr>
        <w:rPr>
          <w:rFonts w:cs="Times New Roman"/>
          <w:lang w:val="en-US"/>
        </w:rPr>
      </w:pPr>
    </w:p>
    <w:p w14:paraId="70BB486E" w14:textId="6326AB28" w:rsidR="0005320A" w:rsidRDefault="0005320A" w:rsidP="0005320A">
      <w:pPr>
        <w:rPr>
          <w:rFonts w:eastAsiaTheme="minorEastAsia" w:cs="Times New Roman"/>
          <w:b/>
          <w:bCs/>
          <w:lang w:val="en-CA"/>
        </w:rPr>
      </w:pPr>
      <w:r>
        <w:rPr>
          <w:rFonts w:eastAsiaTheme="minorEastAsia" w:cs="Times New Roman"/>
          <w:b/>
          <w:bCs/>
          <w:noProof/>
          <w:lang w:val="en-CA"/>
        </w:rPr>
        <w:drawing>
          <wp:anchor distT="0" distB="0" distL="114300" distR="114300" simplePos="0" relativeHeight="251661312" behindDoc="0" locked="0" layoutInCell="1" allowOverlap="1" wp14:anchorId="53453DF0" wp14:editId="2265F6A8">
            <wp:simplePos x="0" y="0"/>
            <wp:positionH relativeFrom="column">
              <wp:posOffset>-609600</wp:posOffset>
            </wp:positionH>
            <wp:positionV relativeFrom="paragraph">
              <wp:posOffset>264160</wp:posOffset>
            </wp:positionV>
            <wp:extent cx="9398000" cy="3178810"/>
            <wp:effectExtent l="0" t="0" r="0" b="0"/>
            <wp:wrapSquare wrapText="bothSides"/>
            <wp:docPr id="995428065" name="Picture 2" descr="A blue and white map of different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28065" name="Picture 2" descr="A blue and white map of different regions&#10;&#10;AI-generated content may be incorrect."/>
                    <pic:cNvPicPr/>
                  </pic:nvPicPr>
                  <pic:blipFill rotWithShape="1">
                    <a:blip r:embed="rId15" cstate="print">
                      <a:extLst>
                        <a:ext uri="{28A0092B-C50C-407E-A947-70E740481C1C}">
                          <a14:useLocalDpi xmlns:a14="http://schemas.microsoft.com/office/drawing/2010/main" val="0"/>
                        </a:ext>
                      </a:extLst>
                    </a:blip>
                    <a:srcRect l="-1252" t="17514" r="1252" b="11875"/>
                    <a:stretch>
                      <a:fillRect/>
                    </a:stretch>
                  </pic:blipFill>
                  <pic:spPr bwMode="auto">
                    <a:xfrm>
                      <a:off x="0" y="0"/>
                      <a:ext cx="9398000" cy="317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69CAB" w14:textId="571A727C" w:rsidR="0005320A" w:rsidRDefault="0005320A" w:rsidP="0005320A">
      <w:pPr>
        <w:spacing w:line="480" w:lineRule="auto"/>
        <w:rPr>
          <w:rFonts w:eastAsiaTheme="minorEastAsia" w:cs="Times New Roman"/>
          <w:lang w:val="en-CA"/>
        </w:rPr>
      </w:pPr>
      <w:r>
        <w:rPr>
          <w:rFonts w:eastAsiaTheme="minorEastAsia" w:cs="Times New Roman"/>
          <w:b/>
          <w:bCs/>
          <w:lang w:val="en-CA"/>
        </w:rPr>
        <w:t>Figure S</w:t>
      </w:r>
      <w:r w:rsidR="0075283E">
        <w:rPr>
          <w:rFonts w:eastAsiaTheme="minorEastAsia" w:cs="Times New Roman"/>
          <w:b/>
          <w:bCs/>
          <w:lang w:val="en-CA"/>
        </w:rPr>
        <w:t>10</w:t>
      </w:r>
      <w:r>
        <w:rPr>
          <w:rFonts w:eastAsiaTheme="minorEastAsia" w:cs="Times New Roman"/>
          <w:b/>
          <w:bCs/>
          <w:lang w:val="en-CA"/>
        </w:rPr>
        <w:t xml:space="preserve">. </w:t>
      </w:r>
      <w:r w:rsidRPr="003179EC">
        <w:rPr>
          <w:rFonts w:eastAsiaTheme="minorEastAsia" w:cs="Times New Roman"/>
          <w:lang w:val="en-CA"/>
        </w:rPr>
        <w:t>Quintiles of KDE values for years 2013, 2018, and 2023</w:t>
      </w:r>
      <w:r>
        <w:rPr>
          <w:rFonts w:eastAsiaTheme="minorEastAsia" w:cs="Times New Roman"/>
          <w:lang w:val="en-CA"/>
        </w:rPr>
        <w:t xml:space="preserve">. </w:t>
      </w:r>
      <w:r w:rsidRPr="003331C5">
        <w:rPr>
          <w:rFonts w:eastAsiaTheme="minorEastAsia" w:cs="Times New Roman"/>
          <w:b/>
          <w:bCs/>
          <w:lang w:val="en-CA"/>
        </w:rPr>
        <w:t xml:space="preserve">Legend: </w:t>
      </w:r>
      <w:r>
        <w:rPr>
          <w:rFonts w:eastAsiaTheme="minorEastAsia" w:cs="Times New Roman"/>
          <w:lang w:val="en-CA"/>
        </w:rPr>
        <w:t xml:space="preserve">We considered Q4 and Q5 as population groups that were moderately and severely exposed to armed conflict, respectively. </w:t>
      </w:r>
    </w:p>
    <w:p w14:paraId="5DFAE57D" w14:textId="289955F7" w:rsidR="00220178" w:rsidRDefault="00220178">
      <w:pPr>
        <w:rPr>
          <w:rFonts w:cs="Times New Roman"/>
          <w:lang w:val="en-US"/>
        </w:rPr>
      </w:pPr>
    </w:p>
    <w:p w14:paraId="050FDEAF" w14:textId="77777777" w:rsidR="00220178" w:rsidRDefault="00220178">
      <w:pPr>
        <w:rPr>
          <w:rFonts w:cs="Times New Roman"/>
          <w:lang w:val="en-US"/>
        </w:rPr>
      </w:pPr>
    </w:p>
    <w:p w14:paraId="14400E6E" w14:textId="77777777" w:rsidR="00220178" w:rsidRDefault="00220178">
      <w:pPr>
        <w:rPr>
          <w:rFonts w:cs="Times New Roman"/>
          <w:lang w:val="en-US"/>
        </w:rPr>
      </w:pPr>
    </w:p>
    <w:p w14:paraId="6BE57045" w14:textId="77777777" w:rsidR="00220178" w:rsidRDefault="00220178">
      <w:pPr>
        <w:rPr>
          <w:rFonts w:cs="Times New Roman"/>
          <w:lang w:val="en-US"/>
        </w:rPr>
      </w:pPr>
    </w:p>
    <w:p w14:paraId="14B82F29" w14:textId="77777777" w:rsidR="00220178" w:rsidRDefault="00220178">
      <w:pPr>
        <w:rPr>
          <w:rFonts w:cs="Times New Roman"/>
          <w:lang w:val="en-US"/>
        </w:rPr>
      </w:pPr>
    </w:p>
    <w:p w14:paraId="6A50C6EC" w14:textId="77777777" w:rsidR="00445FB9" w:rsidRDefault="00445FB9">
      <w:pPr>
        <w:rPr>
          <w:rFonts w:cs="Times New Roman"/>
          <w:lang w:val="en-US"/>
        </w:rPr>
      </w:pPr>
    </w:p>
    <w:p w14:paraId="7B69F30D" w14:textId="77777777" w:rsidR="00445FB9" w:rsidRDefault="00445FB9">
      <w:pPr>
        <w:rPr>
          <w:rFonts w:cs="Times New Roman"/>
          <w:lang w:val="en-US"/>
        </w:rPr>
      </w:pPr>
    </w:p>
    <w:p w14:paraId="125D93A4" w14:textId="77777777" w:rsidR="00445FB9" w:rsidRDefault="00445FB9">
      <w:pPr>
        <w:rPr>
          <w:rFonts w:cs="Times New Roman"/>
          <w:lang w:val="en-US"/>
        </w:rPr>
      </w:pPr>
    </w:p>
    <w:p w14:paraId="35F964BF" w14:textId="77777777" w:rsidR="00A460EB" w:rsidRDefault="00A460EB" w:rsidP="00445FB9">
      <w:pPr>
        <w:rPr>
          <w:rFonts w:eastAsiaTheme="minorEastAsia" w:cs="Times New Roman"/>
          <w:b/>
          <w:bCs/>
          <w:lang w:val="en-US"/>
        </w:rPr>
      </w:pPr>
    </w:p>
    <w:p w14:paraId="3DB7309F" w14:textId="00908ACA" w:rsidR="00A460EB" w:rsidRDefault="00A460EB" w:rsidP="00445FB9">
      <w:pPr>
        <w:rPr>
          <w:rFonts w:eastAsiaTheme="minorEastAsia" w:cs="Times New Roman"/>
          <w:b/>
          <w:bCs/>
          <w:lang w:val="en-US"/>
        </w:rPr>
      </w:pPr>
      <w:r>
        <w:rPr>
          <w:rFonts w:cs="Times New Roman"/>
          <w:b/>
          <w:bCs/>
          <w:noProof/>
          <w:lang w:val="en-US"/>
        </w:rPr>
        <w:lastRenderedPageBreak/>
        <w:drawing>
          <wp:inline distT="0" distB="0" distL="0" distR="0" wp14:anchorId="442905BB" wp14:editId="26B08963">
            <wp:extent cx="7890387" cy="4671032"/>
            <wp:effectExtent l="0" t="0" r="0" b="3175"/>
            <wp:docPr id="2075705935" name="Picture 1" descr="A group of image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05935" name="Picture 1" descr="A group of images of different colors&#10;&#10;AI-generated content may be incorrect."/>
                    <pic:cNvPicPr/>
                  </pic:nvPicPr>
                  <pic:blipFill rotWithShape="1">
                    <a:blip r:embed="rId16">
                      <a:extLst>
                        <a:ext uri="{28A0092B-C50C-407E-A947-70E740481C1C}">
                          <a14:useLocalDpi xmlns:a14="http://schemas.microsoft.com/office/drawing/2010/main" val="0"/>
                        </a:ext>
                      </a:extLst>
                    </a:blip>
                    <a:srcRect l="8600" r="9842"/>
                    <a:stretch>
                      <a:fillRect/>
                    </a:stretch>
                  </pic:blipFill>
                  <pic:spPr bwMode="auto">
                    <a:xfrm>
                      <a:off x="0" y="0"/>
                      <a:ext cx="7922809" cy="4690225"/>
                    </a:xfrm>
                    <a:prstGeom prst="rect">
                      <a:avLst/>
                    </a:prstGeom>
                    <a:ln>
                      <a:noFill/>
                    </a:ln>
                    <a:extLst>
                      <a:ext uri="{53640926-AAD7-44D8-BBD7-CCE9431645EC}">
                        <a14:shadowObscured xmlns:a14="http://schemas.microsoft.com/office/drawing/2010/main"/>
                      </a:ext>
                    </a:extLst>
                  </pic:spPr>
                </pic:pic>
              </a:graphicData>
            </a:graphic>
          </wp:inline>
        </w:drawing>
      </w:r>
    </w:p>
    <w:p w14:paraId="6AF97F2B" w14:textId="77777777" w:rsidR="00A460EB" w:rsidRDefault="00A460EB" w:rsidP="00445FB9">
      <w:pPr>
        <w:rPr>
          <w:rFonts w:eastAsiaTheme="minorEastAsia" w:cs="Times New Roman"/>
          <w:b/>
          <w:bCs/>
          <w:lang w:val="en-US"/>
        </w:rPr>
      </w:pPr>
    </w:p>
    <w:p w14:paraId="35B1CABD" w14:textId="77777777" w:rsidR="00445FB9" w:rsidRPr="00CC67C2" w:rsidRDefault="00445FB9" w:rsidP="00445FB9">
      <w:pPr>
        <w:rPr>
          <w:rFonts w:eastAsiaTheme="minorEastAsia" w:cs="Times New Roman"/>
          <w:b/>
          <w:bCs/>
          <w:lang w:val="en-US"/>
        </w:rPr>
      </w:pPr>
    </w:p>
    <w:p w14:paraId="02DDE234" w14:textId="2491EAB6" w:rsidR="000D77DB" w:rsidRDefault="000D77DB" w:rsidP="000D77DB">
      <w:pPr>
        <w:rPr>
          <w:rFonts w:cs="Times New Roman"/>
          <w:b/>
          <w:bCs/>
          <w:lang w:val="en-US"/>
        </w:rPr>
      </w:pPr>
      <w:r>
        <w:rPr>
          <w:rFonts w:cs="Times New Roman"/>
          <w:b/>
          <w:bCs/>
          <w:lang w:val="en-US"/>
        </w:rPr>
        <w:t xml:space="preserve">Figure S11. </w:t>
      </w:r>
      <w:r w:rsidRPr="001E5177">
        <w:rPr>
          <w:rFonts w:cs="Times New Roman"/>
          <w:lang w:val="en-US"/>
        </w:rPr>
        <w:t>Conflict exposure surfaces generated using</w:t>
      </w:r>
      <w:r>
        <w:rPr>
          <w:rFonts w:cs="Times New Roman"/>
          <w:lang w:val="en-US"/>
        </w:rPr>
        <w:t xml:space="preserve"> the standard approaches and</w:t>
      </w:r>
      <w:r w:rsidRPr="001E5177">
        <w:rPr>
          <w:rFonts w:cs="Times New Roman"/>
          <w:lang w:val="en-US"/>
        </w:rPr>
        <w:t xml:space="preserve"> kernel density estimation (KDE)</w:t>
      </w:r>
      <w:r>
        <w:rPr>
          <w:rFonts w:cs="Times New Roman"/>
          <w:lang w:val="en-US"/>
        </w:rPr>
        <w:t xml:space="preserve"> for the years 2013, 2018, and 2023</w:t>
      </w:r>
      <w:r w:rsidRPr="001E5177">
        <w:rPr>
          <w:rFonts w:cs="Times New Roman"/>
          <w:lang w:val="en-US"/>
        </w:rPr>
        <w:t>.</w:t>
      </w:r>
    </w:p>
    <w:p w14:paraId="2335E23C" w14:textId="77777777" w:rsidR="00445FB9" w:rsidRDefault="00445FB9">
      <w:pPr>
        <w:rPr>
          <w:rFonts w:cs="Times New Roman"/>
          <w:lang w:val="en-US"/>
        </w:rPr>
      </w:pPr>
    </w:p>
    <w:p w14:paraId="45617BC1" w14:textId="77777777" w:rsidR="00220178" w:rsidRDefault="00220178">
      <w:pPr>
        <w:rPr>
          <w:rFonts w:cs="Times New Roman"/>
          <w:lang w:val="en-US"/>
        </w:rPr>
      </w:pPr>
    </w:p>
    <w:p w14:paraId="64A972A7" w14:textId="77777777" w:rsidR="00220178" w:rsidRDefault="00220178">
      <w:pPr>
        <w:rPr>
          <w:rFonts w:cs="Times New Roman"/>
          <w:lang w:val="en-US"/>
        </w:rPr>
      </w:pPr>
    </w:p>
    <w:p w14:paraId="4B22C330" w14:textId="77777777" w:rsidR="00220178" w:rsidRDefault="00220178">
      <w:pPr>
        <w:rPr>
          <w:rFonts w:cs="Times New Roman"/>
          <w:lang w:val="en-US"/>
        </w:rPr>
      </w:pPr>
    </w:p>
    <w:p w14:paraId="0CE7FDBD" w14:textId="77777777" w:rsidR="0005320A" w:rsidRDefault="0005320A">
      <w:pPr>
        <w:rPr>
          <w:rFonts w:cs="Times New Roman"/>
          <w:lang w:val="en-US"/>
        </w:rPr>
      </w:pPr>
    </w:p>
    <w:p w14:paraId="3B951A56" w14:textId="77777777" w:rsidR="0005320A" w:rsidRDefault="0005320A">
      <w:pPr>
        <w:rPr>
          <w:rFonts w:cs="Times New Roman"/>
          <w:lang w:val="en-US"/>
        </w:rPr>
      </w:pPr>
    </w:p>
    <w:p w14:paraId="04AD2D7B" w14:textId="77777777" w:rsidR="0005320A" w:rsidRDefault="0005320A">
      <w:pPr>
        <w:rPr>
          <w:rFonts w:cs="Times New Roman"/>
          <w:lang w:val="en-US"/>
        </w:rPr>
      </w:pPr>
    </w:p>
    <w:p w14:paraId="309BB9B9" w14:textId="77777777" w:rsidR="00220178" w:rsidRDefault="00220178">
      <w:pPr>
        <w:rPr>
          <w:rFonts w:cs="Times New Roman"/>
          <w:lang w:val="en-US"/>
        </w:rPr>
      </w:pPr>
    </w:p>
    <w:p w14:paraId="3C88B423" w14:textId="512EC5AC" w:rsidR="00FB5626" w:rsidRDefault="000B3A03" w:rsidP="00195D19">
      <w:pPr>
        <w:spacing w:line="480" w:lineRule="auto"/>
        <w:rPr>
          <w:rFonts w:cs="Times New Roman"/>
          <w:lang w:val="en-US"/>
        </w:rPr>
      </w:pPr>
      <w:r>
        <w:rPr>
          <w:rFonts w:cs="Times New Roman"/>
          <w:noProof/>
          <w:lang w:val="en-US"/>
        </w:rPr>
        <w:drawing>
          <wp:inline distT="0" distB="0" distL="0" distR="0" wp14:anchorId="541DC758" wp14:editId="07D30646">
            <wp:extent cx="8914005" cy="2641600"/>
            <wp:effectExtent l="0" t="0" r="1905" b="0"/>
            <wp:docPr id="191686976" name="Picture 4" descr="A group of map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6976" name="Picture 4" descr="A group of maps with different colors&#10;&#10;AI-generated content may be incorrect."/>
                    <pic:cNvPicPr/>
                  </pic:nvPicPr>
                  <pic:blipFill rotWithShape="1">
                    <a:blip r:embed="rId17">
                      <a:extLst>
                        <a:ext uri="{28A0092B-C50C-407E-A947-70E740481C1C}">
                          <a14:useLocalDpi xmlns:a14="http://schemas.microsoft.com/office/drawing/2010/main" val="0"/>
                        </a:ext>
                      </a:extLst>
                    </a:blip>
                    <a:srcRect t="24084" b="20134"/>
                    <a:stretch>
                      <a:fillRect/>
                    </a:stretch>
                  </pic:blipFill>
                  <pic:spPr bwMode="auto">
                    <a:xfrm>
                      <a:off x="0" y="0"/>
                      <a:ext cx="8926261" cy="2645232"/>
                    </a:xfrm>
                    <a:prstGeom prst="rect">
                      <a:avLst/>
                    </a:prstGeom>
                    <a:ln>
                      <a:noFill/>
                    </a:ln>
                    <a:extLst>
                      <a:ext uri="{53640926-AAD7-44D8-BBD7-CCE9431645EC}">
                        <a14:shadowObscured xmlns:a14="http://schemas.microsoft.com/office/drawing/2010/main"/>
                      </a:ext>
                    </a:extLst>
                  </pic:spPr>
                </pic:pic>
              </a:graphicData>
            </a:graphic>
          </wp:inline>
        </w:drawing>
      </w:r>
    </w:p>
    <w:p w14:paraId="1D6DA3B1" w14:textId="6EE89BEE" w:rsidR="00195D19" w:rsidRDefault="00195D19" w:rsidP="00195D19">
      <w:pPr>
        <w:spacing w:line="480" w:lineRule="auto"/>
        <w:rPr>
          <w:rFonts w:cs="Times New Roman"/>
          <w:lang w:val="en-CA"/>
        </w:rPr>
      </w:pPr>
      <w:r w:rsidRPr="111C8276">
        <w:rPr>
          <w:rFonts w:cs="Times New Roman"/>
          <w:b/>
          <w:bCs/>
          <w:lang w:val="en-US"/>
        </w:rPr>
        <w:t xml:space="preserve">Figure </w:t>
      </w:r>
      <w:r>
        <w:rPr>
          <w:rFonts w:cs="Times New Roman"/>
          <w:b/>
          <w:bCs/>
          <w:lang w:val="en-US"/>
        </w:rPr>
        <w:t>S</w:t>
      </w:r>
      <w:r w:rsidR="007D666D">
        <w:rPr>
          <w:rFonts w:cs="Times New Roman"/>
          <w:b/>
          <w:bCs/>
          <w:lang w:val="en-US"/>
        </w:rPr>
        <w:t>1</w:t>
      </w:r>
      <w:r w:rsidR="000D77DB">
        <w:rPr>
          <w:rFonts w:cs="Times New Roman"/>
          <w:b/>
          <w:bCs/>
          <w:lang w:val="en-US"/>
        </w:rPr>
        <w:t>2</w:t>
      </w:r>
      <w:r w:rsidRPr="111C8276">
        <w:rPr>
          <w:rFonts w:cs="Times New Roman"/>
          <w:b/>
          <w:bCs/>
          <w:lang w:val="en-US"/>
        </w:rPr>
        <w:t xml:space="preserve">. </w:t>
      </w:r>
      <w:r w:rsidRPr="00195D19">
        <w:rPr>
          <w:rFonts w:cs="Times New Roman"/>
          <w:lang w:val="en-US"/>
        </w:rPr>
        <w:t xml:space="preserve">Comparison of kernel density estimation (KDE) and the </w:t>
      </w:r>
      <w:r w:rsidR="005F6272">
        <w:rPr>
          <w:rFonts w:cs="Times New Roman"/>
          <w:lang w:val="en-US"/>
        </w:rPr>
        <w:t>fixed-radius</w:t>
      </w:r>
      <w:r w:rsidRPr="00195D19">
        <w:rPr>
          <w:rFonts w:cs="Times New Roman"/>
          <w:lang w:val="en-US"/>
        </w:rPr>
        <w:t xml:space="preserve"> approach in the population</w:t>
      </w:r>
      <w:r w:rsidR="005F6272">
        <w:rPr>
          <w:rFonts w:cs="Times New Roman"/>
          <w:lang w:val="en-US"/>
        </w:rPr>
        <w:t xml:space="preserve"> of women of reproductive age (15 to 49 years)</w:t>
      </w:r>
      <w:r w:rsidRPr="00195D19">
        <w:rPr>
          <w:rFonts w:cs="Times New Roman"/>
          <w:lang w:val="en-US"/>
        </w:rPr>
        <w:t xml:space="preserve"> estimated to be exposed to armed conflict</w:t>
      </w:r>
      <w:r w:rsidR="00FB5626">
        <w:rPr>
          <w:rFonts w:cs="Times New Roman"/>
          <w:lang w:val="en-US"/>
        </w:rPr>
        <w:t xml:space="preserve">. </w:t>
      </w:r>
      <w:r w:rsidR="00FB5626" w:rsidRPr="00FB5626">
        <w:rPr>
          <w:rFonts w:cs="Times New Roman"/>
          <w:b/>
          <w:bCs/>
          <w:lang w:val="en-US"/>
        </w:rPr>
        <w:t>Legend:</w:t>
      </w:r>
      <w:r w:rsidR="00FB5626">
        <w:rPr>
          <w:rFonts w:cs="Times New Roman"/>
          <w:lang w:val="en-US"/>
        </w:rPr>
        <w:t xml:space="preserve"> </w:t>
      </w:r>
      <w:r w:rsidR="00FB5626" w:rsidRPr="363DD906">
        <w:rPr>
          <w:rFonts w:cs="Times New Roman"/>
          <w:lang w:val="en-CA"/>
        </w:rPr>
        <w:t>Panels 1, 2, and 3 display the agreement for years 2013, 2018, and 2023, respectively. The years’ respective percent agreement and Cohen’s kappa values are also provided.</w:t>
      </w:r>
    </w:p>
    <w:p w14:paraId="6DAE9B05" w14:textId="77777777" w:rsidR="00D706DD" w:rsidRDefault="00D706DD" w:rsidP="00195D19">
      <w:pPr>
        <w:spacing w:line="480" w:lineRule="auto"/>
        <w:rPr>
          <w:rFonts w:cs="Times New Roman"/>
          <w:lang w:val="en-CA"/>
        </w:rPr>
      </w:pPr>
    </w:p>
    <w:p w14:paraId="20337CB1" w14:textId="77777777" w:rsidR="00D706DD" w:rsidRDefault="00D706DD" w:rsidP="00195D19">
      <w:pPr>
        <w:spacing w:line="480" w:lineRule="auto"/>
        <w:rPr>
          <w:rFonts w:cs="Times New Roman"/>
          <w:lang w:val="en-CA"/>
        </w:rPr>
      </w:pPr>
    </w:p>
    <w:p w14:paraId="1E64E097" w14:textId="77777777" w:rsidR="00D706DD" w:rsidRDefault="00D706DD" w:rsidP="00195D19">
      <w:pPr>
        <w:spacing w:line="480" w:lineRule="auto"/>
        <w:rPr>
          <w:rFonts w:cs="Times New Roman"/>
          <w:lang w:val="en-CA"/>
        </w:rPr>
      </w:pPr>
    </w:p>
    <w:p w14:paraId="46B0247E" w14:textId="77777777" w:rsidR="00D706DD" w:rsidRDefault="00D706DD" w:rsidP="00195D19">
      <w:pPr>
        <w:spacing w:line="480" w:lineRule="auto"/>
        <w:rPr>
          <w:rFonts w:cs="Times New Roman"/>
          <w:lang w:val="en-CA"/>
        </w:rPr>
      </w:pPr>
    </w:p>
    <w:p w14:paraId="3466BDE4" w14:textId="77777777" w:rsidR="0002660C" w:rsidRDefault="0002660C" w:rsidP="00195D19">
      <w:pPr>
        <w:spacing w:line="480" w:lineRule="auto"/>
        <w:rPr>
          <w:rFonts w:cs="Times New Roman"/>
          <w:lang w:val="en-CA"/>
        </w:rPr>
      </w:pPr>
    </w:p>
    <w:p w14:paraId="13FCB850" w14:textId="77777777" w:rsidR="00D706DD" w:rsidRDefault="00D706DD" w:rsidP="00195D19">
      <w:pPr>
        <w:spacing w:line="480" w:lineRule="auto"/>
        <w:rPr>
          <w:rFonts w:cs="Times New Roman"/>
          <w:lang w:val="en-CA"/>
        </w:rPr>
      </w:pPr>
    </w:p>
    <w:p w14:paraId="2E6731C8" w14:textId="05ADEC8F" w:rsidR="00D706DD" w:rsidRDefault="00E37180" w:rsidP="00195D19">
      <w:pPr>
        <w:spacing w:line="480" w:lineRule="auto"/>
        <w:rPr>
          <w:rFonts w:cs="Times New Roman"/>
          <w:lang w:val="en-CA"/>
        </w:rPr>
      </w:pPr>
      <w:r>
        <w:rPr>
          <w:rFonts w:cs="Times New Roman"/>
          <w:noProof/>
          <w:lang w:val="en-CA"/>
        </w:rPr>
        <w:drawing>
          <wp:inline distT="0" distB="0" distL="0" distR="0" wp14:anchorId="7C58E570" wp14:editId="11E4D70D">
            <wp:extent cx="8228311" cy="2392218"/>
            <wp:effectExtent l="0" t="0" r="1905" b="0"/>
            <wp:docPr id="728131137" name="Picture 5" descr="A group of map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31137" name="Picture 5" descr="A group of maps of different colors&#10;&#10;AI-generated content may be incorrect."/>
                    <pic:cNvPicPr/>
                  </pic:nvPicPr>
                  <pic:blipFill rotWithShape="1">
                    <a:blip r:embed="rId18">
                      <a:extLst>
                        <a:ext uri="{28A0092B-C50C-407E-A947-70E740481C1C}">
                          <a14:useLocalDpi xmlns:a14="http://schemas.microsoft.com/office/drawing/2010/main" val="0"/>
                        </a:ext>
                      </a:extLst>
                    </a:blip>
                    <a:srcRect t="24084" b="21191"/>
                    <a:stretch>
                      <a:fillRect/>
                    </a:stretch>
                  </pic:blipFill>
                  <pic:spPr bwMode="auto">
                    <a:xfrm>
                      <a:off x="0" y="0"/>
                      <a:ext cx="8229600" cy="2392593"/>
                    </a:xfrm>
                    <a:prstGeom prst="rect">
                      <a:avLst/>
                    </a:prstGeom>
                    <a:ln>
                      <a:noFill/>
                    </a:ln>
                    <a:extLst>
                      <a:ext uri="{53640926-AAD7-44D8-BBD7-CCE9431645EC}">
                        <a14:shadowObscured xmlns:a14="http://schemas.microsoft.com/office/drawing/2010/main"/>
                      </a:ext>
                    </a:extLst>
                  </pic:spPr>
                </pic:pic>
              </a:graphicData>
            </a:graphic>
          </wp:inline>
        </w:drawing>
      </w:r>
    </w:p>
    <w:p w14:paraId="20B63CCC" w14:textId="280CCCEC" w:rsidR="00137996" w:rsidRDefault="00D706DD" w:rsidP="00D706DD">
      <w:pPr>
        <w:spacing w:line="480" w:lineRule="auto"/>
        <w:rPr>
          <w:rFonts w:cs="Times New Roman"/>
          <w:lang w:val="en-CA"/>
        </w:rPr>
      </w:pPr>
      <w:r w:rsidRPr="111C8276">
        <w:rPr>
          <w:rFonts w:cs="Times New Roman"/>
          <w:b/>
          <w:bCs/>
          <w:lang w:val="en-US"/>
        </w:rPr>
        <w:t xml:space="preserve">Figure </w:t>
      </w:r>
      <w:r>
        <w:rPr>
          <w:rFonts w:cs="Times New Roman"/>
          <w:b/>
          <w:bCs/>
          <w:lang w:val="en-US"/>
        </w:rPr>
        <w:t>S</w:t>
      </w:r>
      <w:r w:rsidR="007D666D">
        <w:rPr>
          <w:rFonts w:cs="Times New Roman"/>
          <w:b/>
          <w:bCs/>
          <w:lang w:val="en-US"/>
        </w:rPr>
        <w:t>1</w:t>
      </w:r>
      <w:r w:rsidR="000D77DB">
        <w:rPr>
          <w:rFonts w:cs="Times New Roman"/>
          <w:b/>
          <w:bCs/>
          <w:lang w:val="en-US"/>
        </w:rPr>
        <w:t>3</w:t>
      </w:r>
      <w:r w:rsidRPr="111C8276">
        <w:rPr>
          <w:rFonts w:cs="Times New Roman"/>
          <w:b/>
          <w:bCs/>
          <w:lang w:val="en-US"/>
        </w:rPr>
        <w:t xml:space="preserve">. </w:t>
      </w:r>
      <w:r w:rsidRPr="00195D19">
        <w:rPr>
          <w:rFonts w:cs="Times New Roman"/>
          <w:lang w:val="en-US"/>
        </w:rPr>
        <w:t xml:space="preserve">Comparison of kernel density estimation (KDE) and the </w:t>
      </w:r>
      <w:r w:rsidR="005F6272">
        <w:rPr>
          <w:rFonts w:cs="Times New Roman"/>
          <w:lang w:val="en-US"/>
        </w:rPr>
        <w:t>fixed-radius</w:t>
      </w:r>
      <w:r w:rsidRPr="00195D19">
        <w:rPr>
          <w:rFonts w:cs="Times New Roman"/>
          <w:lang w:val="en-US"/>
        </w:rPr>
        <w:t xml:space="preserve"> approach in the </w:t>
      </w:r>
      <w:r>
        <w:rPr>
          <w:rFonts w:cs="Times New Roman"/>
          <w:lang w:val="en-US"/>
        </w:rPr>
        <w:t>under-five</w:t>
      </w:r>
      <w:r w:rsidRPr="00195D19">
        <w:rPr>
          <w:rFonts w:cs="Times New Roman"/>
          <w:lang w:val="en-US"/>
        </w:rPr>
        <w:t xml:space="preserve"> population estimated to be exposed to armed conflict</w:t>
      </w:r>
      <w:r>
        <w:rPr>
          <w:rFonts w:cs="Times New Roman"/>
          <w:lang w:val="en-US"/>
        </w:rPr>
        <w:t xml:space="preserve">. </w:t>
      </w:r>
      <w:r w:rsidRPr="00FB5626">
        <w:rPr>
          <w:rFonts w:cs="Times New Roman"/>
          <w:b/>
          <w:bCs/>
          <w:lang w:val="en-US"/>
        </w:rPr>
        <w:t>Legend:</w:t>
      </w:r>
      <w:r>
        <w:rPr>
          <w:rFonts w:cs="Times New Roman"/>
          <w:lang w:val="en-US"/>
        </w:rPr>
        <w:t xml:space="preserve"> </w:t>
      </w:r>
      <w:r w:rsidRPr="363DD906">
        <w:rPr>
          <w:rFonts w:cs="Times New Roman"/>
          <w:lang w:val="en-CA"/>
        </w:rPr>
        <w:t>Panels 1, 2, and 3 display the agreement for years 2013, 2018, and 2023, respectively. The years’ respective percent agreement and Cohen’s kappa values are also provided.</w:t>
      </w:r>
    </w:p>
    <w:p w14:paraId="61C05468" w14:textId="77777777" w:rsidR="00137996" w:rsidRDefault="00137996">
      <w:pPr>
        <w:rPr>
          <w:rFonts w:cs="Times New Roman"/>
          <w:lang w:val="en-CA"/>
        </w:rPr>
      </w:pPr>
      <w:r>
        <w:rPr>
          <w:rFonts w:cs="Times New Roman"/>
          <w:lang w:val="en-CA"/>
        </w:rPr>
        <w:br w:type="page"/>
      </w:r>
    </w:p>
    <w:p w14:paraId="560DE14A" w14:textId="112BE38B" w:rsidR="00C2653C" w:rsidRDefault="004D3928" w:rsidP="00D706DD">
      <w:pPr>
        <w:spacing w:line="480" w:lineRule="auto"/>
        <w:rPr>
          <w:rFonts w:cs="Times New Roman"/>
          <w:lang w:val="en-CA"/>
        </w:rPr>
      </w:pPr>
      <w:r>
        <w:rPr>
          <w:rFonts w:cs="Times New Roman"/>
          <w:noProof/>
          <w:lang w:val="en-CA"/>
        </w:rPr>
        <w:lastRenderedPageBreak/>
        <w:drawing>
          <wp:inline distT="0" distB="0" distL="0" distR="0" wp14:anchorId="411EB3DF" wp14:editId="6AF29FF1">
            <wp:extent cx="8229600" cy="4371975"/>
            <wp:effectExtent l="0" t="0" r="0" b="0"/>
            <wp:docPr id="95395067" name="Picture 9" descr="A collage of different colored m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5067" name="Picture 9" descr="A collage of different colored map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8229600" cy="4371975"/>
                    </a:xfrm>
                    <a:prstGeom prst="rect">
                      <a:avLst/>
                    </a:prstGeom>
                  </pic:spPr>
                </pic:pic>
              </a:graphicData>
            </a:graphic>
          </wp:inline>
        </w:drawing>
      </w:r>
    </w:p>
    <w:p w14:paraId="11862107" w14:textId="39822238" w:rsidR="004D3928" w:rsidRDefault="00C2653C" w:rsidP="00D706DD">
      <w:pPr>
        <w:spacing w:line="480" w:lineRule="auto"/>
        <w:rPr>
          <w:rFonts w:cs="Times New Roman"/>
          <w:lang w:val="en-CA"/>
        </w:rPr>
      </w:pPr>
      <w:r w:rsidRPr="00C2653C">
        <w:rPr>
          <w:rFonts w:cs="Times New Roman"/>
          <w:b/>
          <w:bCs/>
          <w:lang w:val="en-CA"/>
        </w:rPr>
        <w:t>Figure S1</w:t>
      </w:r>
      <w:r w:rsidR="000D77DB">
        <w:rPr>
          <w:rFonts w:cs="Times New Roman"/>
          <w:b/>
          <w:bCs/>
          <w:lang w:val="en-CA"/>
        </w:rPr>
        <w:t>4</w:t>
      </w:r>
      <w:r w:rsidRPr="00C2653C">
        <w:rPr>
          <w:rFonts w:cs="Times New Roman"/>
          <w:b/>
          <w:bCs/>
          <w:lang w:val="en-CA"/>
        </w:rPr>
        <w:t>.</w:t>
      </w:r>
      <w:r>
        <w:rPr>
          <w:rFonts w:cs="Times New Roman"/>
          <w:lang w:val="en-CA"/>
        </w:rPr>
        <w:t xml:space="preserve"> Coverage of reproductive, maternal, and child health indicators at the health district level for </w:t>
      </w:r>
      <w:r w:rsidR="004D3928">
        <w:rPr>
          <w:rFonts w:cs="Times New Roman"/>
          <w:lang w:val="en-CA"/>
        </w:rPr>
        <w:t xml:space="preserve">the </w:t>
      </w:r>
      <w:r>
        <w:rPr>
          <w:rFonts w:cs="Times New Roman"/>
          <w:lang w:val="en-CA"/>
        </w:rPr>
        <w:t>years 2012 and 201</w:t>
      </w:r>
      <w:r w:rsidR="004D3928">
        <w:rPr>
          <w:rFonts w:cs="Times New Roman"/>
          <w:lang w:val="en-CA"/>
        </w:rPr>
        <w:t>8</w:t>
      </w:r>
    </w:p>
    <w:p w14:paraId="6CF490FA" w14:textId="77777777" w:rsidR="004D3928" w:rsidRDefault="004D3928">
      <w:pPr>
        <w:rPr>
          <w:rFonts w:cs="Times New Roman"/>
          <w:lang w:val="en-CA"/>
        </w:rPr>
      </w:pPr>
      <w:r>
        <w:rPr>
          <w:rFonts w:cs="Times New Roman"/>
          <w:lang w:val="en-CA"/>
        </w:rPr>
        <w:br w:type="page"/>
      </w:r>
    </w:p>
    <w:p w14:paraId="70545C57" w14:textId="239E3C81" w:rsidR="00D706DD" w:rsidRDefault="0085145E" w:rsidP="00D706DD">
      <w:pPr>
        <w:spacing w:line="480" w:lineRule="auto"/>
        <w:rPr>
          <w:rFonts w:cs="Times New Roman"/>
          <w:lang w:val="en-CA"/>
        </w:rPr>
      </w:pPr>
      <w:r>
        <w:rPr>
          <w:rFonts w:cs="Times New Roman"/>
          <w:noProof/>
          <w:lang w:val="en-CA"/>
        </w:rPr>
        <w:lastRenderedPageBreak/>
        <w:drawing>
          <wp:inline distT="0" distB="0" distL="0" distR="0" wp14:anchorId="0883D445" wp14:editId="145625E7">
            <wp:extent cx="8444675" cy="4064000"/>
            <wp:effectExtent l="0" t="0" r="1270" b="0"/>
            <wp:docPr id="818370519" name="Picture 1" descr="A collage of different colored m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70519" name="Picture 1" descr="A collage of different colored map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56489" cy="4069685"/>
                    </a:xfrm>
                    <a:prstGeom prst="rect">
                      <a:avLst/>
                    </a:prstGeom>
                  </pic:spPr>
                </pic:pic>
              </a:graphicData>
            </a:graphic>
          </wp:inline>
        </w:drawing>
      </w:r>
    </w:p>
    <w:p w14:paraId="038BF2EE" w14:textId="2D85FFF1" w:rsidR="004D3928" w:rsidRDefault="004D3928" w:rsidP="004D3928">
      <w:pPr>
        <w:spacing w:line="480" w:lineRule="auto"/>
        <w:rPr>
          <w:rFonts w:cs="Times New Roman"/>
          <w:lang w:val="en-CA"/>
        </w:rPr>
      </w:pPr>
      <w:r w:rsidRPr="00C84461">
        <w:rPr>
          <w:rFonts w:cs="Times New Roman"/>
          <w:b/>
          <w:bCs/>
          <w:lang w:val="en-CA"/>
        </w:rPr>
        <w:t>Figure S1</w:t>
      </w:r>
      <w:r w:rsidR="000D77DB">
        <w:rPr>
          <w:rFonts w:cs="Times New Roman"/>
          <w:b/>
          <w:bCs/>
          <w:lang w:val="en-CA"/>
        </w:rPr>
        <w:t>5</w:t>
      </w:r>
      <w:r w:rsidRPr="00C84461">
        <w:rPr>
          <w:rFonts w:cs="Times New Roman"/>
          <w:b/>
          <w:bCs/>
          <w:lang w:val="en-CA"/>
        </w:rPr>
        <w:t>.</w:t>
      </w:r>
      <w:r w:rsidRPr="00C84461">
        <w:rPr>
          <w:rFonts w:cs="Times New Roman"/>
          <w:lang w:val="en-CA"/>
        </w:rPr>
        <w:t xml:space="preserve"> Coverage of reproductive, maternal, and child health indicators </w:t>
      </w:r>
      <w:r w:rsidR="00354821">
        <w:rPr>
          <w:rFonts w:cs="Times New Roman"/>
          <w:lang w:val="en-CA"/>
        </w:rPr>
        <w:t>in</w:t>
      </w:r>
      <w:r w:rsidRPr="00C84461">
        <w:rPr>
          <w:rFonts w:cs="Times New Roman"/>
          <w:lang w:val="en-CA"/>
        </w:rPr>
        <w:t xml:space="preserve"> the community health centre catchment areas for the years 2012 and 2018</w:t>
      </w:r>
    </w:p>
    <w:p w14:paraId="0618E167" w14:textId="77777777" w:rsidR="004D3928" w:rsidRDefault="004D3928" w:rsidP="00D706DD">
      <w:pPr>
        <w:spacing w:line="480" w:lineRule="auto"/>
        <w:rPr>
          <w:rFonts w:cs="Times New Roman"/>
          <w:lang w:val="en-CA"/>
        </w:rPr>
      </w:pPr>
    </w:p>
    <w:p w14:paraId="4E9A9F08" w14:textId="77777777" w:rsidR="00C2653C" w:rsidRDefault="00C2653C" w:rsidP="00D706DD">
      <w:pPr>
        <w:spacing w:line="480" w:lineRule="auto"/>
        <w:rPr>
          <w:rFonts w:cs="Times New Roman"/>
          <w:lang w:val="en-CA"/>
        </w:rPr>
      </w:pPr>
    </w:p>
    <w:p w14:paraId="7F0FFF35" w14:textId="77777777" w:rsidR="00D706DD" w:rsidRDefault="00D706DD" w:rsidP="00195D19">
      <w:pPr>
        <w:spacing w:line="480" w:lineRule="auto"/>
        <w:rPr>
          <w:rFonts w:cs="Times New Roman"/>
          <w:lang w:val="en-CA"/>
        </w:rPr>
      </w:pPr>
    </w:p>
    <w:p w14:paraId="54CC462A" w14:textId="7420BBD8" w:rsidR="003331C5" w:rsidRDefault="003331C5" w:rsidP="003331C5">
      <w:pPr>
        <w:rPr>
          <w:rFonts w:cs="Times New Roman"/>
          <w:highlight w:val="yellow"/>
          <w:lang w:val="en-US"/>
        </w:rPr>
        <w:sectPr w:rsidR="003331C5" w:rsidSect="00FB5626">
          <w:pgSz w:w="15840" w:h="12240" w:orient="landscape"/>
          <w:pgMar w:top="1440" w:right="1440" w:bottom="1440" w:left="1440" w:header="709" w:footer="709" w:gutter="0"/>
          <w:cols w:space="708"/>
          <w:docGrid w:linePitch="360"/>
        </w:sectPr>
      </w:pPr>
    </w:p>
    <w:p w14:paraId="79EF545E" w14:textId="25F33442" w:rsidR="009107B6" w:rsidRDefault="009107B6" w:rsidP="00C53E2E">
      <w:pPr>
        <w:spacing w:line="480" w:lineRule="auto"/>
        <w:rPr>
          <w:b/>
          <w:bCs/>
          <w:lang w:val="en-US"/>
        </w:rPr>
      </w:pPr>
      <w:r>
        <w:rPr>
          <w:b/>
          <w:bCs/>
          <w:noProof/>
          <w:lang w:val="en-US"/>
        </w:rPr>
        <w:lastRenderedPageBreak/>
        <w:drawing>
          <wp:inline distT="0" distB="0" distL="0" distR="0" wp14:anchorId="7EA7B501" wp14:editId="2FA8D1B5">
            <wp:extent cx="8688070" cy="4266942"/>
            <wp:effectExtent l="0" t="0" r="0" b="635"/>
            <wp:docPr id="2092438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38324" name="Picture 20924383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18081" cy="4281681"/>
                    </a:xfrm>
                    <a:prstGeom prst="rect">
                      <a:avLst/>
                    </a:prstGeom>
                  </pic:spPr>
                </pic:pic>
              </a:graphicData>
            </a:graphic>
          </wp:inline>
        </w:drawing>
      </w:r>
    </w:p>
    <w:p w14:paraId="68D7A35A" w14:textId="18E4F5A5" w:rsidR="00D641BB" w:rsidRDefault="003331C5" w:rsidP="00C53E2E">
      <w:pPr>
        <w:spacing w:line="480" w:lineRule="auto"/>
        <w:rPr>
          <w:rFonts w:cs="Times New Roman"/>
          <w:lang w:val="en-CA"/>
        </w:rPr>
      </w:pPr>
      <w:r w:rsidRPr="007F420E">
        <w:rPr>
          <w:b/>
          <w:bCs/>
          <w:lang w:val="en-US"/>
        </w:rPr>
        <w:t>Figure S</w:t>
      </w:r>
      <w:r w:rsidR="000934C9" w:rsidRPr="007F420E">
        <w:rPr>
          <w:b/>
          <w:bCs/>
          <w:lang w:val="en-US"/>
        </w:rPr>
        <w:t>1</w:t>
      </w:r>
      <w:r w:rsidR="000D77DB" w:rsidRPr="007F420E">
        <w:rPr>
          <w:b/>
          <w:bCs/>
          <w:lang w:val="en-US"/>
        </w:rPr>
        <w:t>6</w:t>
      </w:r>
      <w:r w:rsidRPr="007F420E">
        <w:rPr>
          <w:lang w:val="en-US"/>
        </w:rPr>
        <w:t>. Association between conflict exposure measures and reproductive, maternal, and child health outcomes at the health district level, 2012</w:t>
      </w:r>
      <w:r w:rsidR="00CD5A17" w:rsidRPr="007F420E">
        <w:rPr>
          <w:lang w:val="en-US"/>
        </w:rPr>
        <w:t xml:space="preserve">. </w:t>
      </w:r>
      <w:r w:rsidR="00CD5A17" w:rsidRPr="007F420E">
        <w:rPr>
          <w:b/>
          <w:bCs/>
          <w:lang w:val="en-US"/>
        </w:rPr>
        <w:t>Legend:</w:t>
      </w:r>
      <w:r w:rsidR="00CD5A17" w:rsidRPr="007F420E">
        <w:rPr>
          <w:lang w:val="en-US"/>
        </w:rPr>
        <w:t xml:space="preserve"> </w:t>
      </w:r>
      <w:r w:rsidR="008021F6" w:rsidRPr="00F549BC">
        <w:rPr>
          <w:rFonts w:cs="Times New Roman"/>
          <w:lang w:val="en-CA"/>
        </w:rPr>
        <w:t>The left column</w:t>
      </w:r>
      <w:r w:rsidR="00CD5A17" w:rsidRPr="007F420E">
        <w:rPr>
          <w:rFonts w:cs="Times New Roman"/>
          <w:lang w:val="en-CA"/>
        </w:rPr>
        <w:t xml:space="preserve"> display</w:t>
      </w:r>
      <w:r w:rsidR="008021F6" w:rsidRPr="00F549BC">
        <w:rPr>
          <w:rFonts w:cs="Times New Roman"/>
          <w:lang w:val="en-CA"/>
        </w:rPr>
        <w:t>s</w:t>
      </w:r>
      <w:r w:rsidR="00CD5A17" w:rsidRPr="007F420E">
        <w:rPr>
          <w:rFonts w:cs="Times New Roman"/>
          <w:lang w:val="en-CA"/>
        </w:rPr>
        <w:t xml:space="preserve"> RMCH indicator (%) distributions by the binary conflict exposure, obtained using the standard approach. </w:t>
      </w:r>
      <w:r w:rsidR="008021F6" w:rsidRPr="00F549BC">
        <w:rPr>
          <w:rFonts w:cs="Times New Roman"/>
          <w:lang w:val="en-CA"/>
        </w:rPr>
        <w:t>The middle column</w:t>
      </w:r>
      <w:r w:rsidR="00CD5A17" w:rsidRPr="007F420E">
        <w:rPr>
          <w:rFonts w:cs="Times New Roman"/>
          <w:lang w:val="en-CA"/>
        </w:rPr>
        <w:t xml:space="preserve"> show</w:t>
      </w:r>
      <w:r w:rsidR="008021F6" w:rsidRPr="00F549BC">
        <w:rPr>
          <w:rFonts w:cs="Times New Roman"/>
          <w:lang w:val="en-CA"/>
        </w:rPr>
        <w:t>s</w:t>
      </w:r>
      <w:r w:rsidR="00CD5A17" w:rsidRPr="007F420E">
        <w:rPr>
          <w:rFonts w:cs="Times New Roman"/>
          <w:lang w:val="en-CA"/>
        </w:rPr>
        <w:t xml:space="preserve"> distributions of the RMCH indicator (logit) by conflict counts on the log scale, obtained using the standard approach. </w:t>
      </w:r>
      <w:r w:rsidR="008021F6" w:rsidRPr="00F549BC">
        <w:rPr>
          <w:rFonts w:cs="Times New Roman"/>
          <w:lang w:val="en-CA"/>
        </w:rPr>
        <w:t>The right column</w:t>
      </w:r>
      <w:r w:rsidR="00CD5A17" w:rsidRPr="007F420E">
        <w:rPr>
          <w:rFonts w:cs="Times New Roman"/>
          <w:lang w:val="en-CA"/>
        </w:rPr>
        <w:t xml:space="preserve"> present</w:t>
      </w:r>
      <w:r w:rsidR="008021F6" w:rsidRPr="00F549BC">
        <w:rPr>
          <w:rFonts w:cs="Times New Roman"/>
          <w:lang w:val="en-CA"/>
        </w:rPr>
        <w:t>s</w:t>
      </w:r>
      <w:r w:rsidR="00CD5A17" w:rsidRPr="007F420E">
        <w:rPr>
          <w:rFonts w:cs="Times New Roman"/>
          <w:lang w:val="en-CA"/>
        </w:rPr>
        <w:t xml:space="preserve"> distributions of the RMCH indicator (logit) by continuous conflict </w:t>
      </w:r>
      <w:r w:rsidR="00CD5A17" w:rsidRPr="007F420E">
        <w:rPr>
          <w:rFonts w:cs="Times New Roman"/>
          <w:lang w:val="en-CA"/>
        </w:rPr>
        <w:lastRenderedPageBreak/>
        <w:t xml:space="preserve">intensity on the log scale, estimated using </w:t>
      </w:r>
      <w:r w:rsidR="00D3334A" w:rsidRPr="007F420E">
        <w:rPr>
          <w:rFonts w:cs="Times New Roman"/>
          <w:lang w:val="en-CA"/>
        </w:rPr>
        <w:t>kernel density estimation (</w:t>
      </w:r>
      <w:r w:rsidR="00CD5A17" w:rsidRPr="007F420E">
        <w:rPr>
          <w:rFonts w:cs="Times New Roman"/>
          <w:lang w:val="en-CA"/>
        </w:rPr>
        <w:t>KDE</w:t>
      </w:r>
      <w:r w:rsidR="00D3334A" w:rsidRPr="007F420E">
        <w:rPr>
          <w:rFonts w:cs="Times New Roman"/>
          <w:lang w:val="en-CA"/>
        </w:rPr>
        <w:t>)</w:t>
      </w:r>
      <w:r w:rsidR="00CD5A17" w:rsidRPr="007F420E">
        <w:rPr>
          <w:rFonts w:cs="Times New Roman"/>
          <w:lang w:val="en-CA"/>
        </w:rPr>
        <w:t xml:space="preserve">. </w:t>
      </w:r>
      <w:r w:rsidR="00592A25" w:rsidRPr="00F549BC">
        <w:rPr>
          <w:rFonts w:cs="Times New Roman"/>
          <w:lang w:val="en-CA"/>
        </w:rPr>
        <w:t xml:space="preserve">The correlation coefficients (r for </w:t>
      </w:r>
      <w:r w:rsidR="00AE6588" w:rsidRPr="00F549BC">
        <w:rPr>
          <w:rFonts w:cs="Times New Roman"/>
          <w:lang w:val="en-CA"/>
        </w:rPr>
        <w:t xml:space="preserve">the </w:t>
      </w:r>
      <w:r w:rsidR="00592A25" w:rsidRPr="00F549BC">
        <w:rPr>
          <w:rFonts w:cs="Times New Roman"/>
          <w:lang w:val="en-CA"/>
        </w:rPr>
        <w:t xml:space="preserve">bi-serial correlation coefficient and </w:t>
      </w:r>
      <w:r w:rsidR="00592A25" w:rsidRPr="00F549BC">
        <w:rPr>
          <w:rFonts w:ascii="Symbol" w:eastAsia="Symbol" w:hAnsi="Symbol" w:cs="Symbol"/>
          <w:lang w:val="en-CA"/>
        </w:rPr>
        <w:t>r</w:t>
      </w:r>
      <w:r w:rsidR="00592A25" w:rsidRPr="00F549BC">
        <w:rPr>
          <w:rFonts w:cs="Times New Roman"/>
          <w:lang w:val="en-CA"/>
        </w:rPr>
        <w:t xml:space="preserve"> for </w:t>
      </w:r>
      <w:r w:rsidR="00AE6588" w:rsidRPr="00F549BC">
        <w:rPr>
          <w:rFonts w:cs="Times New Roman"/>
          <w:lang w:val="en-CA"/>
        </w:rPr>
        <w:t xml:space="preserve">the </w:t>
      </w:r>
      <w:r w:rsidR="00592A25" w:rsidRPr="00F549BC">
        <w:rPr>
          <w:rFonts w:cs="Times New Roman"/>
          <w:lang w:val="en-CA"/>
        </w:rPr>
        <w:t>Spearman correlation coefficient)</w:t>
      </w:r>
      <w:r w:rsidR="00CD5A17" w:rsidRPr="007F420E">
        <w:rPr>
          <w:rFonts w:cs="Times New Roman"/>
          <w:lang w:val="en-CA"/>
        </w:rPr>
        <w:t>, coefficients of determination (R</w:t>
      </w:r>
      <w:r w:rsidR="00CD5A17" w:rsidRPr="007F420E">
        <w:rPr>
          <w:rFonts w:cs="Times New Roman"/>
          <w:vertAlign w:val="superscript"/>
          <w:lang w:val="en-CA"/>
        </w:rPr>
        <w:t>2</w:t>
      </w:r>
      <w:r w:rsidR="00CD5A17" w:rsidRPr="007F420E">
        <w:rPr>
          <w:rFonts w:cs="Times New Roman"/>
          <w:lang w:val="en-CA"/>
        </w:rPr>
        <w:t xml:space="preserve">), and root mean square error (RMSE) are also provided. </w:t>
      </w:r>
      <w:r w:rsidR="00577CA2" w:rsidRPr="00577CA2">
        <w:rPr>
          <w:rFonts w:cs="Times New Roman"/>
          <w:lang w:val="en-CA"/>
        </w:rPr>
        <w:t>The linear regression lines are shown in light red, and the non-linear lines from generalized additive models are shown in dark red.</w:t>
      </w:r>
    </w:p>
    <w:p w14:paraId="244B1669" w14:textId="77777777" w:rsidR="00654327" w:rsidRDefault="00654327" w:rsidP="00C53E2E">
      <w:pPr>
        <w:spacing w:line="480" w:lineRule="auto"/>
        <w:rPr>
          <w:rFonts w:cs="Times New Roman"/>
          <w:lang w:val="en-CA"/>
        </w:rPr>
      </w:pPr>
    </w:p>
    <w:p w14:paraId="4F6C6CDC" w14:textId="339FCB96" w:rsidR="00654327" w:rsidRPr="00C53E2E" w:rsidRDefault="00775B69" w:rsidP="00C53E2E">
      <w:pPr>
        <w:spacing w:line="480" w:lineRule="auto"/>
        <w:rPr>
          <w:b/>
          <w:bCs/>
          <w:lang w:val="en-US"/>
        </w:rPr>
      </w:pPr>
      <w:r>
        <w:rPr>
          <w:b/>
          <w:bCs/>
          <w:noProof/>
          <w:lang w:val="en-US"/>
        </w:rPr>
        <w:lastRenderedPageBreak/>
        <w:drawing>
          <wp:inline distT="0" distB="0" distL="0" distR="0" wp14:anchorId="14520F70" wp14:editId="23449CC3">
            <wp:extent cx="8740919" cy="4631473"/>
            <wp:effectExtent l="0" t="0" r="0" b="4445"/>
            <wp:docPr id="604079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79462" name="Picture 6040794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47227" cy="4634815"/>
                    </a:xfrm>
                    <a:prstGeom prst="rect">
                      <a:avLst/>
                    </a:prstGeom>
                  </pic:spPr>
                </pic:pic>
              </a:graphicData>
            </a:graphic>
          </wp:inline>
        </w:drawing>
      </w:r>
    </w:p>
    <w:p w14:paraId="503D9969" w14:textId="22B085DF" w:rsidR="003331C5" w:rsidRDefault="003331C5" w:rsidP="003331C5">
      <w:pPr>
        <w:rPr>
          <w:lang w:val="en-US"/>
        </w:rPr>
      </w:pPr>
    </w:p>
    <w:p w14:paraId="757666E4" w14:textId="68620B27" w:rsidR="00C40D79" w:rsidRDefault="003331C5" w:rsidP="004F6B45">
      <w:pPr>
        <w:spacing w:line="480" w:lineRule="auto"/>
        <w:rPr>
          <w:rFonts w:cs="Times New Roman"/>
          <w:lang w:val="en-CA"/>
        </w:rPr>
        <w:sectPr w:rsidR="00C40D79" w:rsidSect="000934C9">
          <w:pgSz w:w="15840" w:h="12240" w:orient="landscape"/>
          <w:pgMar w:top="1440" w:right="1440" w:bottom="1440" w:left="1440" w:header="709" w:footer="709" w:gutter="0"/>
          <w:cols w:space="708"/>
          <w:docGrid w:linePitch="360"/>
        </w:sectPr>
      </w:pPr>
      <w:r w:rsidRPr="3F5BCACA">
        <w:rPr>
          <w:b/>
          <w:bCs/>
          <w:lang w:val="en-US"/>
        </w:rPr>
        <w:t>Figure S</w:t>
      </w:r>
      <w:r w:rsidR="004F6B45" w:rsidRPr="3F5BCACA">
        <w:rPr>
          <w:b/>
          <w:bCs/>
          <w:lang w:val="en-US"/>
        </w:rPr>
        <w:t>1</w:t>
      </w:r>
      <w:r w:rsidR="000D77DB" w:rsidRPr="3F5BCACA">
        <w:rPr>
          <w:b/>
          <w:bCs/>
          <w:lang w:val="en-US"/>
        </w:rPr>
        <w:t>7</w:t>
      </w:r>
      <w:r w:rsidRPr="3F5BCACA">
        <w:rPr>
          <w:b/>
          <w:bCs/>
          <w:lang w:val="en-US"/>
        </w:rPr>
        <w:t>.</w:t>
      </w:r>
      <w:r w:rsidRPr="3F5BCACA">
        <w:rPr>
          <w:lang w:val="en-US"/>
        </w:rPr>
        <w:t xml:space="preserve"> Association between conflict exposure measures and reproductive, maternal, and child health outcomes at the community health centre level, 2012</w:t>
      </w:r>
      <w:r w:rsidR="004F6B45" w:rsidRPr="3F5BCACA">
        <w:rPr>
          <w:lang w:val="en-US"/>
        </w:rPr>
        <w:t xml:space="preserve">. </w:t>
      </w:r>
      <w:r w:rsidR="004F6B45" w:rsidRPr="3F5BCACA">
        <w:rPr>
          <w:b/>
          <w:bCs/>
          <w:lang w:val="en-US"/>
        </w:rPr>
        <w:t>Legend:</w:t>
      </w:r>
      <w:r w:rsidR="004F6B45" w:rsidRPr="3F5BCACA">
        <w:rPr>
          <w:lang w:val="en-US"/>
        </w:rPr>
        <w:t xml:space="preserve"> </w:t>
      </w:r>
      <w:r w:rsidR="007F420E" w:rsidRPr="00827F7C">
        <w:rPr>
          <w:rFonts w:cs="Times New Roman"/>
          <w:lang w:val="en-CA"/>
        </w:rPr>
        <w:t>The left column</w:t>
      </w:r>
      <w:r w:rsidR="007F420E" w:rsidRPr="007F420E">
        <w:rPr>
          <w:rFonts w:cs="Times New Roman"/>
          <w:lang w:val="en-CA"/>
        </w:rPr>
        <w:t xml:space="preserve"> display</w:t>
      </w:r>
      <w:r w:rsidR="007F420E" w:rsidRPr="00827F7C">
        <w:rPr>
          <w:rFonts w:cs="Times New Roman"/>
          <w:lang w:val="en-CA"/>
        </w:rPr>
        <w:t>s</w:t>
      </w:r>
      <w:r w:rsidR="007F420E" w:rsidRPr="007F420E">
        <w:rPr>
          <w:rFonts w:cs="Times New Roman"/>
          <w:lang w:val="en-CA"/>
        </w:rPr>
        <w:t xml:space="preserve"> RMCH indicator (%) distributions by the binary conflict exposure, obtained using the standard approach. </w:t>
      </w:r>
      <w:r w:rsidR="007F420E" w:rsidRPr="00827F7C">
        <w:rPr>
          <w:rFonts w:cs="Times New Roman"/>
          <w:lang w:val="en-CA"/>
        </w:rPr>
        <w:t>The middle column</w:t>
      </w:r>
      <w:r w:rsidR="007F420E" w:rsidRPr="007F420E">
        <w:rPr>
          <w:rFonts w:cs="Times New Roman"/>
          <w:lang w:val="en-CA"/>
        </w:rPr>
        <w:t xml:space="preserve"> show</w:t>
      </w:r>
      <w:r w:rsidR="007F420E" w:rsidRPr="00827F7C">
        <w:rPr>
          <w:rFonts w:cs="Times New Roman"/>
          <w:lang w:val="en-CA"/>
        </w:rPr>
        <w:t>s</w:t>
      </w:r>
      <w:r w:rsidR="007F420E" w:rsidRPr="007F420E">
        <w:rPr>
          <w:rFonts w:cs="Times New Roman"/>
          <w:lang w:val="en-CA"/>
        </w:rPr>
        <w:t xml:space="preserve"> distributions of the RMCH indicator (logit) by conflict counts on the </w:t>
      </w:r>
      <w:r w:rsidR="007F420E" w:rsidRPr="007F420E">
        <w:rPr>
          <w:rFonts w:cs="Times New Roman"/>
          <w:lang w:val="en-CA"/>
        </w:rPr>
        <w:lastRenderedPageBreak/>
        <w:t xml:space="preserve">log scale, obtained using the standard approach. </w:t>
      </w:r>
      <w:r w:rsidR="007F420E" w:rsidRPr="00827F7C">
        <w:rPr>
          <w:rFonts w:cs="Times New Roman"/>
          <w:lang w:val="en-CA"/>
        </w:rPr>
        <w:t>The right column</w:t>
      </w:r>
      <w:r w:rsidR="007F420E" w:rsidRPr="007F420E">
        <w:rPr>
          <w:rFonts w:cs="Times New Roman"/>
          <w:lang w:val="en-CA"/>
        </w:rPr>
        <w:t xml:space="preserve"> present</w:t>
      </w:r>
      <w:r w:rsidR="007F420E" w:rsidRPr="00827F7C">
        <w:rPr>
          <w:rFonts w:cs="Times New Roman"/>
          <w:lang w:val="en-CA"/>
        </w:rPr>
        <w:t>s</w:t>
      </w:r>
      <w:r w:rsidR="007F420E" w:rsidRPr="007F420E">
        <w:rPr>
          <w:rFonts w:cs="Times New Roman"/>
          <w:lang w:val="en-CA"/>
        </w:rPr>
        <w:t xml:space="preserve"> distributions of the RMCH indicator (logit) by continuous conflict intensity on the log scale, estimated using kernel density estimation (KDE). </w:t>
      </w:r>
      <w:r w:rsidR="007F420E" w:rsidRPr="00827F7C">
        <w:rPr>
          <w:rFonts w:cs="Times New Roman"/>
          <w:lang w:val="en-CA"/>
        </w:rPr>
        <w:t xml:space="preserve">The correlation coefficients (r for the bi-serial correlation coefficient and </w:t>
      </w:r>
      <w:r w:rsidR="007F420E" w:rsidRPr="00827F7C">
        <w:rPr>
          <w:rFonts w:ascii="Symbol" w:eastAsia="Symbol" w:hAnsi="Symbol" w:cs="Symbol"/>
          <w:lang w:val="en-CA"/>
        </w:rPr>
        <w:t>r</w:t>
      </w:r>
      <w:r w:rsidR="007F420E" w:rsidRPr="00827F7C">
        <w:rPr>
          <w:rFonts w:cs="Times New Roman"/>
          <w:lang w:val="en-CA"/>
        </w:rPr>
        <w:t xml:space="preserve"> for the Spearman correlation coefficient)</w:t>
      </w:r>
      <w:r w:rsidR="007F420E" w:rsidRPr="007F420E">
        <w:rPr>
          <w:rFonts w:cs="Times New Roman"/>
          <w:lang w:val="en-CA"/>
        </w:rPr>
        <w:t>, coefficients of determination (R</w:t>
      </w:r>
      <w:r w:rsidR="007F420E" w:rsidRPr="007F420E">
        <w:rPr>
          <w:rFonts w:cs="Times New Roman"/>
          <w:vertAlign w:val="superscript"/>
          <w:lang w:val="en-CA"/>
        </w:rPr>
        <w:t>2</w:t>
      </w:r>
      <w:r w:rsidR="007F420E" w:rsidRPr="007F420E">
        <w:rPr>
          <w:rFonts w:cs="Times New Roman"/>
          <w:lang w:val="en-CA"/>
        </w:rPr>
        <w:t>), and root mean square error (RMSE) are also provided</w:t>
      </w:r>
      <w:r w:rsidR="00C40D79" w:rsidRPr="3F5BCACA">
        <w:rPr>
          <w:rFonts w:cs="Times New Roman"/>
          <w:lang w:val="en-CA"/>
        </w:rPr>
        <w:t>.</w:t>
      </w:r>
      <w:r w:rsidR="00577CA2">
        <w:rPr>
          <w:rFonts w:cs="Times New Roman"/>
          <w:lang w:val="en-CA"/>
        </w:rPr>
        <w:t xml:space="preserve"> </w:t>
      </w:r>
      <w:r w:rsidR="00577CA2" w:rsidRPr="00577CA2">
        <w:rPr>
          <w:rFonts w:cs="Times New Roman"/>
          <w:lang w:val="en-CA"/>
        </w:rPr>
        <w:t>The linear regression lines are shown in light red, and the non-linear lines from generalized additive models are shown in dark red.</w:t>
      </w:r>
    </w:p>
    <w:p w14:paraId="1C3AAE55" w14:textId="2BC8B8B5" w:rsidR="00A41726" w:rsidRDefault="00D85B2B" w:rsidP="003F4761">
      <w:pPr>
        <w:spacing w:line="480" w:lineRule="auto"/>
        <w:rPr>
          <w:rFonts w:eastAsiaTheme="minorEastAsia" w:cs="Times New Roman"/>
          <w:b/>
          <w:bCs/>
          <w:lang w:val="en-CA"/>
        </w:rPr>
      </w:pPr>
      <w:r w:rsidRPr="00C916F8">
        <w:rPr>
          <w:rFonts w:eastAsiaTheme="minorEastAsia" w:cs="Times New Roman"/>
          <w:b/>
          <w:bCs/>
          <w:lang w:val="en-CA"/>
        </w:rPr>
        <w:lastRenderedPageBreak/>
        <w:t>References</w:t>
      </w:r>
    </w:p>
    <w:sdt>
      <w:sdtPr>
        <w:rPr>
          <w:rFonts w:cs="Times New Roman"/>
          <w:color w:val="000000"/>
          <w:lang w:val="en-CA"/>
        </w:rPr>
        <w:tag w:val="MENDELEY_BIBLIOGRAPHY"/>
        <w:id w:val="643171092"/>
        <w:placeholder>
          <w:docPart w:val="DefaultPlaceholder_-1854013440"/>
        </w:placeholder>
      </w:sdtPr>
      <w:sdtEndPr>
        <w:rPr>
          <w:color w:val="000000" w:themeColor="text1"/>
        </w:rPr>
      </w:sdtEndPr>
      <w:sdtContent>
        <w:p w14:paraId="457F6E83" w14:textId="77777777" w:rsidR="00730D86" w:rsidRPr="00730D86" w:rsidRDefault="00730D86" w:rsidP="00730D86">
          <w:pPr>
            <w:spacing w:line="360" w:lineRule="auto"/>
            <w:divId w:val="1751193254"/>
            <w:rPr>
              <w:rFonts w:eastAsia="Times New Roman" w:cs="Times New Roman"/>
              <w:color w:val="000000"/>
              <w:kern w:val="0"/>
              <w:lang w:val="en-CA"/>
              <w14:ligatures w14:val="none"/>
            </w:rPr>
          </w:pPr>
          <w:r w:rsidRPr="00730D86">
            <w:rPr>
              <w:rFonts w:eastAsia="Times New Roman" w:cs="Times New Roman"/>
              <w:color w:val="000000"/>
              <w:lang w:val="en-CA"/>
            </w:rPr>
            <w:t>1. ACLED. Armed Conflict Location &amp; Event Data (ACLED) Codebook. 2024.</w:t>
          </w:r>
        </w:p>
        <w:p w14:paraId="44BF7626" w14:textId="77777777" w:rsidR="00730D86" w:rsidRPr="00730D86" w:rsidRDefault="00730D86" w:rsidP="00730D86">
          <w:pPr>
            <w:spacing w:line="360" w:lineRule="auto"/>
            <w:divId w:val="39743371"/>
            <w:rPr>
              <w:rFonts w:eastAsia="Times New Roman" w:cs="Times New Roman"/>
              <w:color w:val="000000"/>
              <w:lang w:val="en-CA"/>
            </w:rPr>
          </w:pPr>
          <w:r w:rsidRPr="00730D86">
            <w:rPr>
              <w:rFonts w:eastAsia="Times New Roman" w:cs="Times New Roman"/>
              <w:color w:val="000000"/>
              <w:lang w:val="en-CA"/>
            </w:rPr>
            <w:t>2. Raleigh C, Kishi R, Linke A. Political instability patterns are obscured by conflict dataset scope conditions, sources, and coding choices. Humanities and Social Sciences Communications 2023 10:1. 2023;10:74-. https://doi.org/10.1057/s41599-023-01559-4.</w:t>
          </w:r>
        </w:p>
        <w:p w14:paraId="0024727D" w14:textId="77777777" w:rsidR="00730D86" w:rsidRPr="00730D86" w:rsidRDefault="00730D86" w:rsidP="00730D86">
          <w:pPr>
            <w:spacing w:line="360" w:lineRule="auto"/>
            <w:divId w:val="1714310698"/>
            <w:rPr>
              <w:rFonts w:eastAsia="Times New Roman" w:cs="Times New Roman"/>
              <w:color w:val="000000"/>
              <w:lang w:val="en-CA"/>
            </w:rPr>
          </w:pPr>
          <w:r w:rsidRPr="00730D86">
            <w:rPr>
              <w:rFonts w:eastAsia="Times New Roman" w:cs="Times New Roman"/>
              <w:color w:val="000000"/>
              <w:lang w:val="en-CA"/>
            </w:rPr>
            <w:t>3. Davies S, Pettersson T, Sollenberg M, Öberg M. Organized violence 1989–2024, and the challenges of identifying civilian victims. Journal of Peace Research. 2025;62.</w:t>
          </w:r>
        </w:p>
        <w:p w14:paraId="1148E15B" w14:textId="77777777" w:rsidR="00730D86" w:rsidRPr="00730D86" w:rsidRDefault="00730D86" w:rsidP="00730D86">
          <w:pPr>
            <w:spacing w:line="360" w:lineRule="auto"/>
            <w:divId w:val="669985928"/>
            <w:rPr>
              <w:rFonts w:eastAsia="Times New Roman" w:cs="Times New Roman"/>
              <w:color w:val="000000"/>
              <w:lang w:val="en-CA"/>
            </w:rPr>
          </w:pPr>
          <w:r w:rsidRPr="00730D86">
            <w:rPr>
              <w:rFonts w:eastAsia="Times New Roman" w:cs="Times New Roman"/>
              <w:color w:val="000000"/>
              <w:lang w:val="en-CA"/>
            </w:rPr>
            <w:t>4. Sundberg R, Melander E. Introducing the UCDP Georeferenced Event Dataset. J Peace Res. 2013;50.</w:t>
          </w:r>
        </w:p>
        <w:p w14:paraId="33FA1F86" w14:textId="77777777" w:rsidR="00730D86" w:rsidRPr="00730D86" w:rsidRDefault="00730D86" w:rsidP="00730D86">
          <w:pPr>
            <w:spacing w:line="360" w:lineRule="auto"/>
            <w:divId w:val="1402757193"/>
            <w:rPr>
              <w:rFonts w:eastAsia="Times New Roman" w:cs="Times New Roman"/>
              <w:color w:val="000000"/>
              <w:lang w:val="en-CA"/>
            </w:rPr>
          </w:pPr>
          <w:r w:rsidRPr="00730D86">
            <w:rPr>
              <w:rFonts w:eastAsia="Times New Roman" w:cs="Times New Roman"/>
              <w:color w:val="000000"/>
              <w:lang w:val="en-CA"/>
            </w:rPr>
            <w:t>5. Raleigh C, Kishi R. Comparing Conflict Data: Similarities and Differences Across Conflict Datasets. 2019.</w:t>
          </w:r>
        </w:p>
        <w:p w14:paraId="1D983A1F" w14:textId="77777777" w:rsidR="00730D86" w:rsidRPr="00730D86" w:rsidRDefault="00730D86" w:rsidP="00730D86">
          <w:pPr>
            <w:spacing w:line="360" w:lineRule="auto"/>
            <w:divId w:val="1029261176"/>
            <w:rPr>
              <w:rFonts w:eastAsia="Times New Roman" w:cs="Times New Roman"/>
              <w:color w:val="000000"/>
              <w:lang w:val="en-CA"/>
            </w:rPr>
          </w:pPr>
          <w:r w:rsidRPr="00730D86">
            <w:rPr>
              <w:rFonts w:eastAsia="Times New Roman" w:cs="Times New Roman"/>
              <w:color w:val="000000"/>
              <w:lang w:val="en-CA"/>
            </w:rPr>
            <w:t>6. ACLED | Bringing Clarity to Crisis. https://acleddata.com/#/dashboard. Accessed 6 Oct 2020.</w:t>
          </w:r>
        </w:p>
        <w:p w14:paraId="73FA662A" w14:textId="77777777" w:rsidR="00730D86" w:rsidRPr="00730D86" w:rsidRDefault="00730D86" w:rsidP="00730D86">
          <w:pPr>
            <w:spacing w:line="360" w:lineRule="auto"/>
            <w:divId w:val="524251960"/>
            <w:rPr>
              <w:rFonts w:eastAsia="Times New Roman" w:cs="Times New Roman"/>
              <w:color w:val="000000"/>
              <w:lang w:val="en-CA"/>
            </w:rPr>
          </w:pPr>
          <w:r w:rsidRPr="00730D86">
            <w:rPr>
              <w:rFonts w:eastAsia="Times New Roman" w:cs="Times New Roman"/>
              <w:color w:val="000000"/>
              <w:lang w:val="en-CA"/>
            </w:rPr>
            <w:t>7. Silverman BW. Density Estimation for Statistics and Data Analysis. First edition. CRC Press; 1998.</w:t>
          </w:r>
        </w:p>
        <w:p w14:paraId="682E4E38" w14:textId="77777777" w:rsidR="00730D86" w:rsidRPr="00730D86" w:rsidRDefault="00730D86" w:rsidP="00730D86">
          <w:pPr>
            <w:spacing w:line="360" w:lineRule="auto"/>
            <w:divId w:val="1897008570"/>
            <w:rPr>
              <w:rFonts w:eastAsia="Times New Roman" w:cs="Times New Roman"/>
              <w:color w:val="000000"/>
              <w:lang w:val="en-CA"/>
            </w:rPr>
          </w:pPr>
          <w:r w:rsidRPr="00730D86">
            <w:rPr>
              <w:rFonts w:eastAsia="Times New Roman" w:cs="Times New Roman"/>
              <w:color w:val="000000"/>
              <w:lang w:val="en-CA"/>
            </w:rPr>
            <w:t>8. Chen YC. A tutorial on kernel density estimation and recent advances. Biostat Epidemiol. 2017;1:161–87. https://doi.org/10.1080/24709360.2017.1396742.</w:t>
          </w:r>
        </w:p>
        <w:p w14:paraId="537BA903" w14:textId="77777777" w:rsidR="00730D86" w:rsidRPr="00730D86" w:rsidRDefault="00730D86" w:rsidP="00730D86">
          <w:pPr>
            <w:spacing w:line="360" w:lineRule="auto"/>
            <w:divId w:val="1985430410"/>
            <w:rPr>
              <w:rFonts w:eastAsia="Times New Roman" w:cs="Times New Roman"/>
              <w:color w:val="000000"/>
              <w:lang w:val="en-CA"/>
            </w:rPr>
          </w:pPr>
          <w:r w:rsidRPr="00730D86">
            <w:rPr>
              <w:rFonts w:eastAsia="Times New Roman" w:cs="Times New Roman"/>
              <w:color w:val="000000"/>
              <w:lang w:val="en-CA"/>
            </w:rPr>
            <w:t>9. Moraga Paula. Spatial statistics for data science : theory and practice with R. CRC Press; 2024.</w:t>
          </w:r>
        </w:p>
        <w:p w14:paraId="4A0FBCCB" w14:textId="77777777" w:rsidR="00730D86" w:rsidRPr="00730D86" w:rsidRDefault="00730D86" w:rsidP="00730D86">
          <w:pPr>
            <w:spacing w:line="360" w:lineRule="auto"/>
            <w:divId w:val="1777558826"/>
            <w:rPr>
              <w:rFonts w:eastAsia="Times New Roman" w:cs="Times New Roman"/>
              <w:color w:val="000000"/>
            </w:rPr>
          </w:pPr>
          <w:r w:rsidRPr="00730D86">
            <w:rPr>
              <w:rFonts w:eastAsia="Times New Roman" w:cs="Times New Roman"/>
              <w:color w:val="000000"/>
              <w:lang w:val="en-CA"/>
            </w:rPr>
            <w:t xml:space="preserve">10. Davies TM, Marshall JC, Hazelton ML. Tutorial on kernel estimation of continuous spatial and spatiotemporal relative risk. </w:t>
          </w:r>
          <w:r w:rsidRPr="00730D86">
            <w:rPr>
              <w:rFonts w:eastAsia="Times New Roman" w:cs="Times New Roman"/>
              <w:color w:val="000000"/>
            </w:rPr>
            <w:t>Stat Med. 2018;37:1191–221. https://doi.org/10.1002/SIM.7577.</w:t>
          </w:r>
        </w:p>
        <w:p w14:paraId="58CA9661" w14:textId="77777777" w:rsidR="00730D86" w:rsidRPr="00730D86" w:rsidRDefault="00730D86" w:rsidP="00730D86">
          <w:pPr>
            <w:spacing w:line="360" w:lineRule="auto"/>
            <w:divId w:val="1347093286"/>
            <w:rPr>
              <w:rFonts w:eastAsia="Times New Roman" w:cs="Times New Roman"/>
              <w:color w:val="000000"/>
            </w:rPr>
          </w:pPr>
          <w:r w:rsidRPr="00730D86">
            <w:rPr>
              <w:rFonts w:eastAsia="Times New Roman" w:cs="Times New Roman"/>
              <w:color w:val="000000"/>
            </w:rPr>
            <w:t>11. Groupe de Recherche en Economie Appliquée et Théorique (GREAT). Résumé des résultats: Enquête d’Afrobarometer Round 10 au Mali, 2024. 2025.</w:t>
          </w:r>
        </w:p>
        <w:p w14:paraId="6EF7F0E2" w14:textId="77777777" w:rsidR="00730D86" w:rsidRPr="00730D86" w:rsidRDefault="00730D86" w:rsidP="00730D86">
          <w:pPr>
            <w:spacing w:line="360" w:lineRule="auto"/>
            <w:divId w:val="1389911646"/>
            <w:rPr>
              <w:rFonts w:eastAsia="Times New Roman" w:cs="Times New Roman"/>
              <w:color w:val="000000"/>
              <w:lang w:val="en-CA"/>
            </w:rPr>
          </w:pPr>
          <w:r w:rsidRPr="00730D86">
            <w:rPr>
              <w:rFonts w:eastAsia="Times New Roman" w:cs="Times New Roman"/>
              <w:color w:val="000000"/>
            </w:rPr>
            <w:t xml:space="preserve">12. AfroBarometer. La majorité des Maliens se sentent en insécurité, tout en reconnaissant les efforts du gouvernement en matière de sécurité – Afrobarometer. </w:t>
          </w:r>
          <w:r w:rsidRPr="00730D86">
            <w:rPr>
              <w:rFonts w:eastAsia="Times New Roman" w:cs="Times New Roman"/>
              <w:color w:val="000000"/>
              <w:lang w:val="en-CA"/>
            </w:rPr>
            <w:t>2025.</w:t>
          </w:r>
        </w:p>
        <w:p w14:paraId="38E112A7" w14:textId="77777777" w:rsidR="00730D86" w:rsidRPr="00730D86" w:rsidRDefault="00730D86" w:rsidP="00730D86">
          <w:pPr>
            <w:spacing w:line="360" w:lineRule="auto"/>
            <w:divId w:val="1553804638"/>
            <w:rPr>
              <w:rFonts w:eastAsia="Times New Roman" w:cs="Times New Roman"/>
              <w:color w:val="000000"/>
              <w:lang w:val="en-CA"/>
            </w:rPr>
          </w:pPr>
          <w:r w:rsidRPr="00730D86">
            <w:rPr>
              <w:rFonts w:eastAsia="Times New Roman" w:cs="Times New Roman"/>
              <w:color w:val="000000"/>
              <w:lang w:val="en-CA"/>
            </w:rPr>
            <w:t>13. Tapsoba A. The cost of fear: Impact of violence risk on child health during conflict. J Dev Econ. 2023;160:102975. https://doi.org/10.1016/J.JDEVECO.2022.102975.</w:t>
          </w:r>
        </w:p>
        <w:p w14:paraId="2D955095" w14:textId="77777777" w:rsidR="00730D86" w:rsidRPr="00730D86" w:rsidRDefault="00730D86" w:rsidP="00730D86">
          <w:pPr>
            <w:spacing w:line="360" w:lineRule="auto"/>
            <w:divId w:val="326594370"/>
            <w:rPr>
              <w:rFonts w:eastAsia="Times New Roman" w:cs="Times New Roman"/>
              <w:color w:val="000000"/>
              <w:lang w:val="en-CA"/>
            </w:rPr>
          </w:pPr>
          <w:r w:rsidRPr="00730D86">
            <w:rPr>
              <w:rFonts w:eastAsia="Times New Roman" w:cs="Times New Roman"/>
              <w:color w:val="000000"/>
              <w:lang w:val="en-CA"/>
            </w:rPr>
            <w:t>14. Diggle PJ. Statistical Analysis of Spatial and Spatio-Temporal Point Patterns. 3rd edition. Chapman and Hall/CRC; 2013. https://doi.org/10.1201/b15326.</w:t>
          </w:r>
        </w:p>
        <w:p w14:paraId="4D7903FF" w14:textId="0F11B5E5" w:rsidR="003F4761" w:rsidRPr="00730D86" w:rsidRDefault="00730D86" w:rsidP="00730D86">
          <w:pPr>
            <w:spacing w:line="360" w:lineRule="auto"/>
            <w:divId w:val="1824157502"/>
            <w:rPr>
              <w:rFonts w:eastAsia="Times New Roman" w:cs="Times New Roman"/>
              <w:color w:val="000000"/>
            </w:rPr>
          </w:pPr>
          <w:r w:rsidRPr="00730D86">
            <w:rPr>
              <w:rFonts w:eastAsia="Times New Roman" w:cs="Times New Roman"/>
              <w:color w:val="000000"/>
              <w:lang w:val="en-CA"/>
            </w:rPr>
            <w:t xml:space="preserve">15. Hu Y, Wang F, Guin C, Zhu H. A spatio-temporal kernel density estimation framework for predictive crime hotspot mapping and evaluation. </w:t>
          </w:r>
          <w:r w:rsidRPr="00730D86">
            <w:rPr>
              <w:rFonts w:eastAsia="Times New Roman" w:cs="Times New Roman"/>
              <w:color w:val="000000"/>
            </w:rPr>
            <w:t>Applied Geography. 2018;99:89–97. https://doi.org/10.1016/J.APGEOG.2018.08.001.</w:t>
          </w:r>
        </w:p>
      </w:sdtContent>
    </w:sdt>
    <w:sectPr w:rsidR="003F4761" w:rsidRPr="00730D86" w:rsidSect="00C40D79">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84302"/>
    <w:multiLevelType w:val="hybridMultilevel"/>
    <w:tmpl w:val="3050C27C"/>
    <w:lvl w:ilvl="0" w:tplc="74E61FB2">
      <w:start w:val="2"/>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8603494"/>
    <w:multiLevelType w:val="hybridMultilevel"/>
    <w:tmpl w:val="BBAAD9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EC45AC"/>
    <w:multiLevelType w:val="hybridMultilevel"/>
    <w:tmpl w:val="AC1096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4B83B31"/>
    <w:multiLevelType w:val="hybridMultilevel"/>
    <w:tmpl w:val="DA6299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06630762">
    <w:abstractNumId w:val="2"/>
  </w:num>
  <w:num w:numId="2" w16cid:durableId="1180466206">
    <w:abstractNumId w:val="3"/>
  </w:num>
  <w:num w:numId="3" w16cid:durableId="184829454">
    <w:abstractNumId w:val="0"/>
  </w:num>
  <w:num w:numId="4" w16cid:durableId="1164008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761"/>
    <w:rsid w:val="00002455"/>
    <w:rsid w:val="0000443A"/>
    <w:rsid w:val="000173EB"/>
    <w:rsid w:val="0002212F"/>
    <w:rsid w:val="000221B3"/>
    <w:rsid w:val="0002660C"/>
    <w:rsid w:val="00031899"/>
    <w:rsid w:val="00037130"/>
    <w:rsid w:val="00037673"/>
    <w:rsid w:val="0004546F"/>
    <w:rsid w:val="0005320A"/>
    <w:rsid w:val="00066ECD"/>
    <w:rsid w:val="00082731"/>
    <w:rsid w:val="000934C9"/>
    <w:rsid w:val="00094B4A"/>
    <w:rsid w:val="000A1844"/>
    <w:rsid w:val="000A1BE8"/>
    <w:rsid w:val="000A1D49"/>
    <w:rsid w:val="000A429A"/>
    <w:rsid w:val="000B3A03"/>
    <w:rsid w:val="000C4B8B"/>
    <w:rsid w:val="000D3C8E"/>
    <w:rsid w:val="000D6D03"/>
    <w:rsid w:val="000D71CE"/>
    <w:rsid w:val="000D77DB"/>
    <w:rsid w:val="000F4E01"/>
    <w:rsid w:val="000F516D"/>
    <w:rsid w:val="000F6F97"/>
    <w:rsid w:val="0010358E"/>
    <w:rsid w:val="00122CB8"/>
    <w:rsid w:val="00124C22"/>
    <w:rsid w:val="001274D5"/>
    <w:rsid w:val="00137996"/>
    <w:rsid w:val="00140076"/>
    <w:rsid w:val="0015204B"/>
    <w:rsid w:val="00163FDC"/>
    <w:rsid w:val="00166411"/>
    <w:rsid w:val="001927A9"/>
    <w:rsid w:val="0019280C"/>
    <w:rsid w:val="00195D19"/>
    <w:rsid w:val="00196305"/>
    <w:rsid w:val="001B3DF3"/>
    <w:rsid w:val="001B5D6B"/>
    <w:rsid w:val="001D6424"/>
    <w:rsid w:val="001E370B"/>
    <w:rsid w:val="002171B1"/>
    <w:rsid w:val="00220178"/>
    <w:rsid w:val="00220EBA"/>
    <w:rsid w:val="0022225B"/>
    <w:rsid w:val="00225B2C"/>
    <w:rsid w:val="00225E9E"/>
    <w:rsid w:val="00232FE6"/>
    <w:rsid w:val="002544B4"/>
    <w:rsid w:val="002546C2"/>
    <w:rsid w:val="00261404"/>
    <w:rsid w:val="002639B9"/>
    <w:rsid w:val="00265CE3"/>
    <w:rsid w:val="00273389"/>
    <w:rsid w:val="00293AE9"/>
    <w:rsid w:val="00294F6C"/>
    <w:rsid w:val="002A55A8"/>
    <w:rsid w:val="002A58C7"/>
    <w:rsid w:val="002B7528"/>
    <w:rsid w:val="002C2C58"/>
    <w:rsid w:val="002C6BB6"/>
    <w:rsid w:val="002D20B1"/>
    <w:rsid w:val="002D39CE"/>
    <w:rsid w:val="002D54A7"/>
    <w:rsid w:val="002D711B"/>
    <w:rsid w:val="002D7993"/>
    <w:rsid w:val="002E7924"/>
    <w:rsid w:val="00300EF0"/>
    <w:rsid w:val="003179EC"/>
    <w:rsid w:val="003331C5"/>
    <w:rsid w:val="0034614A"/>
    <w:rsid w:val="00347CF6"/>
    <w:rsid w:val="003515E9"/>
    <w:rsid w:val="00354821"/>
    <w:rsid w:val="00363FC0"/>
    <w:rsid w:val="003945D1"/>
    <w:rsid w:val="003A2390"/>
    <w:rsid w:val="003E2243"/>
    <w:rsid w:val="003F0317"/>
    <w:rsid w:val="003F3E2E"/>
    <w:rsid w:val="003F461C"/>
    <w:rsid w:val="003F4761"/>
    <w:rsid w:val="004007D0"/>
    <w:rsid w:val="00416E71"/>
    <w:rsid w:val="004175F8"/>
    <w:rsid w:val="004269AB"/>
    <w:rsid w:val="00430FE4"/>
    <w:rsid w:val="00442A23"/>
    <w:rsid w:val="00445FB9"/>
    <w:rsid w:val="0045149A"/>
    <w:rsid w:val="00456A7E"/>
    <w:rsid w:val="00477C7A"/>
    <w:rsid w:val="004841B5"/>
    <w:rsid w:val="004D1AEE"/>
    <w:rsid w:val="004D3928"/>
    <w:rsid w:val="004E4B10"/>
    <w:rsid w:val="004F6B45"/>
    <w:rsid w:val="004F766A"/>
    <w:rsid w:val="00503C3F"/>
    <w:rsid w:val="005047CB"/>
    <w:rsid w:val="00513EDA"/>
    <w:rsid w:val="005147B6"/>
    <w:rsid w:val="00516808"/>
    <w:rsid w:val="00543616"/>
    <w:rsid w:val="00551CD6"/>
    <w:rsid w:val="0055517D"/>
    <w:rsid w:val="0056070E"/>
    <w:rsid w:val="00565267"/>
    <w:rsid w:val="00577CA2"/>
    <w:rsid w:val="00592A25"/>
    <w:rsid w:val="005B6449"/>
    <w:rsid w:val="005C3FA3"/>
    <w:rsid w:val="005D2778"/>
    <w:rsid w:val="005D788C"/>
    <w:rsid w:val="005E48D3"/>
    <w:rsid w:val="005F22EC"/>
    <w:rsid w:val="005F41ED"/>
    <w:rsid w:val="005F6272"/>
    <w:rsid w:val="005F7F09"/>
    <w:rsid w:val="00612BEB"/>
    <w:rsid w:val="00615840"/>
    <w:rsid w:val="006245BD"/>
    <w:rsid w:val="00625DF8"/>
    <w:rsid w:val="00652EB9"/>
    <w:rsid w:val="00654327"/>
    <w:rsid w:val="006626E4"/>
    <w:rsid w:val="00663BBB"/>
    <w:rsid w:val="00664A9D"/>
    <w:rsid w:val="0066588C"/>
    <w:rsid w:val="00675872"/>
    <w:rsid w:val="00676E1A"/>
    <w:rsid w:val="00682321"/>
    <w:rsid w:val="0069158A"/>
    <w:rsid w:val="006E07E6"/>
    <w:rsid w:val="006E0FC5"/>
    <w:rsid w:val="006F42EA"/>
    <w:rsid w:val="007013A7"/>
    <w:rsid w:val="007067E5"/>
    <w:rsid w:val="007130AC"/>
    <w:rsid w:val="007156CE"/>
    <w:rsid w:val="007226D4"/>
    <w:rsid w:val="00727C04"/>
    <w:rsid w:val="007305E6"/>
    <w:rsid w:val="00730D86"/>
    <w:rsid w:val="007367BD"/>
    <w:rsid w:val="00740B09"/>
    <w:rsid w:val="00743F4C"/>
    <w:rsid w:val="0075283E"/>
    <w:rsid w:val="00757223"/>
    <w:rsid w:val="0077016A"/>
    <w:rsid w:val="00774980"/>
    <w:rsid w:val="00775B69"/>
    <w:rsid w:val="007870EF"/>
    <w:rsid w:val="0079711D"/>
    <w:rsid w:val="007B4B41"/>
    <w:rsid w:val="007B57AE"/>
    <w:rsid w:val="007B5BF1"/>
    <w:rsid w:val="007C3966"/>
    <w:rsid w:val="007C4B91"/>
    <w:rsid w:val="007C5097"/>
    <w:rsid w:val="007C6ED4"/>
    <w:rsid w:val="007D384A"/>
    <w:rsid w:val="007D666D"/>
    <w:rsid w:val="007F420E"/>
    <w:rsid w:val="007F6D65"/>
    <w:rsid w:val="008021F6"/>
    <w:rsid w:val="0082104B"/>
    <w:rsid w:val="0082539E"/>
    <w:rsid w:val="00827167"/>
    <w:rsid w:val="008361F4"/>
    <w:rsid w:val="00840C8F"/>
    <w:rsid w:val="0085145E"/>
    <w:rsid w:val="00861943"/>
    <w:rsid w:val="00885A60"/>
    <w:rsid w:val="00893503"/>
    <w:rsid w:val="008B4780"/>
    <w:rsid w:val="008B77BB"/>
    <w:rsid w:val="008C372D"/>
    <w:rsid w:val="008C390A"/>
    <w:rsid w:val="008C5B8F"/>
    <w:rsid w:val="008C69F9"/>
    <w:rsid w:val="008E5322"/>
    <w:rsid w:val="008F1B67"/>
    <w:rsid w:val="008F3B5A"/>
    <w:rsid w:val="00901F06"/>
    <w:rsid w:val="00906381"/>
    <w:rsid w:val="009077DA"/>
    <w:rsid w:val="009107B6"/>
    <w:rsid w:val="00922E0A"/>
    <w:rsid w:val="00940982"/>
    <w:rsid w:val="009450C6"/>
    <w:rsid w:val="00946A2F"/>
    <w:rsid w:val="009862EE"/>
    <w:rsid w:val="00995C2E"/>
    <w:rsid w:val="009A0E76"/>
    <w:rsid w:val="009A3904"/>
    <w:rsid w:val="009A61A3"/>
    <w:rsid w:val="009B645C"/>
    <w:rsid w:val="009D2949"/>
    <w:rsid w:val="009D2B5F"/>
    <w:rsid w:val="009F3369"/>
    <w:rsid w:val="009F3787"/>
    <w:rsid w:val="009F4019"/>
    <w:rsid w:val="00A01C4D"/>
    <w:rsid w:val="00A10237"/>
    <w:rsid w:val="00A11168"/>
    <w:rsid w:val="00A14418"/>
    <w:rsid w:val="00A17A28"/>
    <w:rsid w:val="00A24C36"/>
    <w:rsid w:val="00A252E4"/>
    <w:rsid w:val="00A26D6D"/>
    <w:rsid w:val="00A31E7E"/>
    <w:rsid w:val="00A346F8"/>
    <w:rsid w:val="00A371B4"/>
    <w:rsid w:val="00A40238"/>
    <w:rsid w:val="00A41726"/>
    <w:rsid w:val="00A460EB"/>
    <w:rsid w:val="00A46678"/>
    <w:rsid w:val="00A5013B"/>
    <w:rsid w:val="00A51E6E"/>
    <w:rsid w:val="00A53EAD"/>
    <w:rsid w:val="00A5747F"/>
    <w:rsid w:val="00A609E1"/>
    <w:rsid w:val="00A773D0"/>
    <w:rsid w:val="00A77EDB"/>
    <w:rsid w:val="00A8078D"/>
    <w:rsid w:val="00A850DB"/>
    <w:rsid w:val="00AB4696"/>
    <w:rsid w:val="00AB62E6"/>
    <w:rsid w:val="00AC1346"/>
    <w:rsid w:val="00AC6FB8"/>
    <w:rsid w:val="00AD19C5"/>
    <w:rsid w:val="00AD6B90"/>
    <w:rsid w:val="00AE6588"/>
    <w:rsid w:val="00B11DA6"/>
    <w:rsid w:val="00B5251C"/>
    <w:rsid w:val="00B87100"/>
    <w:rsid w:val="00B919CE"/>
    <w:rsid w:val="00BA2907"/>
    <w:rsid w:val="00BB457E"/>
    <w:rsid w:val="00BD3417"/>
    <w:rsid w:val="00BD71ED"/>
    <w:rsid w:val="00BE5F66"/>
    <w:rsid w:val="00BE6EDF"/>
    <w:rsid w:val="00BE7849"/>
    <w:rsid w:val="00BF4482"/>
    <w:rsid w:val="00C024D3"/>
    <w:rsid w:val="00C05DFC"/>
    <w:rsid w:val="00C128C4"/>
    <w:rsid w:val="00C23416"/>
    <w:rsid w:val="00C25926"/>
    <w:rsid w:val="00C2653C"/>
    <w:rsid w:val="00C3032B"/>
    <w:rsid w:val="00C35715"/>
    <w:rsid w:val="00C40D79"/>
    <w:rsid w:val="00C449B5"/>
    <w:rsid w:val="00C53E2E"/>
    <w:rsid w:val="00C56D78"/>
    <w:rsid w:val="00C65847"/>
    <w:rsid w:val="00C84461"/>
    <w:rsid w:val="00C916F8"/>
    <w:rsid w:val="00C97001"/>
    <w:rsid w:val="00CA2E99"/>
    <w:rsid w:val="00CA3CF0"/>
    <w:rsid w:val="00CB3381"/>
    <w:rsid w:val="00CB3E7A"/>
    <w:rsid w:val="00CB6D36"/>
    <w:rsid w:val="00CC01E8"/>
    <w:rsid w:val="00CC67C2"/>
    <w:rsid w:val="00CD5A17"/>
    <w:rsid w:val="00CF3169"/>
    <w:rsid w:val="00CF782D"/>
    <w:rsid w:val="00D00BD9"/>
    <w:rsid w:val="00D05ED3"/>
    <w:rsid w:val="00D07180"/>
    <w:rsid w:val="00D138E0"/>
    <w:rsid w:val="00D20C68"/>
    <w:rsid w:val="00D21FDB"/>
    <w:rsid w:val="00D3065A"/>
    <w:rsid w:val="00D31235"/>
    <w:rsid w:val="00D31714"/>
    <w:rsid w:val="00D320F4"/>
    <w:rsid w:val="00D3334A"/>
    <w:rsid w:val="00D355B3"/>
    <w:rsid w:val="00D467D3"/>
    <w:rsid w:val="00D47E1D"/>
    <w:rsid w:val="00D55390"/>
    <w:rsid w:val="00D630DB"/>
    <w:rsid w:val="00D641BB"/>
    <w:rsid w:val="00D65563"/>
    <w:rsid w:val="00D706DD"/>
    <w:rsid w:val="00D72F95"/>
    <w:rsid w:val="00D74A5E"/>
    <w:rsid w:val="00D764FD"/>
    <w:rsid w:val="00D85B2B"/>
    <w:rsid w:val="00DF2AF4"/>
    <w:rsid w:val="00DF35C2"/>
    <w:rsid w:val="00DF5196"/>
    <w:rsid w:val="00DF59B9"/>
    <w:rsid w:val="00E019A7"/>
    <w:rsid w:val="00E112C6"/>
    <w:rsid w:val="00E34F2B"/>
    <w:rsid w:val="00E36AB1"/>
    <w:rsid w:val="00E37180"/>
    <w:rsid w:val="00E7022A"/>
    <w:rsid w:val="00E73136"/>
    <w:rsid w:val="00E742BF"/>
    <w:rsid w:val="00E870EE"/>
    <w:rsid w:val="00E91474"/>
    <w:rsid w:val="00E91BB0"/>
    <w:rsid w:val="00EB03ED"/>
    <w:rsid w:val="00EB2076"/>
    <w:rsid w:val="00ED4CA6"/>
    <w:rsid w:val="00EE1479"/>
    <w:rsid w:val="00EE3895"/>
    <w:rsid w:val="00F03CB7"/>
    <w:rsid w:val="00F06DF3"/>
    <w:rsid w:val="00F2773F"/>
    <w:rsid w:val="00F31641"/>
    <w:rsid w:val="00F3201E"/>
    <w:rsid w:val="00F36D38"/>
    <w:rsid w:val="00F44D8D"/>
    <w:rsid w:val="00F5275F"/>
    <w:rsid w:val="00F549BC"/>
    <w:rsid w:val="00F803F9"/>
    <w:rsid w:val="00F82349"/>
    <w:rsid w:val="00F9688F"/>
    <w:rsid w:val="00F97BFF"/>
    <w:rsid w:val="00FA0B70"/>
    <w:rsid w:val="00FA4842"/>
    <w:rsid w:val="00FA67FE"/>
    <w:rsid w:val="00FA6993"/>
    <w:rsid w:val="00FB0275"/>
    <w:rsid w:val="00FB1479"/>
    <w:rsid w:val="00FB5626"/>
    <w:rsid w:val="00FE21A6"/>
    <w:rsid w:val="00FE49C7"/>
    <w:rsid w:val="00FF346B"/>
    <w:rsid w:val="13102D63"/>
    <w:rsid w:val="13218D93"/>
    <w:rsid w:val="23CC6082"/>
    <w:rsid w:val="2FD672B4"/>
    <w:rsid w:val="33789416"/>
    <w:rsid w:val="3F5BCACA"/>
    <w:rsid w:val="446D5527"/>
    <w:rsid w:val="4C3B4403"/>
    <w:rsid w:val="51F2A6DB"/>
    <w:rsid w:val="591B5844"/>
    <w:rsid w:val="60C68041"/>
    <w:rsid w:val="63E893FD"/>
    <w:rsid w:val="64BDC0E6"/>
    <w:rsid w:val="74718419"/>
    <w:rsid w:val="752A06B3"/>
    <w:rsid w:val="75DF1789"/>
    <w:rsid w:val="7FA4B9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55E4"/>
  <w15:chartTrackingRefBased/>
  <w15:docId w15:val="{4BC2FCFD-9E90-1F4B-A771-2B77A88AA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761"/>
    <w:rPr>
      <w:rFonts w:ascii="Times New Roman" w:hAnsi="Times New Roman"/>
      <w:lang w:val="fr-FR"/>
    </w:rPr>
  </w:style>
  <w:style w:type="paragraph" w:styleId="Heading1">
    <w:name w:val="heading 1"/>
    <w:basedOn w:val="Normal"/>
    <w:next w:val="Normal"/>
    <w:link w:val="Heading1Char"/>
    <w:uiPriority w:val="9"/>
    <w:qFormat/>
    <w:rsid w:val="003F47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47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47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47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47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47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47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47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47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761"/>
    <w:rPr>
      <w:rFonts w:asciiTheme="majorHAnsi" w:eastAsiaTheme="majorEastAsia" w:hAnsiTheme="majorHAnsi" w:cstheme="majorBidi"/>
      <w:color w:val="0F4761" w:themeColor="accent1" w:themeShade="BF"/>
      <w:sz w:val="40"/>
      <w:szCs w:val="40"/>
      <w:lang w:val="fr-FR"/>
    </w:rPr>
  </w:style>
  <w:style w:type="character" w:customStyle="1" w:styleId="Heading2Char">
    <w:name w:val="Heading 2 Char"/>
    <w:basedOn w:val="DefaultParagraphFont"/>
    <w:link w:val="Heading2"/>
    <w:uiPriority w:val="9"/>
    <w:semiHidden/>
    <w:rsid w:val="003F4761"/>
    <w:rPr>
      <w:rFonts w:asciiTheme="majorHAnsi" w:eastAsiaTheme="majorEastAsia" w:hAnsiTheme="majorHAnsi" w:cstheme="majorBidi"/>
      <w:color w:val="0F4761" w:themeColor="accent1" w:themeShade="BF"/>
      <w:sz w:val="32"/>
      <w:szCs w:val="32"/>
      <w:lang w:val="fr-FR"/>
    </w:rPr>
  </w:style>
  <w:style w:type="character" w:customStyle="1" w:styleId="Heading3Char">
    <w:name w:val="Heading 3 Char"/>
    <w:basedOn w:val="DefaultParagraphFont"/>
    <w:link w:val="Heading3"/>
    <w:uiPriority w:val="9"/>
    <w:semiHidden/>
    <w:rsid w:val="003F4761"/>
    <w:rPr>
      <w:rFonts w:eastAsiaTheme="majorEastAsia" w:cstheme="majorBidi"/>
      <w:color w:val="0F4761" w:themeColor="accent1" w:themeShade="BF"/>
      <w:sz w:val="28"/>
      <w:szCs w:val="28"/>
      <w:lang w:val="fr-FR"/>
    </w:rPr>
  </w:style>
  <w:style w:type="character" w:customStyle="1" w:styleId="Heading4Char">
    <w:name w:val="Heading 4 Char"/>
    <w:basedOn w:val="DefaultParagraphFont"/>
    <w:link w:val="Heading4"/>
    <w:uiPriority w:val="9"/>
    <w:semiHidden/>
    <w:rsid w:val="003F4761"/>
    <w:rPr>
      <w:rFonts w:eastAsiaTheme="majorEastAsia" w:cstheme="majorBidi"/>
      <w:i/>
      <w:iCs/>
      <w:color w:val="0F4761" w:themeColor="accent1" w:themeShade="BF"/>
      <w:lang w:val="fr-FR"/>
    </w:rPr>
  </w:style>
  <w:style w:type="character" w:customStyle="1" w:styleId="Heading5Char">
    <w:name w:val="Heading 5 Char"/>
    <w:basedOn w:val="DefaultParagraphFont"/>
    <w:link w:val="Heading5"/>
    <w:uiPriority w:val="9"/>
    <w:semiHidden/>
    <w:rsid w:val="003F4761"/>
    <w:rPr>
      <w:rFonts w:eastAsiaTheme="majorEastAsia" w:cstheme="majorBidi"/>
      <w:color w:val="0F4761" w:themeColor="accent1" w:themeShade="BF"/>
      <w:lang w:val="fr-FR"/>
    </w:rPr>
  </w:style>
  <w:style w:type="character" w:customStyle="1" w:styleId="Heading6Char">
    <w:name w:val="Heading 6 Char"/>
    <w:basedOn w:val="DefaultParagraphFont"/>
    <w:link w:val="Heading6"/>
    <w:uiPriority w:val="9"/>
    <w:semiHidden/>
    <w:rsid w:val="003F4761"/>
    <w:rPr>
      <w:rFonts w:eastAsiaTheme="majorEastAsia" w:cstheme="majorBidi"/>
      <w:i/>
      <w:iCs/>
      <w:color w:val="595959" w:themeColor="text1" w:themeTint="A6"/>
      <w:lang w:val="fr-FR"/>
    </w:rPr>
  </w:style>
  <w:style w:type="character" w:customStyle="1" w:styleId="Heading7Char">
    <w:name w:val="Heading 7 Char"/>
    <w:basedOn w:val="DefaultParagraphFont"/>
    <w:link w:val="Heading7"/>
    <w:uiPriority w:val="9"/>
    <w:semiHidden/>
    <w:rsid w:val="003F4761"/>
    <w:rPr>
      <w:rFonts w:eastAsiaTheme="majorEastAsia" w:cstheme="majorBidi"/>
      <w:color w:val="595959" w:themeColor="text1" w:themeTint="A6"/>
      <w:lang w:val="fr-FR"/>
    </w:rPr>
  </w:style>
  <w:style w:type="character" w:customStyle="1" w:styleId="Heading8Char">
    <w:name w:val="Heading 8 Char"/>
    <w:basedOn w:val="DefaultParagraphFont"/>
    <w:link w:val="Heading8"/>
    <w:uiPriority w:val="9"/>
    <w:semiHidden/>
    <w:rsid w:val="003F4761"/>
    <w:rPr>
      <w:rFonts w:eastAsiaTheme="majorEastAsia" w:cstheme="majorBidi"/>
      <w:i/>
      <w:iCs/>
      <w:color w:val="272727" w:themeColor="text1" w:themeTint="D8"/>
      <w:lang w:val="fr-FR"/>
    </w:rPr>
  </w:style>
  <w:style w:type="character" w:customStyle="1" w:styleId="Heading9Char">
    <w:name w:val="Heading 9 Char"/>
    <w:basedOn w:val="DefaultParagraphFont"/>
    <w:link w:val="Heading9"/>
    <w:uiPriority w:val="9"/>
    <w:semiHidden/>
    <w:rsid w:val="003F4761"/>
    <w:rPr>
      <w:rFonts w:eastAsiaTheme="majorEastAsia" w:cstheme="majorBidi"/>
      <w:color w:val="272727" w:themeColor="text1" w:themeTint="D8"/>
      <w:lang w:val="fr-FR"/>
    </w:rPr>
  </w:style>
  <w:style w:type="paragraph" w:styleId="Title">
    <w:name w:val="Title"/>
    <w:basedOn w:val="Normal"/>
    <w:next w:val="Normal"/>
    <w:link w:val="TitleChar"/>
    <w:uiPriority w:val="10"/>
    <w:qFormat/>
    <w:rsid w:val="003F47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761"/>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3F476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4761"/>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3F47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4761"/>
    <w:rPr>
      <w:i/>
      <w:iCs/>
      <w:color w:val="404040" w:themeColor="text1" w:themeTint="BF"/>
      <w:lang w:val="fr-FR"/>
    </w:rPr>
  </w:style>
  <w:style w:type="paragraph" w:styleId="ListParagraph">
    <w:name w:val="List Paragraph"/>
    <w:basedOn w:val="Normal"/>
    <w:uiPriority w:val="34"/>
    <w:qFormat/>
    <w:rsid w:val="003F4761"/>
    <w:pPr>
      <w:ind w:left="720"/>
      <w:contextualSpacing/>
    </w:pPr>
  </w:style>
  <w:style w:type="character" w:styleId="IntenseEmphasis">
    <w:name w:val="Intense Emphasis"/>
    <w:basedOn w:val="DefaultParagraphFont"/>
    <w:uiPriority w:val="21"/>
    <w:qFormat/>
    <w:rsid w:val="003F4761"/>
    <w:rPr>
      <w:i/>
      <w:iCs/>
      <w:color w:val="0F4761" w:themeColor="accent1" w:themeShade="BF"/>
    </w:rPr>
  </w:style>
  <w:style w:type="paragraph" w:styleId="IntenseQuote">
    <w:name w:val="Intense Quote"/>
    <w:basedOn w:val="Normal"/>
    <w:next w:val="Normal"/>
    <w:link w:val="IntenseQuoteChar"/>
    <w:uiPriority w:val="30"/>
    <w:qFormat/>
    <w:rsid w:val="003F47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4761"/>
    <w:rPr>
      <w:i/>
      <w:iCs/>
      <w:color w:val="0F4761" w:themeColor="accent1" w:themeShade="BF"/>
      <w:lang w:val="fr-FR"/>
    </w:rPr>
  </w:style>
  <w:style w:type="character" w:styleId="IntenseReference">
    <w:name w:val="Intense Reference"/>
    <w:basedOn w:val="DefaultParagraphFont"/>
    <w:uiPriority w:val="32"/>
    <w:qFormat/>
    <w:rsid w:val="003F4761"/>
    <w:rPr>
      <w:b/>
      <w:bCs/>
      <w:smallCaps/>
      <w:color w:val="0F4761" w:themeColor="accent1" w:themeShade="BF"/>
      <w:spacing w:val="5"/>
    </w:rPr>
  </w:style>
  <w:style w:type="character" w:styleId="CommentReference">
    <w:name w:val="annotation reference"/>
    <w:basedOn w:val="DefaultParagraphFont"/>
    <w:uiPriority w:val="99"/>
    <w:semiHidden/>
    <w:unhideWhenUsed/>
    <w:rsid w:val="003F4761"/>
    <w:rPr>
      <w:sz w:val="16"/>
      <w:szCs w:val="16"/>
    </w:rPr>
  </w:style>
  <w:style w:type="paragraph" w:styleId="CommentText">
    <w:name w:val="annotation text"/>
    <w:basedOn w:val="Normal"/>
    <w:link w:val="CommentTextChar"/>
    <w:uiPriority w:val="99"/>
    <w:unhideWhenUsed/>
    <w:rsid w:val="003F4761"/>
    <w:rPr>
      <w:sz w:val="20"/>
      <w:szCs w:val="20"/>
    </w:rPr>
  </w:style>
  <w:style w:type="character" w:customStyle="1" w:styleId="CommentTextChar">
    <w:name w:val="Comment Text Char"/>
    <w:basedOn w:val="DefaultParagraphFont"/>
    <w:link w:val="CommentText"/>
    <w:uiPriority w:val="99"/>
    <w:rsid w:val="003F4761"/>
    <w:rPr>
      <w:rFonts w:ascii="Times New Roman" w:hAnsi="Times New Roman"/>
      <w:sz w:val="20"/>
      <w:szCs w:val="20"/>
      <w:lang w:val="fr-FR"/>
    </w:rPr>
  </w:style>
  <w:style w:type="table" w:styleId="TableGrid">
    <w:name w:val="Table Grid"/>
    <w:basedOn w:val="TableNormal"/>
    <w:uiPriority w:val="39"/>
    <w:rsid w:val="00D30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0FC5"/>
    <w:rPr>
      <w:color w:val="666666"/>
    </w:rPr>
  </w:style>
  <w:style w:type="paragraph" w:styleId="Revision">
    <w:name w:val="Revision"/>
    <w:hidden/>
    <w:uiPriority w:val="99"/>
    <w:semiHidden/>
    <w:rsid w:val="002A55A8"/>
    <w:rPr>
      <w:rFonts w:ascii="Times New Roman" w:hAnsi="Times New Roman"/>
      <w:lang w:val="fr-FR"/>
    </w:rPr>
  </w:style>
  <w:style w:type="paragraph" w:styleId="CommentSubject">
    <w:name w:val="annotation subject"/>
    <w:basedOn w:val="CommentText"/>
    <w:next w:val="CommentText"/>
    <w:link w:val="CommentSubjectChar"/>
    <w:uiPriority w:val="99"/>
    <w:semiHidden/>
    <w:unhideWhenUsed/>
    <w:rsid w:val="002C2C58"/>
    <w:rPr>
      <w:b/>
      <w:bCs/>
    </w:rPr>
  </w:style>
  <w:style w:type="character" w:customStyle="1" w:styleId="CommentSubjectChar">
    <w:name w:val="Comment Subject Char"/>
    <w:basedOn w:val="CommentTextChar"/>
    <w:link w:val="CommentSubject"/>
    <w:uiPriority w:val="99"/>
    <w:semiHidden/>
    <w:rsid w:val="002C2C58"/>
    <w:rPr>
      <w:rFonts w:ascii="Times New Roman" w:hAnsi="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43371">
      <w:marLeft w:val="0"/>
      <w:marRight w:val="0"/>
      <w:marTop w:val="0"/>
      <w:marBottom w:val="0"/>
      <w:divBdr>
        <w:top w:val="none" w:sz="0" w:space="0" w:color="auto"/>
        <w:left w:val="none" w:sz="0" w:space="0" w:color="auto"/>
        <w:bottom w:val="none" w:sz="0" w:space="0" w:color="auto"/>
        <w:right w:val="none" w:sz="0" w:space="0" w:color="auto"/>
      </w:divBdr>
    </w:div>
    <w:div w:id="83648254">
      <w:marLeft w:val="0"/>
      <w:marRight w:val="0"/>
      <w:marTop w:val="0"/>
      <w:marBottom w:val="0"/>
      <w:divBdr>
        <w:top w:val="none" w:sz="0" w:space="0" w:color="auto"/>
        <w:left w:val="none" w:sz="0" w:space="0" w:color="auto"/>
        <w:bottom w:val="none" w:sz="0" w:space="0" w:color="auto"/>
        <w:right w:val="none" w:sz="0" w:space="0" w:color="auto"/>
      </w:divBdr>
    </w:div>
    <w:div w:id="97337500">
      <w:marLeft w:val="0"/>
      <w:marRight w:val="0"/>
      <w:marTop w:val="0"/>
      <w:marBottom w:val="0"/>
      <w:divBdr>
        <w:top w:val="none" w:sz="0" w:space="0" w:color="auto"/>
        <w:left w:val="none" w:sz="0" w:space="0" w:color="auto"/>
        <w:bottom w:val="none" w:sz="0" w:space="0" w:color="auto"/>
        <w:right w:val="none" w:sz="0" w:space="0" w:color="auto"/>
      </w:divBdr>
    </w:div>
    <w:div w:id="105272143">
      <w:marLeft w:val="0"/>
      <w:marRight w:val="0"/>
      <w:marTop w:val="0"/>
      <w:marBottom w:val="0"/>
      <w:divBdr>
        <w:top w:val="none" w:sz="0" w:space="0" w:color="auto"/>
        <w:left w:val="none" w:sz="0" w:space="0" w:color="auto"/>
        <w:bottom w:val="none" w:sz="0" w:space="0" w:color="auto"/>
        <w:right w:val="none" w:sz="0" w:space="0" w:color="auto"/>
      </w:divBdr>
    </w:div>
    <w:div w:id="168184710">
      <w:marLeft w:val="0"/>
      <w:marRight w:val="0"/>
      <w:marTop w:val="0"/>
      <w:marBottom w:val="0"/>
      <w:divBdr>
        <w:top w:val="none" w:sz="0" w:space="0" w:color="auto"/>
        <w:left w:val="none" w:sz="0" w:space="0" w:color="auto"/>
        <w:bottom w:val="none" w:sz="0" w:space="0" w:color="auto"/>
        <w:right w:val="none" w:sz="0" w:space="0" w:color="auto"/>
      </w:divBdr>
    </w:div>
    <w:div w:id="255872881">
      <w:marLeft w:val="0"/>
      <w:marRight w:val="0"/>
      <w:marTop w:val="0"/>
      <w:marBottom w:val="0"/>
      <w:divBdr>
        <w:top w:val="none" w:sz="0" w:space="0" w:color="auto"/>
        <w:left w:val="none" w:sz="0" w:space="0" w:color="auto"/>
        <w:bottom w:val="none" w:sz="0" w:space="0" w:color="auto"/>
        <w:right w:val="none" w:sz="0" w:space="0" w:color="auto"/>
      </w:divBdr>
    </w:div>
    <w:div w:id="289482928">
      <w:marLeft w:val="0"/>
      <w:marRight w:val="0"/>
      <w:marTop w:val="0"/>
      <w:marBottom w:val="0"/>
      <w:divBdr>
        <w:top w:val="none" w:sz="0" w:space="0" w:color="auto"/>
        <w:left w:val="none" w:sz="0" w:space="0" w:color="auto"/>
        <w:bottom w:val="none" w:sz="0" w:space="0" w:color="auto"/>
        <w:right w:val="none" w:sz="0" w:space="0" w:color="auto"/>
      </w:divBdr>
    </w:div>
    <w:div w:id="326594370">
      <w:marLeft w:val="0"/>
      <w:marRight w:val="0"/>
      <w:marTop w:val="0"/>
      <w:marBottom w:val="0"/>
      <w:divBdr>
        <w:top w:val="none" w:sz="0" w:space="0" w:color="auto"/>
        <w:left w:val="none" w:sz="0" w:space="0" w:color="auto"/>
        <w:bottom w:val="none" w:sz="0" w:space="0" w:color="auto"/>
        <w:right w:val="none" w:sz="0" w:space="0" w:color="auto"/>
      </w:divBdr>
    </w:div>
    <w:div w:id="524251960">
      <w:marLeft w:val="0"/>
      <w:marRight w:val="0"/>
      <w:marTop w:val="0"/>
      <w:marBottom w:val="0"/>
      <w:divBdr>
        <w:top w:val="none" w:sz="0" w:space="0" w:color="auto"/>
        <w:left w:val="none" w:sz="0" w:space="0" w:color="auto"/>
        <w:bottom w:val="none" w:sz="0" w:space="0" w:color="auto"/>
        <w:right w:val="none" w:sz="0" w:space="0" w:color="auto"/>
      </w:divBdr>
    </w:div>
    <w:div w:id="608633435">
      <w:marLeft w:val="0"/>
      <w:marRight w:val="0"/>
      <w:marTop w:val="0"/>
      <w:marBottom w:val="0"/>
      <w:divBdr>
        <w:top w:val="none" w:sz="0" w:space="0" w:color="auto"/>
        <w:left w:val="none" w:sz="0" w:space="0" w:color="auto"/>
        <w:bottom w:val="none" w:sz="0" w:space="0" w:color="auto"/>
        <w:right w:val="none" w:sz="0" w:space="0" w:color="auto"/>
      </w:divBdr>
    </w:div>
    <w:div w:id="669985928">
      <w:marLeft w:val="0"/>
      <w:marRight w:val="0"/>
      <w:marTop w:val="0"/>
      <w:marBottom w:val="0"/>
      <w:divBdr>
        <w:top w:val="none" w:sz="0" w:space="0" w:color="auto"/>
        <w:left w:val="none" w:sz="0" w:space="0" w:color="auto"/>
        <w:bottom w:val="none" w:sz="0" w:space="0" w:color="auto"/>
        <w:right w:val="none" w:sz="0" w:space="0" w:color="auto"/>
      </w:divBdr>
    </w:div>
    <w:div w:id="755201453">
      <w:marLeft w:val="0"/>
      <w:marRight w:val="0"/>
      <w:marTop w:val="0"/>
      <w:marBottom w:val="0"/>
      <w:divBdr>
        <w:top w:val="none" w:sz="0" w:space="0" w:color="auto"/>
        <w:left w:val="none" w:sz="0" w:space="0" w:color="auto"/>
        <w:bottom w:val="none" w:sz="0" w:space="0" w:color="auto"/>
        <w:right w:val="none" w:sz="0" w:space="0" w:color="auto"/>
      </w:divBdr>
    </w:div>
    <w:div w:id="827861137">
      <w:marLeft w:val="0"/>
      <w:marRight w:val="0"/>
      <w:marTop w:val="0"/>
      <w:marBottom w:val="0"/>
      <w:divBdr>
        <w:top w:val="none" w:sz="0" w:space="0" w:color="auto"/>
        <w:left w:val="none" w:sz="0" w:space="0" w:color="auto"/>
        <w:bottom w:val="none" w:sz="0" w:space="0" w:color="auto"/>
        <w:right w:val="none" w:sz="0" w:space="0" w:color="auto"/>
      </w:divBdr>
    </w:div>
    <w:div w:id="1029261176">
      <w:marLeft w:val="0"/>
      <w:marRight w:val="0"/>
      <w:marTop w:val="0"/>
      <w:marBottom w:val="0"/>
      <w:divBdr>
        <w:top w:val="none" w:sz="0" w:space="0" w:color="auto"/>
        <w:left w:val="none" w:sz="0" w:space="0" w:color="auto"/>
        <w:bottom w:val="none" w:sz="0" w:space="0" w:color="auto"/>
        <w:right w:val="none" w:sz="0" w:space="0" w:color="auto"/>
      </w:divBdr>
    </w:div>
    <w:div w:id="1041975052">
      <w:marLeft w:val="0"/>
      <w:marRight w:val="0"/>
      <w:marTop w:val="0"/>
      <w:marBottom w:val="0"/>
      <w:divBdr>
        <w:top w:val="none" w:sz="0" w:space="0" w:color="auto"/>
        <w:left w:val="none" w:sz="0" w:space="0" w:color="auto"/>
        <w:bottom w:val="none" w:sz="0" w:space="0" w:color="auto"/>
        <w:right w:val="none" w:sz="0" w:space="0" w:color="auto"/>
      </w:divBdr>
    </w:div>
    <w:div w:id="1124226448">
      <w:marLeft w:val="0"/>
      <w:marRight w:val="0"/>
      <w:marTop w:val="0"/>
      <w:marBottom w:val="0"/>
      <w:divBdr>
        <w:top w:val="none" w:sz="0" w:space="0" w:color="auto"/>
        <w:left w:val="none" w:sz="0" w:space="0" w:color="auto"/>
        <w:bottom w:val="none" w:sz="0" w:space="0" w:color="auto"/>
        <w:right w:val="none" w:sz="0" w:space="0" w:color="auto"/>
      </w:divBdr>
    </w:div>
    <w:div w:id="1347093286">
      <w:marLeft w:val="0"/>
      <w:marRight w:val="0"/>
      <w:marTop w:val="0"/>
      <w:marBottom w:val="0"/>
      <w:divBdr>
        <w:top w:val="none" w:sz="0" w:space="0" w:color="auto"/>
        <w:left w:val="none" w:sz="0" w:space="0" w:color="auto"/>
        <w:bottom w:val="none" w:sz="0" w:space="0" w:color="auto"/>
        <w:right w:val="none" w:sz="0" w:space="0" w:color="auto"/>
      </w:divBdr>
    </w:div>
    <w:div w:id="1389911646">
      <w:marLeft w:val="0"/>
      <w:marRight w:val="0"/>
      <w:marTop w:val="0"/>
      <w:marBottom w:val="0"/>
      <w:divBdr>
        <w:top w:val="none" w:sz="0" w:space="0" w:color="auto"/>
        <w:left w:val="none" w:sz="0" w:space="0" w:color="auto"/>
        <w:bottom w:val="none" w:sz="0" w:space="0" w:color="auto"/>
        <w:right w:val="none" w:sz="0" w:space="0" w:color="auto"/>
      </w:divBdr>
    </w:div>
    <w:div w:id="1402757193">
      <w:marLeft w:val="0"/>
      <w:marRight w:val="0"/>
      <w:marTop w:val="0"/>
      <w:marBottom w:val="0"/>
      <w:divBdr>
        <w:top w:val="none" w:sz="0" w:space="0" w:color="auto"/>
        <w:left w:val="none" w:sz="0" w:space="0" w:color="auto"/>
        <w:bottom w:val="none" w:sz="0" w:space="0" w:color="auto"/>
        <w:right w:val="none" w:sz="0" w:space="0" w:color="auto"/>
      </w:divBdr>
    </w:div>
    <w:div w:id="1493059720">
      <w:marLeft w:val="0"/>
      <w:marRight w:val="0"/>
      <w:marTop w:val="0"/>
      <w:marBottom w:val="0"/>
      <w:divBdr>
        <w:top w:val="none" w:sz="0" w:space="0" w:color="auto"/>
        <w:left w:val="none" w:sz="0" w:space="0" w:color="auto"/>
        <w:bottom w:val="none" w:sz="0" w:space="0" w:color="auto"/>
        <w:right w:val="none" w:sz="0" w:space="0" w:color="auto"/>
      </w:divBdr>
    </w:div>
    <w:div w:id="1508909040">
      <w:marLeft w:val="0"/>
      <w:marRight w:val="0"/>
      <w:marTop w:val="0"/>
      <w:marBottom w:val="0"/>
      <w:divBdr>
        <w:top w:val="none" w:sz="0" w:space="0" w:color="auto"/>
        <w:left w:val="none" w:sz="0" w:space="0" w:color="auto"/>
        <w:bottom w:val="none" w:sz="0" w:space="0" w:color="auto"/>
        <w:right w:val="none" w:sz="0" w:space="0" w:color="auto"/>
      </w:divBdr>
    </w:div>
    <w:div w:id="1515806414">
      <w:marLeft w:val="0"/>
      <w:marRight w:val="0"/>
      <w:marTop w:val="0"/>
      <w:marBottom w:val="0"/>
      <w:divBdr>
        <w:top w:val="none" w:sz="0" w:space="0" w:color="auto"/>
        <w:left w:val="none" w:sz="0" w:space="0" w:color="auto"/>
        <w:bottom w:val="none" w:sz="0" w:space="0" w:color="auto"/>
        <w:right w:val="none" w:sz="0" w:space="0" w:color="auto"/>
      </w:divBdr>
    </w:div>
    <w:div w:id="1521700748">
      <w:marLeft w:val="0"/>
      <w:marRight w:val="0"/>
      <w:marTop w:val="0"/>
      <w:marBottom w:val="0"/>
      <w:divBdr>
        <w:top w:val="none" w:sz="0" w:space="0" w:color="auto"/>
        <w:left w:val="none" w:sz="0" w:space="0" w:color="auto"/>
        <w:bottom w:val="none" w:sz="0" w:space="0" w:color="auto"/>
        <w:right w:val="none" w:sz="0" w:space="0" w:color="auto"/>
      </w:divBdr>
    </w:div>
    <w:div w:id="1553804638">
      <w:marLeft w:val="0"/>
      <w:marRight w:val="0"/>
      <w:marTop w:val="0"/>
      <w:marBottom w:val="0"/>
      <w:divBdr>
        <w:top w:val="none" w:sz="0" w:space="0" w:color="auto"/>
        <w:left w:val="none" w:sz="0" w:space="0" w:color="auto"/>
        <w:bottom w:val="none" w:sz="0" w:space="0" w:color="auto"/>
        <w:right w:val="none" w:sz="0" w:space="0" w:color="auto"/>
      </w:divBdr>
    </w:div>
    <w:div w:id="1578442680">
      <w:marLeft w:val="0"/>
      <w:marRight w:val="0"/>
      <w:marTop w:val="0"/>
      <w:marBottom w:val="0"/>
      <w:divBdr>
        <w:top w:val="none" w:sz="0" w:space="0" w:color="auto"/>
        <w:left w:val="none" w:sz="0" w:space="0" w:color="auto"/>
        <w:bottom w:val="none" w:sz="0" w:space="0" w:color="auto"/>
        <w:right w:val="none" w:sz="0" w:space="0" w:color="auto"/>
      </w:divBdr>
    </w:div>
    <w:div w:id="1603218920">
      <w:marLeft w:val="0"/>
      <w:marRight w:val="0"/>
      <w:marTop w:val="0"/>
      <w:marBottom w:val="0"/>
      <w:divBdr>
        <w:top w:val="none" w:sz="0" w:space="0" w:color="auto"/>
        <w:left w:val="none" w:sz="0" w:space="0" w:color="auto"/>
        <w:bottom w:val="none" w:sz="0" w:space="0" w:color="auto"/>
        <w:right w:val="none" w:sz="0" w:space="0" w:color="auto"/>
      </w:divBdr>
    </w:div>
    <w:div w:id="1615207688">
      <w:marLeft w:val="0"/>
      <w:marRight w:val="0"/>
      <w:marTop w:val="0"/>
      <w:marBottom w:val="0"/>
      <w:divBdr>
        <w:top w:val="none" w:sz="0" w:space="0" w:color="auto"/>
        <w:left w:val="none" w:sz="0" w:space="0" w:color="auto"/>
        <w:bottom w:val="none" w:sz="0" w:space="0" w:color="auto"/>
        <w:right w:val="none" w:sz="0" w:space="0" w:color="auto"/>
      </w:divBdr>
    </w:div>
    <w:div w:id="1653170507">
      <w:marLeft w:val="0"/>
      <w:marRight w:val="0"/>
      <w:marTop w:val="0"/>
      <w:marBottom w:val="0"/>
      <w:divBdr>
        <w:top w:val="none" w:sz="0" w:space="0" w:color="auto"/>
        <w:left w:val="none" w:sz="0" w:space="0" w:color="auto"/>
        <w:bottom w:val="none" w:sz="0" w:space="0" w:color="auto"/>
        <w:right w:val="none" w:sz="0" w:space="0" w:color="auto"/>
      </w:divBdr>
    </w:div>
    <w:div w:id="1661077669">
      <w:marLeft w:val="0"/>
      <w:marRight w:val="0"/>
      <w:marTop w:val="0"/>
      <w:marBottom w:val="0"/>
      <w:divBdr>
        <w:top w:val="none" w:sz="0" w:space="0" w:color="auto"/>
        <w:left w:val="none" w:sz="0" w:space="0" w:color="auto"/>
        <w:bottom w:val="none" w:sz="0" w:space="0" w:color="auto"/>
        <w:right w:val="none" w:sz="0" w:space="0" w:color="auto"/>
      </w:divBdr>
    </w:div>
    <w:div w:id="1714310698">
      <w:marLeft w:val="0"/>
      <w:marRight w:val="0"/>
      <w:marTop w:val="0"/>
      <w:marBottom w:val="0"/>
      <w:divBdr>
        <w:top w:val="none" w:sz="0" w:space="0" w:color="auto"/>
        <w:left w:val="none" w:sz="0" w:space="0" w:color="auto"/>
        <w:bottom w:val="none" w:sz="0" w:space="0" w:color="auto"/>
        <w:right w:val="none" w:sz="0" w:space="0" w:color="auto"/>
      </w:divBdr>
    </w:div>
    <w:div w:id="1722318625">
      <w:marLeft w:val="0"/>
      <w:marRight w:val="0"/>
      <w:marTop w:val="0"/>
      <w:marBottom w:val="0"/>
      <w:divBdr>
        <w:top w:val="none" w:sz="0" w:space="0" w:color="auto"/>
        <w:left w:val="none" w:sz="0" w:space="0" w:color="auto"/>
        <w:bottom w:val="none" w:sz="0" w:space="0" w:color="auto"/>
        <w:right w:val="none" w:sz="0" w:space="0" w:color="auto"/>
      </w:divBdr>
    </w:div>
    <w:div w:id="1751193254">
      <w:marLeft w:val="0"/>
      <w:marRight w:val="0"/>
      <w:marTop w:val="0"/>
      <w:marBottom w:val="0"/>
      <w:divBdr>
        <w:top w:val="none" w:sz="0" w:space="0" w:color="auto"/>
        <w:left w:val="none" w:sz="0" w:space="0" w:color="auto"/>
        <w:bottom w:val="none" w:sz="0" w:space="0" w:color="auto"/>
        <w:right w:val="none" w:sz="0" w:space="0" w:color="auto"/>
      </w:divBdr>
    </w:div>
    <w:div w:id="1761952622">
      <w:marLeft w:val="0"/>
      <w:marRight w:val="0"/>
      <w:marTop w:val="0"/>
      <w:marBottom w:val="0"/>
      <w:divBdr>
        <w:top w:val="none" w:sz="0" w:space="0" w:color="auto"/>
        <w:left w:val="none" w:sz="0" w:space="0" w:color="auto"/>
        <w:bottom w:val="none" w:sz="0" w:space="0" w:color="auto"/>
        <w:right w:val="none" w:sz="0" w:space="0" w:color="auto"/>
      </w:divBdr>
    </w:div>
    <w:div w:id="1777558826">
      <w:marLeft w:val="0"/>
      <w:marRight w:val="0"/>
      <w:marTop w:val="0"/>
      <w:marBottom w:val="0"/>
      <w:divBdr>
        <w:top w:val="none" w:sz="0" w:space="0" w:color="auto"/>
        <w:left w:val="none" w:sz="0" w:space="0" w:color="auto"/>
        <w:bottom w:val="none" w:sz="0" w:space="0" w:color="auto"/>
        <w:right w:val="none" w:sz="0" w:space="0" w:color="auto"/>
      </w:divBdr>
    </w:div>
    <w:div w:id="1824157502">
      <w:marLeft w:val="0"/>
      <w:marRight w:val="0"/>
      <w:marTop w:val="0"/>
      <w:marBottom w:val="0"/>
      <w:divBdr>
        <w:top w:val="none" w:sz="0" w:space="0" w:color="auto"/>
        <w:left w:val="none" w:sz="0" w:space="0" w:color="auto"/>
        <w:bottom w:val="none" w:sz="0" w:space="0" w:color="auto"/>
        <w:right w:val="none" w:sz="0" w:space="0" w:color="auto"/>
      </w:divBdr>
    </w:div>
    <w:div w:id="1892885303">
      <w:marLeft w:val="0"/>
      <w:marRight w:val="0"/>
      <w:marTop w:val="0"/>
      <w:marBottom w:val="0"/>
      <w:divBdr>
        <w:top w:val="none" w:sz="0" w:space="0" w:color="auto"/>
        <w:left w:val="none" w:sz="0" w:space="0" w:color="auto"/>
        <w:bottom w:val="none" w:sz="0" w:space="0" w:color="auto"/>
        <w:right w:val="none" w:sz="0" w:space="0" w:color="auto"/>
      </w:divBdr>
    </w:div>
    <w:div w:id="1897008570">
      <w:marLeft w:val="0"/>
      <w:marRight w:val="0"/>
      <w:marTop w:val="0"/>
      <w:marBottom w:val="0"/>
      <w:divBdr>
        <w:top w:val="none" w:sz="0" w:space="0" w:color="auto"/>
        <w:left w:val="none" w:sz="0" w:space="0" w:color="auto"/>
        <w:bottom w:val="none" w:sz="0" w:space="0" w:color="auto"/>
        <w:right w:val="none" w:sz="0" w:space="0" w:color="auto"/>
      </w:divBdr>
    </w:div>
    <w:div w:id="1960840519">
      <w:marLeft w:val="0"/>
      <w:marRight w:val="0"/>
      <w:marTop w:val="0"/>
      <w:marBottom w:val="0"/>
      <w:divBdr>
        <w:top w:val="none" w:sz="0" w:space="0" w:color="auto"/>
        <w:left w:val="none" w:sz="0" w:space="0" w:color="auto"/>
        <w:bottom w:val="none" w:sz="0" w:space="0" w:color="auto"/>
        <w:right w:val="none" w:sz="0" w:space="0" w:color="auto"/>
      </w:divBdr>
    </w:div>
    <w:div w:id="1974827292">
      <w:marLeft w:val="0"/>
      <w:marRight w:val="0"/>
      <w:marTop w:val="0"/>
      <w:marBottom w:val="0"/>
      <w:divBdr>
        <w:top w:val="none" w:sz="0" w:space="0" w:color="auto"/>
        <w:left w:val="none" w:sz="0" w:space="0" w:color="auto"/>
        <w:bottom w:val="none" w:sz="0" w:space="0" w:color="auto"/>
        <w:right w:val="none" w:sz="0" w:space="0" w:color="auto"/>
      </w:divBdr>
    </w:div>
    <w:div w:id="19854304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0.tiff"/><Relationship Id="rId23" Type="http://schemas.openxmlformats.org/officeDocument/2006/relationships/fontTable" Target="fontTable.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1A3CE5C0D6FB45849EACD058F400B7"/>
        <w:category>
          <w:name w:val="General"/>
          <w:gallery w:val="placeholder"/>
        </w:category>
        <w:types>
          <w:type w:val="bbPlcHdr"/>
        </w:types>
        <w:behaviors>
          <w:behavior w:val="content"/>
        </w:behaviors>
        <w:guid w:val="{114D7020-AE80-0241-8D19-2D8FEC0F5427}"/>
      </w:docPartPr>
      <w:docPartBody>
        <w:p w:rsidR="00F54C7A" w:rsidRDefault="001B5D6B" w:rsidP="001B5D6B">
          <w:pPr>
            <w:pStyle w:val="991A3CE5C0D6FB45849EACD058F400B7"/>
          </w:pPr>
          <w:r w:rsidRPr="004A0A78">
            <w:rPr>
              <w:rStyle w:val="PlaceholderText"/>
            </w:rPr>
            <w:t>Click or tap here to enter text.</w:t>
          </w:r>
        </w:p>
      </w:docPartBody>
    </w:docPart>
    <w:docPart>
      <w:docPartPr>
        <w:name w:val="BD20FD7FD4487744BBA6F3494088BE29"/>
        <w:category>
          <w:name w:val="General"/>
          <w:gallery w:val="placeholder"/>
        </w:category>
        <w:types>
          <w:type w:val="bbPlcHdr"/>
        </w:types>
        <w:behaviors>
          <w:behavior w:val="content"/>
        </w:behaviors>
        <w:guid w:val="{23BB1956-2CD4-1D4E-80B9-A08199F4D202}"/>
      </w:docPartPr>
      <w:docPartBody>
        <w:p w:rsidR="00F54C7A" w:rsidRDefault="001B5D6B" w:rsidP="001B5D6B">
          <w:pPr>
            <w:pStyle w:val="BD20FD7FD4487744BBA6F3494088BE29"/>
          </w:pPr>
          <w:r w:rsidRPr="004A0A78">
            <w:rPr>
              <w:rStyle w:val="PlaceholderText"/>
            </w:rPr>
            <w:t>Click or tap here to enter text.</w:t>
          </w:r>
        </w:p>
      </w:docPartBody>
    </w:docPart>
    <w:docPart>
      <w:docPartPr>
        <w:name w:val="05FA7D8A1B0B9B40897103DF70C593BE"/>
        <w:category>
          <w:name w:val="General"/>
          <w:gallery w:val="placeholder"/>
        </w:category>
        <w:types>
          <w:type w:val="bbPlcHdr"/>
        </w:types>
        <w:behaviors>
          <w:behavior w:val="content"/>
        </w:behaviors>
        <w:guid w:val="{F783C37C-08CB-A24D-A5F7-B9A2DCB2819E}"/>
      </w:docPartPr>
      <w:docPartBody>
        <w:p w:rsidR="00F54C7A" w:rsidRDefault="001B5D6B" w:rsidP="001B5D6B">
          <w:pPr>
            <w:pStyle w:val="05FA7D8A1B0B9B40897103DF70C593BE"/>
          </w:pPr>
          <w:r w:rsidRPr="004A0A78">
            <w:rPr>
              <w:rStyle w:val="PlaceholderText"/>
            </w:rPr>
            <w:t>Click or tap here to enter text.</w:t>
          </w:r>
        </w:p>
      </w:docPartBody>
    </w:docPart>
    <w:docPart>
      <w:docPartPr>
        <w:name w:val="47FCA6807FE81046B26EBE99395EF9E4"/>
        <w:category>
          <w:name w:val="General"/>
          <w:gallery w:val="placeholder"/>
        </w:category>
        <w:types>
          <w:type w:val="bbPlcHdr"/>
        </w:types>
        <w:behaviors>
          <w:behavior w:val="content"/>
        </w:behaviors>
        <w:guid w:val="{B33E6270-36B8-894C-9349-0776C14D3AEF}"/>
      </w:docPartPr>
      <w:docPartBody>
        <w:p w:rsidR="00F54C7A" w:rsidRDefault="001B5D6B" w:rsidP="001B5D6B">
          <w:pPr>
            <w:pStyle w:val="47FCA6807FE81046B26EBE99395EF9E4"/>
          </w:pPr>
          <w:r w:rsidRPr="004A0A7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54EA41A-2DC3-D04C-B0D5-E7DE86582688}"/>
      </w:docPartPr>
      <w:docPartBody>
        <w:p w:rsidR="00133A5E" w:rsidRDefault="00901F06">
          <w:r w:rsidRPr="002162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D6B"/>
    <w:rsid w:val="00083DE4"/>
    <w:rsid w:val="00110278"/>
    <w:rsid w:val="00133A5E"/>
    <w:rsid w:val="001B5D6B"/>
    <w:rsid w:val="001D1FBA"/>
    <w:rsid w:val="00255620"/>
    <w:rsid w:val="002D4073"/>
    <w:rsid w:val="0034774B"/>
    <w:rsid w:val="00402D62"/>
    <w:rsid w:val="004D1F44"/>
    <w:rsid w:val="004D2D5B"/>
    <w:rsid w:val="004E4B10"/>
    <w:rsid w:val="00595152"/>
    <w:rsid w:val="005B6132"/>
    <w:rsid w:val="005B7E40"/>
    <w:rsid w:val="006C06F5"/>
    <w:rsid w:val="00757223"/>
    <w:rsid w:val="007C5642"/>
    <w:rsid w:val="007F6A4C"/>
    <w:rsid w:val="00817D40"/>
    <w:rsid w:val="00901F06"/>
    <w:rsid w:val="0092484E"/>
    <w:rsid w:val="00992B39"/>
    <w:rsid w:val="009D2949"/>
    <w:rsid w:val="009D2B5F"/>
    <w:rsid w:val="009F4019"/>
    <w:rsid w:val="00A01C4D"/>
    <w:rsid w:val="00B11DA6"/>
    <w:rsid w:val="00B967A2"/>
    <w:rsid w:val="00BD71ED"/>
    <w:rsid w:val="00BE7849"/>
    <w:rsid w:val="00BF4482"/>
    <w:rsid w:val="00C00491"/>
    <w:rsid w:val="00C024D3"/>
    <w:rsid w:val="00C64A45"/>
    <w:rsid w:val="00CA3CF0"/>
    <w:rsid w:val="00D20C68"/>
    <w:rsid w:val="00D74A5E"/>
    <w:rsid w:val="00E91BB0"/>
    <w:rsid w:val="00F2773F"/>
    <w:rsid w:val="00F54C7A"/>
    <w:rsid w:val="00F87A28"/>
    <w:rsid w:val="00FA67FE"/>
    <w:rsid w:val="00FB02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1F06"/>
    <w:rPr>
      <w:color w:val="666666"/>
    </w:rPr>
  </w:style>
  <w:style w:type="paragraph" w:customStyle="1" w:styleId="991A3CE5C0D6FB45849EACD058F400B7">
    <w:name w:val="991A3CE5C0D6FB45849EACD058F400B7"/>
    <w:rsid w:val="001B5D6B"/>
  </w:style>
  <w:style w:type="paragraph" w:customStyle="1" w:styleId="BD20FD7FD4487744BBA6F3494088BE29">
    <w:name w:val="BD20FD7FD4487744BBA6F3494088BE29"/>
    <w:rsid w:val="001B5D6B"/>
  </w:style>
  <w:style w:type="paragraph" w:customStyle="1" w:styleId="05FA7D8A1B0B9B40897103DF70C593BE">
    <w:name w:val="05FA7D8A1B0B9B40897103DF70C593BE"/>
    <w:rsid w:val="001B5D6B"/>
  </w:style>
  <w:style w:type="paragraph" w:customStyle="1" w:styleId="47FCA6807FE81046B26EBE99395EF9E4">
    <w:name w:val="47FCA6807FE81046B26EBE99395EF9E4"/>
    <w:rsid w:val="001B5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2C409A-847E-CC40-9CD0-99AF653BB07A}">
  <we:reference id="f78a3046-9e99-4300-aa2b-5814002b01a2" version="1.55.1.0" store="EXCatalog" storeType="EXCatalog"/>
  <we:alternateReferences>
    <we:reference id="WA104382081" version="1.55.1.0" store="en-CA" storeType="OMEX"/>
  </we:alternateReferences>
  <we:properties>
    <we:property name="MENDELEY_BIBLIOGRAPHY_IS_DIRTY" value="false"/>
    <we:property name="MENDELEY_BIBLIOGRAPHY_LAST_MODIFIED" value="1777262065766"/>
    <we:property name="MENDELEY_CITATIONS" value="[{&quot;citationID&quot;:&quot;MENDELEY_CITATION_40c0db05-3111-4c6d-a366-d44816a08b86&quot;,&quot;properties&quot;:{&quot;noteIndex&quot;:0},&quot;isEdited&quot;:false,&quot;manualOverride&quot;:{&quot;isManuallyOverridden&quot;:false,&quot;citeprocText&quot;:&quot;[1, 2]&quot;,&quot;manualOverrideText&quot;:&quot;&quot;},&quot;citationTag&quot;:&quot;MENDELEY_CITATION_v3_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&quot;,&quot;citationItems&quot;:[{&quot;id&quot;:&quot;d3cae3b0-1f0d-3dd0-958d-d9a8467838ed&quot;,&quot;itemData&quot;:{&quot;type&quot;:&quot;report&quot;,&quot;id&quot;:&quot;d3cae3b0-1f0d-3dd0-958d-d9a8467838ed&quot;,&quot;title&quot;:&quot;Armed Conflict Location &amp; Event Data (ACLED) Codebook&quot;,&quot;author&quot;:[{&quot;family&quot;:&quot;ACLED&quot;,&quot;given&quot;:&quot;&quot;,&quot;parse-names&quot;:false,&quot;dropping-particle&quot;:&quot;&quot;,&quot;non-dropping-particle&quot;:&quot;&quot;}],&quot;accessed&quot;:{&quot;date-parts&quot;:[[2025,12,16]]},&quot;URL&quot;:&quot;www.acleddata.com&quot;,&quot;issued&quot;:{&quot;date-parts&quot;:[[2024,10,3]]},&quot;container-title-short&quot;:&quot;&quot;},&quot;isTemporary&quot;:false},{&quot;id&quot;:&quot;49f1087a-05d7-3cef-a48d-3b52714088c8&quot;,&quot;itemData&quot;:{&quot;type&quot;:&quot;article-journal&quot;,&quot;id&quot;:&quot;49f1087a-05d7-3cef-a48d-3b52714088c8&quot;,&quot;title&quot;:&quot;Political instability patterns are obscured by conflict dataset scope conditions, sources, and coding choices&quot;,&quot;author&quot;:[{&quot;family&quot;:&quot;Raleigh&quot;,&quot;given&quot;:&quot;Clionadh&quot;,&quot;parse-names&quot;:false,&quot;dropping-particle&quot;:&quot;&quot;,&quot;non-dropping-particle&quot;:&quot;&quot;},{&quot;family&quot;:&quot;Kishi&quot;,&quot;given&quot;:&quot;Roudabeh&quot;,&quot;parse-names&quot;:false,&quot;dropping-particle&quot;:&quot;&quot;,&quot;non-dropping-particle&quot;:&quot;&quot;},{&quot;family&quot;:&quot;Linke&quot;,&quot;given&quot;:&quot;Andrew&quot;,&quot;parse-names&quot;:false,&quot;dropping-particle&quot;:&quot;&quot;,&quot;non-dropping-particle&quot;:&quot;&quot;}],&quot;container-title&quot;:&quot;Humanities and Social Sciences Communications 2023 10:1&quot;,&quot;accessed&quot;:{&quot;date-parts&quot;:[[2025,12,16]]},&quot;DOI&quot;:&quot;10.1057/s41599-023-01559-4&quot;,&quot;ISSN&quot;:&quot;2662-9992&quot;,&quot;URL&quot;:&quot;https://www.nature.com/articles/s41599-023-01559-4&quot;,&quot;issued&quot;:{&quot;date-parts&quot;:[[2023,2,25]]},&quot;page&quot;:&quot;74-&quot;,&quot;abstract&quot;:&quot;Conflict event datasets are used widely in academic, policymaking, and public spheres. Accounting for political violence across the world requires detailing conflict types, agents, characteristics, and source information. The public and policymaking communities may underestimate the impact of data collection decisions across global, real-time conflict event datasets. Here, we consider four widely used public datasets with global coverage and demonstrate how they differ by definitions of conflict, and which aspects of the information-sourcing processes they prioritize. First, we identify considerable disparities between automated conflict coding projects and researcher-led projects, largely resulting from few inclusion barriers and no data oversight. Second, we compare researcher-led datasets in greater detail. At the crux of their differences is whether a dataset prioritizes and mandates internal reliability by imposing initial conflict definitions on present events, or whether a dataset’s agenda is to capture an externally valid and comprehensive assessment of present violence patterns. Prioritizing reliability privileges specific forms of violence, despite the possibility that other forms actually occur; and leads to reliance on international and English-language information sources. Privileging validity requires a wide definition of political violence forms, and requires diverse, multi-lingual, and local sources. These conceptual, coding, and sourcing variations have significant implications for the use of these data in academic analysis and for practitioner responses to crisis and instability. These foundational differences mean that answers to “which country is most violent?”; “where are civilians most at risk?”; and “is the frequency of conflict increasing or decreasing?” vary according to datasets all purporting to capture the same phenomena of political violence.&quot;,&quot;publisher&quot;:&quot;Palgrave&quot;,&quot;issue&quot;:&quot;1&quot;,&quot;volume&quot;:&quot;10&quot;,&quot;container-title-short&quot;:&quot;&quot;},&quot;isTemporary&quot;:false}]},{&quot;citationID&quot;:&quot;MENDELEY_CITATION_7abe97c8-7f78-45db-b303-569e0cfd7664&quot;,&quot;properties&quot;:{&quot;noteIndex&quot;:0},&quot;isEdited&quot;:false,&quot;manualOverride&quot;:{&quot;isManuallyOverridden&quot;:false,&quot;citeprocText&quot;:&quot;[3, 4]&quot;,&quot;manualOverrideText&quot;:&quot;&quot;},&quot;citationTag&quot;:&quot;MENDELEY_CITATION_v3_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&quot;,&quot;citationItems&quot;:[{&quot;id&quot;:&quot;9c897700-3d73-3de6-8a98-8234aaa3ecd0&quot;,&quot;itemData&quot;:{&quot;type&quot;:&quot;article-journal&quot;,&quot;id&quot;:&quot;9c897700-3d73-3de6-8a98-8234aaa3ecd0&quot;,&quot;title&quot;:&quot;Organized violence 1989–2024, and the challenges of identifying civilian victims&quot;,&quot;author&quot;:[{&quot;family&quot;:&quot;Davies&quot;,&quot;given&quot;:&quot;S&quot;,&quot;parse-names&quot;:false,&quot;dropping-particle&quot;:&quot;&quot;,&quot;non-dropping-particle&quot;:&quot;&quot;},{&quot;family&quot;:&quot;Pettersson&quot;,&quot;given&quot;:&quot;T&quot;,&quot;parse-names&quot;:false,&quot;dropping-particle&quot;:&quot;&quot;,&quot;non-dropping-particle&quot;:&quot;&quot;},{&quot;family&quot;:&quot;Sollenberg&quot;,&quot;given&quot;:&quot;M&quot;,&quot;parse-names&quot;:false,&quot;dropping-particle&quot;:&quot;&quot;,&quot;non-dropping-particle&quot;:&quot;&quot;},{&quot;family&quot;:&quot;Öberg&quot;,&quot;given&quot;:&quot;M&quot;,&quot;parse-names&quot;:false,&quot;dropping-particle&quot;:&quot;&quot;,&quot;non-dropping-particle&quot;:&quot;&quot;}],&quot;container-title&quot;:&quot; Journal of Peace Research&quot;,&quot;issued&quot;:{&quot;date-parts&quot;:[[2025]]},&quot;issue&quot;:&quot;4&quot;,&quot;volume&quot;:&quot;62&quot;,&quot;container-title-short&quot;:&quot;&quot;},&quot;isTemporary&quot;:false},{&quot;id&quot;:&quot;8b68729b-b97a-3957-84b1-987f87d86a2a&quot;,&quot;itemData&quot;:{&quot;type&quot;:&quot;article-journal&quot;,&quot;id&quot;:&quot;8b68729b-b97a-3957-84b1-987f87d86a2a&quot;,&quot;title&quot;:&quot;Introducing the UCDP Georeferenced Event Dataset&quot;,&quot;author&quot;:[{&quot;family&quot;:&quot;Sundberg&quot;,&quot;given&quot;:&quot;Ralph&quot;,&quot;parse-names&quot;:false,&quot;dropping-particle&quot;:&quot;&quot;,&quot;non-dropping-particle&quot;:&quot;&quot;},{&quot;family&quot;:&quot;Melander&quot;,&quot;given&quot;:&quot;Erik&quot;,&quot;parse-names&quot;:false,&quot;dropping-particle&quot;:&quot;&quot;,&quot;non-dropping-particle&quot;:&quot;&quot;}],&quot;container-title&quot;:&quot;Journal of Peace Research&quot;,&quot;issued&quot;:{&quot;date-parts&quot;:[[2013]]},&quot;issue&quot;:&quot;4&quot;,&quot;volume&quot;:&quot;50&quot;,&quot;container-title-short&quot;:&quot;J. Peace Res.&quot;},&quot;isTemporary&quot;:false}]},{&quot;citationID&quot;:&quot;MENDELEY_CITATION_c54a4ee9-5404-4b03-953d-dabd0bb67303&quot;,&quot;properties&quot;:{&quot;noteIndex&quot;:0},&quot;isEdited&quot;:false,&quot;manualOverride&quot;:{&quot;isManuallyOverridden&quot;:false,&quot;citeprocText&quot;:&quot;[5]&quot;,&quot;manualOverrideText&quot;:&quot;&quot;},&quot;citationTag&quot;:&quot;MENDELEY_CITATION_v3_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&quot;,&quot;citationItems&quot;:[{&quot;id&quot;:&quot;1e19d60b-d7e1-3a12-8cf2-b7ecb2235aaa&quot;,&quot;itemData&quot;:{&quot;type&quot;:&quot;report&quot;,&quot;id&quot;:&quot;1e19d60b-d7e1-3a12-8cf2-b7ecb2235aaa&quot;,&quot;title&quot;:&quot;Comparing Conflict Data: Similarities and Differences Across Conflict Datasets&quot;,&quot;author&quot;:[{&quot;family&quot;:&quot;Raleigh&quot;,&quot;given&quot;:&quot;C&quot;,&quot;parse-names&quot;:false,&quot;dropping-particle&quot;:&quot;&quot;,&quot;non-dropping-particle&quot;:&quot;&quot;},{&quot;family&quot;:&quot;Kishi&quot;,&quot;given&quot;:&quot;R&quot;,&quot;parse-names&quot;:false,&quot;dropping-particle&quot;:&quot;&quot;,&quot;non-dropping-particle&quot;:&quot;&quot;}],&quot;accessed&quot;:{&quot;date-parts&quot;:[[2025,12,16]]},&quot;URL&quot;:&quot;https://acleddata.com/sites/default/files/wp-content-archive/uploads/2019/09/ACLED-Comparison_8.2019.pdf&quot;,&quot;issued&quot;:{&quot;date-parts&quot;:[[2019,8]]},&quot;container-title-short&quot;:&quot;&quot;},&quot;isTemporary&quot;:false}]},{&quot;citationID&quot;:&quot;MENDELEY_CITATION_5a5092b7-ccaf-405a-b6b4-d6edcff5279d&quot;,&quot;properties&quot;:{&quot;noteIndex&quot;:0},&quot;isEdited&quot;:false,&quot;manualOverride&quot;:{&quot;isManuallyOverridden&quot;:false,&quot;citeprocText&quot;:&quot;[6]&quot;,&quot;manualOverrideText&quot;:&quot;&quot;},&quot;citationTag&quot;:&quot;MENDELEY_CITATION_v3_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&quot;,&quot;citationItems&quot;:[{&quot;id&quot;:&quot;c7a59ab1-e9d5-3ce2-8cb0-e1d41446a582&quot;,&quot;itemData&quot;:{&quot;type&quot;:&quot;webpage&quot;,&quot;id&quot;:&quot;c7a59ab1-e9d5-3ce2-8cb0-e1d41446a582&quot;,&quot;title&quot;:&quot;ACLED | Bringing Clarity to Crisis&quot;,&quot;accessed&quot;:{&quot;date-parts&quot;:[[2020,10,6]]},&quot;URL&quot;:&quot;https://acleddata.com/#/dashboard&quot;,&quot;container-title-short&quot;:&quot;&quot;},&quot;isTemporary&quot;:false}]},{&quot;citationID&quot;:&quot;MENDELEY_CITATION_99789143-b00d-4ef9-943c-5bca5688f3bb&quot;,&quot;properties&quot;:{&quot;noteIndex&quot;:0},&quot;isEdited&quot;:false,&quot;manualOverride&quot;:{&quot;isManuallyOverridden&quot;:false,&quot;citeprocText&quot;:&quot;[7, 8]&quot;,&quot;manualOverrideText&quot;:&quot;&quot;},&quot;citationTag&quot;:&quot;MENDELEY_CITATION_v3_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&quot;,&quot;citationItems&quot;:[{&quot;id&quot;:&quot;2f6f48a7-7391-3088-ace5-3b93455519cd&quot;,&quot;itemData&quot;:{&quot;type&quot;:&quot;book&quot;,&quot;id&quot;:&quot;2f6f48a7-7391-3088-ace5-3b93455519cd&quot;,&quot;title&quot;:&quot;Density Estimation for Statistics and Data Analysis&quot;,&quot;author&quot;:[{&quot;family&quot;:&quot;Silverman&quot;,&quot;given&quot;:&quot;Bernard W.&quot;,&quot;parse-names&quot;:false,&quot;dropping-particle&quot;:&quot;&quot;,&quot;non-dropping-particle&quot;:&quot;&quot;}],&quot;editor&quot;:[{&quot;family&quot;:&quot;Boca Raton&quot;,&quot;given&quot;:&quot;FL&quot;,&quot;parse-names&quot;:false,&quot;dropping-particle&quot;:&quot;&quot;,&quot;non-dropping-particle&quot;:&quot;&quot;}],&quot;issued&quot;:{&quot;date-parts&quot;:[[1998]]},&quot;edition&quot;:&quot;First edition&quot;,&quot;publisher&quot;:&quot;CRC Press&quot;,&quot;container-title-short&quot;:&quot;&quot;},&quot;isTemporary&quot;:false},{&quot;id&quot;:&quot;af488d69-4243-3155-80f0-c218afe9688e&quot;,&quot;itemData&quot;:{&quot;type&quot;:&quot;article-journal&quot;,&quot;id&quot;:&quot;af488d69-4243-3155-80f0-c218afe9688e&quot;,&quot;title&quot;:&quot;A tutorial on kernel density estimation and recent advances&quot;,&quot;author&quot;:[{&quot;family&quot;:&quot;Chen&quot;,&quot;given&quot;:&quot;Yen Chi&quot;,&quot;parse-names&quot;:false,&quot;dropping-particle&quot;:&quot;&quot;,&quot;non-dropping-particle&quot;:&quot;&quot;}],&quot;container-title&quot;:&quot;Biostatistics and Epidemiology&quot;,&quot;accessed&quot;:{&quot;date-parts&quot;:[[2025,12,16]]},&quot;DOI&quot;:&quot;10.1080/24709360.2017.1396742;REQUESTEDJOURNAL:JOURNAL:TBEP20;WGROUP:STRING:PUBLICATION&quot;,&quot;ISSN&quot;:&quot;24709379&quot;,&quot;URL&quot;:&quot;https://www-tandfonline-com.myaccess.library.utoronto.ca/doi/pdf/10.1080/24709360.2017.1396742&quot;,&quot;issued&quot;:{&quot;date-parts&quot;:[[2017,1,1]]},&quot;page&quot;:&quot;161-187&quot;,&quot;abstract&quot;:&quot;This tutorial provides a gentle introduction to kernel density estimation (KDE) and recent advances regarding confidence bands and geometric/topological features. We begin with a discussion of basic properties of KDE: the convergence rate under various metrics, density derivative estimation, and bandwidth selection. Then, we introduce common approaches to the construction of confidence intervals/bands, and we discuss how to handle bias. Next, we talk about recent advances in the inference of geometric and topological features of a density function using KDE. Finally, we illustrate how one can use KDE to estimate a cumulative distribution function and a receiver operating characteristic curve. We provide R implementations related to this tutorial at the end.&quot;,&quot;publisher&quot;:&quot;Taylor and Francis Ltd.&quot;,&quot;issue&quot;:&quot;1&quot;,&quot;volume&quot;:&quot;1&quot;,&quot;container-title-short&quot;:&quot;Biostat. Epidemiol.&quot;},&quot;isTemporary&quot;:false}]},{&quot;citationID&quot;:&quot;MENDELEY_CITATION_e9ca254f-092c-4f7b-8f9b-70cc8bb28515&quot;,&quot;properties&quot;:{&quot;noteIndex&quot;:0},&quot;isEdited&quot;:false,&quot;manualOverride&quot;:{&quot;isManuallyOverridden&quot;:false,&quot;citeprocText&quot;:&quot;[9]&quot;,&quot;manualOverrideText&quot;:&quot;&quot;},&quot;citationTag&quot;:&quot;MENDELEY_CITATION_v3_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&quot;,&quot;citationItems&quot;:[{&quot;id&quot;:&quot;fefe3204-e85d-34b2-8672-ca070844ee43&quot;,&quot;itemData&quot;:{&quot;type&quot;:&quot;book&quot;,&quot;id&quot;:&quot;fefe3204-e85d-34b2-8672-ca070844ee43&quot;,&quot;title&quot;:&quot;Spatial statistics for data science : theory and practice with R&quot;,&quot;author&quot;:[{&quot;family&quot;:&quot;Moraga&quot;,&quot;given&quot;:&quot;Paula.&quot;,&quot;parse-names&quot;:false,&quot;dropping-particle&quot;:&quot;&quot;,&quot;non-dropping-particle&quot;:&quot;&quot;}],&quot;ISBN&quot;:&quot;9781032633510&quot;,&quot;issued&quot;:{&quot;date-parts&quot;:[[2024]]},&quot;number-of-pages&quot;:&quot;279&quot;,&quot;abstract&quot;:&quot;First edition. \&quot;Spatial data is crucial to improve decision-making in a wide range of fields including environment, health, ecology, urban planning, economy, and society. Spatial Statistics for Data Science: Theory and Practice with R describes statistical methods, modeling approaches, and visualization techniques to analyze spatial data using R. The book provides a comprehensive overview of the varying types of spatial data, and detailed explanations of the theoretical concepts of spatial statistics, alongside fully reproducible examples which demonstrate how to simulate, describe, and analyze spatial data in various applications. Combining theory and practice, the book includes real-world data science examples such as disease risk mapping, air pollution prediction, species distribution modeling, crime mapping, and real state analyses. The book utilizes publicly available data and offers clear explanations of the R code for importing, manipulating, analyzing, and visualizing data, as well as the interpretation of the results. This ensures contents are easily accessible and fully reproducible for students, researchers, and practitioners\&quot;-- Provided by publisher. &quot;,&quot;publisher&quot;:&quot;CRC Press&quot;,&quot;container-title-short&quot;:&quot;&quot;},&quot;isTemporary&quot;:false}]},{&quot;citationID&quot;:&quot;MENDELEY_CITATION_d9f0edaf-a2ac-4b18-9d53-80bdc33f5d2a&quot;,&quot;properties&quot;:{&quot;noteIndex&quot;:0},&quot;isEdited&quot;:false,&quot;manualOverride&quot;:{&quot;isManuallyOverridden&quot;:false,&quot;citeprocText&quot;:&quot;[7]&quot;,&quot;manualOverrideText&quot;:&quot;&quot;},&quot;citationTag&quot;:&quot;MENDELEY_CITATION_v3_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&quot;,&quot;citationItems&quot;:[{&quot;id&quot;:&quot;2f6f48a7-7391-3088-ace5-3b93455519cd&quot;,&quot;itemData&quot;:{&quot;type&quot;:&quot;book&quot;,&quot;id&quot;:&quot;2f6f48a7-7391-3088-ace5-3b93455519cd&quot;,&quot;title&quot;:&quot;Density Estimation for Statistics and Data Analysis&quot;,&quot;author&quot;:[{&quot;family&quot;:&quot;Silverman&quot;,&quot;given&quot;:&quot;Bernard W.&quot;,&quot;parse-names&quot;:false,&quot;dropping-particle&quot;:&quot;&quot;,&quot;non-dropping-particle&quot;:&quot;&quot;}],&quot;editor&quot;:[{&quot;family&quot;:&quot;Boca Raton&quot;,&quot;given&quot;:&quot;FL&quot;,&quot;parse-names&quot;:false,&quot;dropping-particle&quot;:&quot;&quot;,&quot;non-dropping-particle&quot;:&quot;&quot;}],&quot;issued&quot;:{&quot;date-parts&quot;:[[1998]]},&quot;edition&quot;:&quot;First edition&quot;,&quot;publisher&quot;:&quot;CRC Press&quot;,&quot;container-title-short&quot;:&quot;&quot;},&quot;isTemporary&quot;:false}]},{&quot;citationID&quot;:&quot;MENDELEY_CITATION_0c590925-a9b4-464b-8ad2-4eba46cff045&quot;,&quot;properties&quot;:{&quot;noteIndex&quot;:0},&quot;isEdited&quot;:false,&quot;manualOverride&quot;:{&quot;isManuallyOverridden&quot;:false,&quot;citeprocText&quot;:&quot;[10]&quot;,&quot;manualOverrideText&quot;:&quot;&quot;},&quot;citationTag&quot;:&quot;MENDELEY_CITATION_v3_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&quot;,&quot;citationItems&quot;:[{&quot;id&quot;:&quot;724f131f-5929-314a-aabc-ed1099843b3b&quot;,&quot;itemData&quot;:{&quot;type&quot;:&quot;article-journal&quot;,&quot;id&quot;:&quot;724f131f-5929-314a-aabc-ed1099843b3b&quot;,&quot;title&quot;:&quot;Tutorial on kernel estimation of continuous spatial and spatiotemporal relative risk&quot;,&quot;author&quot;:[{&quot;family&quot;:&quot;Davies&quot;,&quot;given&quot;:&quot;Tilman M.&quot;,&quot;parse-names&quot;:false,&quot;dropping-particle&quot;:&quot;&quot;,&quot;non-dropping-particle&quot;:&quot;&quot;},{&quot;family&quot;:&quot;Marshall&quot;,&quot;given&quot;:&quot;Jonathan C.&quot;,&quot;parse-names&quot;:false,&quot;dropping-particle&quot;:&quot;&quot;,&quot;non-dropping-particle&quot;:&quot;&quot;},{&quot;family&quot;:&quot;Hazelton&quot;,&quot;given&quot;:&quot;Martin L.&quot;,&quot;parse-names&quot;:false,&quot;dropping-particle&quot;:&quot;&quot;,&quot;non-dropping-particle&quot;:&quot;&quot;}],&quot;container-title&quot;:&quot;Statistics in Medicine&quot;,&quot;accessed&quot;:{&quot;date-parts&quot;:[[2025,3,25]]},&quot;DOI&quot;:&quot;10.1002/SIM.7577&quot;,&quot;ISBN&quot;:&quot;3603804004204&quot;,&quot;ISSN&quot;:&quot;1097-0258&quot;,&quot;PMID&quot;:&quot;29226352&quot;,&quot;URL&quot;:&quot;https://onlinelibrary-wiley-com.myaccess.library.utoronto.ca/doi/full/10.1002/sim.7577&quot;,&quot;issued&quot;:{&quot;date-parts&quot;:[[2018,3,30]]},&quot;page&quot;:&quot;1191-1221&quot;,&quot;abstract&quot;:&quot;Kernel smoothing is a highly flexible and popular approach for estimation of probability density and intensity functions of continuous spatial data. In this role, it also forms an integral part of estimation of functionals such as the density-ratio or “relative risk” surface. Originally developed with the epidemiological motivation of examining fluctuations in disease risk based on samples of cases and controls collected over a given geographical region, such functions have also been successfully used across a diverse range of disciplines where a relative comparison of spatial density functions has been of interest. This versatility has demanded ongoing developments and improvements to the relevant methodology, including use spatially adaptive smoothers; tests of significantly elevated risk based on asymptotic theory; extension to the spatiotemporal domain; and novel computational methods for their evaluation. In this tutorial paper, we review the current methodology, including the most recent developments in estimation, computation, and inference. All techniques are implemented in the new software package sparr, publicly available for the R language, and we illustrate its use with a pair of epidemiological examples.&quot;,&quot;publisher&quot;:&quot;John Wiley &amp; Sons, Ltd&quot;,&quot;issue&quot;:&quot;7&quot;,&quot;volume&quot;:&quot;37&quot;,&quot;container-title-short&quot;:&quot;Stat. Med.&quot;},&quot;isTemporary&quot;:false}]},{&quot;citationID&quot;:&quot;MENDELEY_CITATION_9bdde362-4ecd-4e22-ad92-205c17010c8f&quot;,&quot;properties&quot;:{&quot;noteIndex&quot;:0},&quot;isEdited&quot;:false,&quot;manualOverride&quot;:{&quot;isManuallyOverridden&quot;:false,&quot;citeprocText&quot;:&quot;[10]&quot;,&quot;manualOverrideText&quot;:&quot;&quot;},&quot;citationTag&quot;:&quot;MENDELEY_CITATION_v3_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&quot;,&quot;citationItems&quot;:[{&quot;id&quot;:&quot;724f131f-5929-314a-aabc-ed1099843b3b&quot;,&quot;itemData&quot;:{&quot;type&quot;:&quot;article-journal&quot;,&quot;id&quot;:&quot;724f131f-5929-314a-aabc-ed1099843b3b&quot;,&quot;title&quot;:&quot;Tutorial on kernel estimation of continuous spatial and spatiotemporal relative risk&quot;,&quot;author&quot;:[{&quot;family&quot;:&quot;Davies&quot;,&quot;given&quot;:&quot;Tilman M.&quot;,&quot;parse-names&quot;:false,&quot;dropping-particle&quot;:&quot;&quot;,&quot;non-dropping-particle&quot;:&quot;&quot;},{&quot;family&quot;:&quot;Marshall&quot;,&quot;given&quot;:&quot;Jonathan C.&quot;,&quot;parse-names&quot;:false,&quot;dropping-particle&quot;:&quot;&quot;,&quot;non-dropping-particle&quot;:&quot;&quot;},{&quot;family&quot;:&quot;Hazelton&quot;,&quot;given&quot;:&quot;Martin L.&quot;,&quot;parse-names&quot;:false,&quot;dropping-particle&quot;:&quot;&quot;,&quot;non-dropping-particle&quot;:&quot;&quot;}],&quot;container-title&quot;:&quot;Statistics in Medicine&quot;,&quot;accessed&quot;:{&quot;date-parts&quot;:[[2025,3,25]]},&quot;DOI&quot;:&quot;10.1002/SIM.7577&quot;,&quot;ISBN&quot;:&quot;3603804004204&quot;,&quot;ISSN&quot;:&quot;1097-0258&quot;,&quot;PMID&quot;:&quot;29226352&quot;,&quot;URL&quot;:&quot;https://onlinelibrary-wiley-com.myaccess.library.utoronto.ca/doi/full/10.1002/sim.7577&quot;,&quot;issued&quot;:{&quot;date-parts&quot;:[[2018,3,30]]},&quot;page&quot;:&quot;1191-1221&quot;,&quot;abstract&quot;:&quot;Kernel smoothing is a highly flexible and popular approach for estimation of probability density and intensity functions of continuous spatial data. In this role, it also forms an integral part of estimation of functionals such as the density-ratio or “relative risk” surface. Originally developed with the epidemiological motivation of examining fluctuations in disease risk based on samples of cases and controls collected over a given geographical region, such functions have also been successfully used across a diverse range of disciplines where a relative comparison of spatial density functions has been of interest. This versatility has demanded ongoing developments and improvements to the relevant methodology, including use spatially adaptive smoothers; tests of significantly elevated risk based on asymptotic theory; extension to the spatiotemporal domain; and novel computational methods for their evaluation. In this tutorial paper, we review the current methodology, including the most recent developments in estimation, computation, and inference. All techniques are implemented in the new software package sparr, publicly available for the R language, and we illustrate its use with a pair of epidemiological examples.&quot;,&quot;publisher&quot;:&quot;John Wiley &amp; Sons, Ltd&quot;,&quot;issue&quot;:&quot;7&quot;,&quot;volume&quot;:&quot;37&quot;,&quot;container-title-short&quot;:&quot;Stat. Med.&quot;},&quot;isTemporary&quot;:false}]},{&quot;citationID&quot;:&quot;MENDELEY_CITATION_4c65b2b7-0445-4248-8435-d0972ae7178b&quot;,&quot;properties&quot;:{&quot;noteIndex&quot;:0},&quot;isEdited&quot;:false,&quot;manualOverride&quot;:{&quot;isManuallyOverridden&quot;:false,&quot;citeprocText&quot;:&quot;[10]&quot;,&quot;manualOverrideText&quot;:&quot;&quot;},&quot;citationTag&quot;:&quot;MENDELEY_CITATION_v3_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&quot;,&quot;citationItems&quot;:[{&quot;id&quot;:&quot;724f131f-5929-314a-aabc-ed1099843b3b&quot;,&quot;itemData&quot;:{&quot;type&quot;:&quot;article-journal&quot;,&quot;id&quot;:&quot;724f131f-5929-314a-aabc-ed1099843b3b&quot;,&quot;title&quot;:&quot;Tutorial on kernel estimation of continuous spatial and spatiotemporal relative risk&quot;,&quot;author&quot;:[{&quot;family&quot;:&quot;Davies&quot;,&quot;given&quot;:&quot;Tilman M.&quot;,&quot;parse-names&quot;:false,&quot;dropping-particle&quot;:&quot;&quot;,&quot;non-dropping-particle&quot;:&quot;&quot;},{&quot;family&quot;:&quot;Marshall&quot;,&quot;given&quot;:&quot;Jonathan C.&quot;,&quot;parse-names&quot;:false,&quot;dropping-particle&quot;:&quot;&quot;,&quot;non-dropping-particle&quot;:&quot;&quot;},{&quot;family&quot;:&quot;Hazelton&quot;,&quot;given&quot;:&quot;Martin L.&quot;,&quot;parse-names&quot;:false,&quot;dropping-particle&quot;:&quot;&quot;,&quot;non-dropping-particle&quot;:&quot;&quot;}],&quot;container-title&quot;:&quot;Statistics in Medicine&quot;,&quot;container-title-short&quot;:&quot;Stat. Med.&quot;,&quot;accessed&quot;:{&quot;date-parts&quot;:[[2025,3,25]]},&quot;DOI&quot;:&quot;10.1002/SIM.7577&quot;,&quot;ISBN&quot;:&quot;3603804004204&quot;,&quot;ISSN&quot;:&quot;1097-0258&quot;,&quot;PMID&quot;:&quot;29226352&quot;,&quot;URL&quot;:&quot;https://onlinelibrary-wiley-com.myaccess.library.utoronto.ca/doi/full/10.1002/sim.7577&quot;,&quot;issued&quot;:{&quot;date-parts&quot;:[[2018,3,30]]},&quot;page&quot;:&quot;1191-1221&quot;,&quot;abstract&quot;:&quot;Kernel smoothing is a highly flexible and popular approach for estimation of probability density and intensity functions of continuous spatial data. In this role, it also forms an integral part of estimation of functionals such as the density-ratio or “relative risk” surface. Originally developed with the epidemiological motivation of examining fluctuations in disease risk based on samples of cases and controls collected over a given geographical region, such functions have also been successfully used across a diverse range of disciplines where a relative comparison of spatial density functions has been of interest. This versatility has demanded ongoing developments and improvements to the relevant methodology, including use spatially adaptive smoothers; tests of significantly elevated risk based on asymptotic theory; extension to the spatiotemporal domain; and novel computational methods for their evaluation. In this tutorial paper, we review the current methodology, including the most recent developments in estimation, computation, and inference. All techniques are implemented in the new software package sparr, publicly available for the R language, and we illustrate its use with a pair of epidemiological examples.&quot;,&quot;publisher&quot;:&quot;John Wiley &amp; Sons, Ltd&quot;,&quot;issue&quot;:&quot;7&quot;,&quot;volume&quot;:&quot;37&quot;},&quot;isTemporary&quot;:false}]},{&quot;citationID&quot;:&quot;MENDELEY_CITATION_c08a75f1-1b01-4476-88d7-1b45a4e19e99&quot;,&quot;properties&quot;:{&quot;noteIndex&quot;:0},&quot;isEdited&quot;:false,&quot;manualOverride&quot;:{&quot;isManuallyOverridden&quot;:false,&quot;citeprocText&quot;:&quot;[11]&quot;,&quot;manualOverrideText&quot;:&quot;&quot;},&quot;citationTag&quot;:&quot;MENDELEY_CITATION_v3_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&quot;,&quot;citationItems&quot;:[{&quot;id&quot;:&quot;e94142ba-f25b-355e-96d7-1d5ba5758911&quot;,&quot;itemData&quot;:{&quot;type&quot;:&quot;report&quot;,&quot;id&quot;:&quot;e94142ba-f25b-355e-96d7-1d5ba5758911&quot;,&quot;title&quot;:&quot;Résumé des résultats: Enquête d’Afrobarometer Round 10 au Mali, 2024&quot;,&quot;author&quot;:[{&quot;family&quot;:&quot;Groupe de Recherche en Economie Appliquée et Théorique (GREAT)&quot;,&quot;given&quot;:&quot;&quot;,&quot;parse-names&quot;:false,&quot;dropping-particle&quot;:&quot;&quot;,&quot;non-dropping-particle&quot;:&quot;&quot;}],&quot;accessed&quot;:{&quot;date-parts&quot;:[[2026,4,25]]},&quot;URL&quot;:&quot;https://www.afrobarometer.org/wp-content/uploads/2025/06/MLI_R10_Resume-des-resultats-22juin25-1.pdf&quot;,&quot;issued&quot;:{&quot;date-parts&quot;:[[2025,6,14]]},&quot;container-title-short&quot;:&quot;&quot;},&quot;isTemporary&quot;:false}]},{&quot;citationID&quot;:&quot;MENDELEY_CITATION_1eaf704f-217b-4a67-abc1-6e89f9326f36&quot;,&quot;properties&quot;:{&quot;noteIndex&quot;:0},&quot;isEdited&quot;:false,&quot;manualOverride&quot;:{&quot;isManuallyOverridden&quot;:false,&quot;citeprocText&quot;:&quot;[11, 12]&quot;,&quot;manualOverrideText&quot;:&quot;&quot;},&quot;citationTag&quot;:&quot;MENDELEY_CITATION_v3_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&quot;,&quot;citationItems&quot;:[{&quot;id&quot;:&quot;e94142ba-f25b-355e-96d7-1d5ba5758911&quot;,&quot;itemData&quot;:{&quot;type&quot;:&quot;report&quot;,&quot;id&quot;:&quot;e94142ba-f25b-355e-96d7-1d5ba5758911&quot;,&quot;title&quot;:&quot;Résumé des résultats: Enquête d’Afrobarometer Round 10 au Mali, 2024&quot;,&quot;author&quot;:[{&quot;family&quot;:&quot;Groupe de Recherche en Economie Appliquée et Théorique (GREAT)&quot;,&quot;given&quot;:&quot;&quot;,&quot;parse-names&quot;:false,&quot;dropping-particle&quot;:&quot;&quot;,&quot;non-dropping-particle&quot;:&quot;&quot;}],&quot;accessed&quot;:{&quot;date-parts&quot;:[[2026,4,25]]},&quot;URL&quot;:&quot;https://www.afrobarometer.org/wp-content/uploads/2025/06/MLI_R10_Resume-des-resultats-22juin25-1.pdf&quot;,&quot;issued&quot;:{&quot;date-parts&quot;:[[2025,6,14]]},&quot;container-title-short&quot;:&quot;&quot;},&quot;isTemporary&quot;:false},{&quot;id&quot;:&quot;0de35762-3b09-3a22-88f6-874e92f68d06&quot;,&quot;itemData&quot;:{&quot;type&quot;:&quot;article-newspaper&quot;,&quot;id&quot;:&quot;0de35762-3b09-3a22-88f6-874e92f68d06&quot;,&quot;title&quot;:&quot;La majorité des Maliens se sentent en insécurité, tout en reconnaissant les efforts du gouvernement en matière de sécurité – Afrobarometer&quot;,&quot;author&quot;:[{&quot;family&quot;:&quot;AfroBarometer&quot;,&quot;given&quot;:&quot;&quot;,&quot;parse-names&quot;:false,&quot;dropping-particle&quot;:&quot;&quot;,&quot;non-dropping-particle&quot;:&quot;&quot;}],&quot;accessed&quot;:{&quot;date-parts&quot;:[[2026,4,25]]},&quot;URL&quot;:&quot;https://www.afrobarometer.org/articles/la-majorite-des-maliens-se-sentent-en-insecurite-tout-en-reconnaissant-les-efforts-du-gouvernement-en-matiere-de-securite/&quot;,&quot;issued&quot;:{&quot;date-parts&quot;:[[2025,4,7]]}},&quot;isTemporary&quot;:false}]},{&quot;citationID&quot;:&quot;MENDELEY_CITATION_d305f5b3-19c0-4240-bd62-7a9d4c7adc7d&quot;,&quot;properties&quot;:{&quot;noteIndex&quot;:0},&quot;isEdited&quot;:false,&quot;manualOverride&quot;:{&quot;isManuallyOverridden&quot;:false,&quot;citeprocText&quot;:&quot;[13]&quot;,&quot;manualOverrideText&quot;:&quot;&quot;},&quot;citationTag&quot;:&quot;MENDELEY_CITATION_v3_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&quot;,&quot;citationItems&quot;:[{&quot;id&quot;:&quot;888d8459-a1e7-3386-8181-996efb8e40d5&quot;,&quot;itemData&quot;:{&quot;type&quot;:&quot;article-journal&quot;,&quot;id&quot;:&quot;888d8459-a1e7-3386-8181-996efb8e40d5&quot;,&quot;title&quot;:&quot;The cost of fear: Impact of violence risk on child health during conflict&quot;,&quot;author&quot;:[{&quot;family&quot;:&quot;Tapsoba&quot;,&quot;given&quot;:&quot;Augustin&quot;,&quot;parse-names&quot;:false,&quot;dropping-particle&quot;:&quot;&quot;,&quot;non-dropping-particle&quot;:&quot;&quot;}],&quot;container-title&quot;:&quot;Journal of Development Economics&quot;,&quot;accessed&quot;:{&quot;date-parts&quot;:[[2025,2,26]]},&quot;DOI&quot;:&quot;10.1016/J.JDEVECO.2022.102975&quot;,&quot;ISSN&quot;:&quot;0304-3878&quot;,&quot;issued&quot;:{&quot;date-parts&quot;:[[2023,1,1]]},&quot;page&quot;:&quot;102975&quot;,&quot;abstract&quot;:&quot;The fear of exposure to conflict events often triggers changes in the behavior of economic agents even before/without any manifestation of violence in a given area. It generates a treatment status (exposure to the adverse effects of conflict) that goes beyond violence incidence. This paper develops a new approach to capture such treatment. Violence is modeled as a space–time stochastic process with an unknown underlying distribution that is backed out of the observed pattern of conflict events. A new risk measure is built from this density and used to evaluate the impact of conflict on child health using data from Ivory Coast and Uganda. The empirical evidence suggests that conflict is a local public bad, with cohorts of children exposed to high risk of violence equally suffering major health setbacks even when this risk does not materialize in violent events around them.&quot;,&quot;publisher&quot;:&quot;North-Holland&quot;,&quot;volume&quot;:&quot;160&quot;,&quot;container-title-short&quot;:&quot;J. Dev. Econ.&quot;},&quot;isTemporary&quot;:false}]},{&quot;citationID&quot;:&quot;MENDELEY_CITATION_7e5e1c27-893a-4c22-85c4-b9bc5f5cb41e&quot;,&quot;properties&quot;:{&quot;noteIndex&quot;:0},&quot;isEdited&quot;:false,&quot;manualOverride&quot;:{&quot;isManuallyOverridden&quot;:false,&quot;citeprocText&quot;:&quot;[13]&quot;,&quot;manualOverrideText&quot;:&quot;&quot;},&quot;citationTag&quot;:&quot;MENDELEY_CITATION_v3_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&quot;,&quot;citationItems&quot;:[{&quot;id&quot;:&quot;888d8459-a1e7-3386-8181-996efb8e40d5&quot;,&quot;itemData&quot;:{&quot;type&quot;:&quot;article-journal&quot;,&quot;id&quot;:&quot;888d8459-a1e7-3386-8181-996efb8e40d5&quot;,&quot;title&quot;:&quot;The cost of fear: Impact of violence risk on child health during conflict&quot;,&quot;author&quot;:[{&quot;family&quot;:&quot;Tapsoba&quot;,&quot;given&quot;:&quot;Augustin&quot;,&quot;parse-names&quot;:false,&quot;dropping-particle&quot;:&quot;&quot;,&quot;non-dropping-particle&quot;:&quot;&quot;}],&quot;container-title&quot;:&quot;Journal of Development Economics&quot;,&quot;accessed&quot;:{&quot;date-parts&quot;:[[2025,2,26]]},&quot;DOI&quot;:&quot;10.1016/J.JDEVECO.2022.102975&quot;,&quot;ISSN&quot;:&quot;0304-3878&quot;,&quot;issued&quot;:{&quot;date-parts&quot;:[[2023,1,1]]},&quot;page&quot;:&quot;102975&quot;,&quot;abstract&quot;:&quot;The fear of exposure to conflict events often triggers changes in the behavior of economic agents even before/without any manifestation of violence in a given area. It generates a treatment status (exposure to the adverse effects of conflict) that goes beyond violence incidence. This paper develops a new approach to capture such treatment. Violence is modeled as a space–time stochastic process with an unknown underlying distribution that is backed out of the observed pattern of conflict events. A new risk measure is built from this density and used to evaluate the impact of conflict on child health using data from Ivory Coast and Uganda. The empirical evidence suggests that conflict is a local public bad, with cohorts of children exposed to high risk of violence equally suffering major health setbacks even when this risk does not materialize in violent events around them.&quot;,&quot;publisher&quot;:&quot;North-Holland&quot;,&quot;volume&quot;:&quot;160&quot;,&quot;container-title-short&quot;:&quot;J. Dev. Econ.&quot;},&quot;isTemporary&quot;:false}]},{&quot;citationID&quot;:&quot;MENDELEY_CITATION_a57462b2-2e11-46ac-aa37-6ed9c5baa408&quot;,&quot;properties&quot;:{&quot;noteIndex&quot;:0},&quot;isEdited&quot;:false,&quot;manualOverride&quot;:{&quot;isManuallyOverridden&quot;:false,&quot;citeprocText&quot;:&quot;[9, 14]&quot;,&quot;manualOverrideText&quot;:&quot;&quot;},&quot;citationTag&quot;:&quot;MENDELEY_CITATION_v3_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&quot;,&quot;citationItems&quot;:[{&quot;id&quot;:&quot;fefe3204-e85d-34b2-8672-ca070844ee43&quot;,&quot;itemData&quot;:{&quot;type&quot;:&quot;book&quot;,&quot;id&quot;:&quot;fefe3204-e85d-34b2-8672-ca070844ee43&quot;,&quot;title&quot;:&quot;Spatial statistics for data science : theory and practice with R&quot;,&quot;author&quot;:[{&quot;family&quot;:&quot;Moraga&quot;,&quot;given&quot;:&quot;Paula.&quot;,&quot;parse-names&quot;:false,&quot;dropping-particle&quot;:&quot;&quot;,&quot;non-dropping-particle&quot;:&quot;&quot;}],&quot;ISBN&quot;:&quot;9781032633510&quot;,&quot;issued&quot;:{&quot;date-parts&quot;:[[2024]]},&quot;number-of-pages&quot;:&quot;279&quot;,&quot;abstract&quot;:&quot;First edition. \&quot;Spatial data is crucial to improve decision-making in a wide range of fields including environment, health, ecology, urban planning, economy, and society. Spatial Statistics for Data Science: Theory and Practice with R describes statistical methods, modeling approaches, and visualization techniques to analyze spatial data using R. The book provides a comprehensive overview of the varying types of spatial data, and detailed explanations of the theoretical concepts of spatial statistics, alongside fully reproducible examples which demonstrate how to simulate, describe, and analyze spatial data in various applications. Combining theory and practice, the book includes real-world data science examples such as disease risk mapping, air pollution prediction, species distribution modeling, crime mapping, and real state analyses. The book utilizes publicly available data and offers clear explanations of the R code for importing, manipulating, analyzing, and visualizing data, as well as the interpretation of the results. This ensures contents are easily accessible and fully reproducible for students, researchers, and practitioners\&quot;-- Provided by publisher. &quot;,&quot;publisher&quot;:&quot;CRC Press&quot;,&quot;container-title-short&quot;:&quot;&quot;},&quot;isTemporary&quot;:false},{&quot;id&quot;:&quot;83b665e6-71f6-33ac-8b40-da48bc0391c5&quot;,&quot;itemData&quot;:{&quot;type&quot;:&quot;book&quot;,&quot;id&quot;:&quot;83b665e6-71f6-33ac-8b40-da48bc0391c5&quot;,&quot;title&quot;:&quot;Statistical Analysis of Spatial and Spatio-Temporal Point Patterns&quot;,&quot;author&quot;:[{&quot;family&quot;:&quot;Diggle&quot;,&quot;given&quot;:&quot;P J&quot;,&quot;parse-names&quot;:false,&quot;dropping-particle&quot;:&quot;&quot;,&quot;non-dropping-particle&quot;:&quot;&quot;}],&quot;DOI&quot;:&quot;10.1201/b15326&quot;,&quot;ISBN&quot;:&quot;9780429098093&quot;,&quot;URL&quot;:&quot;https://doi-org.myaccess.library.utoronto.ca/10.1201/b15326&quot;,&quot;issued&quot;:{&quot;date-parts&quot;:[[2013]]},&quot;language&quot;:&quot;English&quot;,&quot;edition&quot;:&quot;3&quot;,&quot;publisher&quot;:&quot;Chapman and Hall/CRC&quot;,&quot;container-title-short&quot;:&quot;&quot;},&quot;isTemporary&quot;:false}]},{&quot;citationID&quot;:&quot;MENDELEY_CITATION_1b07e191-1ecc-415a-bcd0-4141fcd6073f&quot;,&quot;properties&quot;:{&quot;noteIndex&quot;:0},&quot;isEdited&quot;:false,&quot;manualOverride&quot;:{&quot;isManuallyOverridden&quot;:false,&quot;citeprocText&quot;:&quot;[14]&quot;,&quot;manualOverrideText&quot;:&quot;&quot;},&quot;citationTag&quot;:&quot;MENDELEY_CITATION_v3_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&quot;,&quot;citationItems&quot;:[{&quot;id&quot;:&quot;83b665e6-71f6-33ac-8b40-da48bc0391c5&quot;,&quot;itemData&quot;:{&quot;type&quot;:&quot;book&quot;,&quot;id&quot;:&quot;83b665e6-71f6-33ac-8b40-da48bc0391c5&quot;,&quot;title&quot;:&quot;Statistical Analysis of Spatial and Spatio-Temporal Point Patterns&quot;,&quot;author&quot;:[{&quot;family&quot;:&quot;Diggle&quot;,&quot;given&quot;:&quot;P J&quot;,&quot;parse-names&quot;:false,&quot;dropping-particle&quot;:&quot;&quot;,&quot;non-dropping-particle&quot;:&quot;&quot;}],&quot;DOI&quot;:&quot;10.1201/b15326&quot;,&quot;ISBN&quot;:&quot;9780429098093&quot;,&quot;URL&quot;:&quot;https://doi-org.myaccess.library.utoronto.ca/10.1201/b15326&quot;,&quot;issued&quot;:{&quot;date-parts&quot;:[[2013]]},&quot;language&quot;:&quot;English&quot;,&quot;edition&quot;:&quot;3&quot;,&quot;publisher&quot;:&quot;Chapman and Hall/CRC&quot;,&quot;container-title-short&quot;:&quot;&quot;},&quot;isTemporary&quot;:false}]},{&quot;citationID&quot;:&quot;MENDELEY_CITATION_3750164a-357e-46e0-a423-a7efc35a6eb1&quot;,&quot;properties&quot;:{&quot;noteIndex&quot;:0},&quot;isEdited&quot;:false,&quot;manualOverride&quot;:{&quot;isManuallyOverridden&quot;:false,&quot;citeprocText&quot;:&quot;[15]&quot;,&quot;manualOverrideText&quot;:&quot;&quot;},&quot;citationTag&quot;:&quot;MENDELEY_CITATION_v3_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&quot;,&quot;citationItems&quot;:[{&quot;id&quot;:&quot;7c724687-38b8-30bf-b621-4b99d3478127&quot;,&quot;itemData&quot;:{&quot;type&quot;:&quot;article-journal&quot;,&quot;id&quot;:&quot;7c724687-38b8-30bf-b621-4b99d3478127&quot;,&quot;title&quot;:&quot;A spatio-temporal kernel density estimation framework for predictive crime hotspot mapping and evaluation&quot;,&quot;author&quot;:[{&quot;family&quot;:&quot;Hu&quot;,&quot;given&quot;:&quot;Yujie&quot;,&quot;parse-names&quot;:false,&quot;dropping-particle&quot;:&quot;&quot;,&quot;non-dropping-particle&quot;:&quot;&quot;},{&quot;family&quot;:&quot;Wang&quot;,&quot;given&quot;:&quot;Fahui&quot;,&quot;parse-names&quot;:false,&quot;dropping-particle&quot;:&quot;&quot;,&quot;non-dropping-particle&quot;:&quot;&quot;},{&quot;family&quot;:&quot;Guin&quot;,&quot;given&quot;:&quot;Cecile&quot;,&quot;parse-names&quot;:false,&quot;dropping-particle&quot;:&quot;&quot;,&quot;non-dropping-particle&quot;:&quot;&quot;},{&quot;family&quot;:&quot;Zhu&quot;,&quot;given&quot;:&quot;Haojie&quot;,&quot;parse-names&quot;:false,&quot;dropping-particle&quot;:&quot;&quot;,&quot;non-dropping-particle&quot;:&quot;&quot;}],&quot;container-title&quot;:&quot;Applied Geography&quot;,&quot;accessed&quot;:{&quot;date-parts&quot;:[[2026,1,16]]},&quot;DOI&quot;:&quot;10.1016/J.APGEOG.2018.08.001&quot;,&quot;ISSN&quot;:&quot;0143-6228&quot;,&quot;URL&quot;:&quot;https://www-sciencedirect-com.myaccess.library.utoronto.ca/science/article/pii/S0143622818300560&quot;,&quot;issued&quot;:{&quot;date-parts&quot;:[[2018,10,1]]},&quot;page&quot;:&quot;89-97&quot;,&quot;abstract&quot;:&quot;Predictive hotspot mapping plays a critical role in hotspot policing. Existing methods such as the popular kernel density estimation (KDE) do not consider the temporal dimension of crime. Building upon recent works in related fields, this article proposes a spatio-temporal framework for predictive hotspot mapping and evaluation. Comparing to existing work in this scope, the proposed framework has four major features: (1) a spatio-temporal kernel density estimation (STKDE) method is applied to include the temporal component in predictive hotspot mapping, (2) a data-driven optimization technique, the likelihood cross-validation, is used to select the most appropriate bandwidths, (3) a statistical significance test is designed to filter out false positives in the density estimates, and (4) a new metric, the predictive accuracy index (PAI) curve, is proposed to evaluate predictive hotspots at multiple areal scales. The framework is illustrated in a case study of residential burglaries in Baton Rouge, Louisiana in 2011, and the results validate its utility.&quot;,&quot;publisher&quot;:&quot;Pergamon&quot;,&quot;volume&quot;:&quot;99&quot;,&quot;container-title-short&quot;:&quot;&quot;},&quot;isTemporary&quot;:false}]}]"/>
    <we:property name="MENDELEY_CITATIONS_LOCALE_CODE" value="&quot;en-US&quot;"/>
    <we:property name="MENDELEY_CITATIONS_STYLE" value="{&quot;id&quot;:&quot;https://www.zotero.org/styles/bmc-health-services-research&quot;,&quot;title&quot;:&quot;BMC Health Services Research&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A034E-5CC4-EC49-AF11-43F318A1A2A5}">
  <ds:schemaRefs>
    <ds:schemaRef ds:uri="http://schemas.openxmlformats.org/officeDocument/2006/bibliography"/>
  </ds:schemaRefs>
</ds:datastoreItem>
</file>

<file path=docMetadata/LabelInfo.xml><?xml version="1.0" encoding="utf-8"?>
<clbl:labelList xmlns:clbl="http://schemas.microsoft.com/office/2020/mipLabelMetadata">
  <clbl:label id="{78aac226-2f03-4b4d-9037-b46d56c55210}" enabled="0" method="" siteId="{78aac226-2f03-4b4d-9037-b46d56c55210}"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28</Pages>
  <Words>3158</Words>
  <Characters>18006</Characters>
  <Application>Microsoft Office Word</Application>
  <DocSecurity>0</DocSecurity>
  <Lines>150</Lines>
  <Paragraphs>42</Paragraphs>
  <ScaleCrop>false</ScaleCrop>
  <Company/>
  <LinksUpToDate>false</LinksUpToDate>
  <CharactersWithSpaces>21122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Mariame Ouedraogo</dc:creator>
  <cp:keywords/>
  <dc:description/>
  <cp:lastModifiedBy>Mariame Ouedraogo</cp:lastModifiedBy>
  <cp:revision>79</cp:revision>
  <dcterms:created xsi:type="dcterms:W3CDTF">2026-02-27T17:15:00Z</dcterms:created>
  <dcterms:modified xsi:type="dcterms:W3CDTF">2026-05-01T14:44:00Z</dcterms:modified>
</cp:coreProperties>
</file>