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29FD4" w14:textId="77777777" w:rsidR="007C62F7" w:rsidRDefault="007C62F7" w:rsidP="007C62F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44472">
        <w:rPr>
          <w:rFonts w:ascii="Times New Roman" w:hAnsi="Times New Roman" w:cs="Times New Roman"/>
          <w:b/>
          <w:sz w:val="24"/>
          <w:szCs w:val="24"/>
        </w:rPr>
        <w:t>Supporting Information:</w:t>
      </w:r>
      <w:r w:rsidRPr="008444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5C5B9F" w14:textId="6B489BEB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A955AF">
        <w:rPr>
          <w:rFonts w:ascii="Times New Roman" w:eastAsiaTheme="minorEastAsia" w:hAnsi="Times New Roman" w:cs="Times New Roman"/>
          <w:sz w:val="28"/>
          <w:szCs w:val="28"/>
          <w:lang w:eastAsia="zh-TW"/>
        </w:rPr>
        <w:t>A multiplexed targeted mass spectrometric assay for quantifying obesity-associated biomarkers in human plasma</w:t>
      </w:r>
    </w:p>
    <w:p w14:paraId="0433AE98" w14:textId="77777777" w:rsid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</w:p>
    <w:p w14:paraId="2E634EDA" w14:textId="55B88DF4" w:rsidR="00A955AF" w:rsidRPr="00A955AF" w:rsidRDefault="00DD3B90" w:rsidP="00DD3B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698FE1F8">
        <w:rPr>
          <w:rFonts w:ascii="Times New Roman" w:hAnsi="Times New Roman" w:cs="Times New Roman"/>
          <w:b/>
          <w:bCs/>
          <w:sz w:val="24"/>
          <w:szCs w:val="24"/>
        </w:rPr>
        <w:t>Authors:</w:t>
      </w:r>
    </w:p>
    <w:p w14:paraId="4DBDA9CD" w14:textId="77777777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Tai-Tu Lin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Panshak Dakup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Athena A. Schepmoes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Thomas L. Fillmore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b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Adam C. Swensen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 xml:space="preserve">, </w:t>
      </w:r>
    </w:p>
    <w:p w14:paraId="0027FA3D" w14:textId="77777777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Shane S Kelly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Tong Zhang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Jie Pu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c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Jon M. Jacobs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b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James P. Delany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d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Bret H. Goodpaster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d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Tujin Shi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, Jun Qu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c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 xml:space="preserve"> and Wei-Jun Qian</w:t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>a*</w:t>
      </w:r>
    </w:p>
    <w:p w14:paraId="18B7A4B1" w14:textId="77777777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zh-TW"/>
        </w:rPr>
      </w:pPr>
    </w:p>
    <w:p w14:paraId="5835EC6C" w14:textId="77777777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 xml:space="preserve">a 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Biological Sciences Division, Pacific Northwest National Laboratory, Richland, WA, USA</w:t>
      </w:r>
    </w:p>
    <w:p w14:paraId="27BBD671" w14:textId="76A2E039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 xml:space="preserve">b 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Environmental Molecular Sciences Division, Pacific Northwest National Laboratory, Richland, WA, USA</w:t>
      </w:r>
    </w:p>
    <w:p w14:paraId="6C1E659F" w14:textId="77777777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 xml:space="preserve">c 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Department of Pharmaceutical Sciences, University at Buffalo, State University of New York, Buffalo, NY, USA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br/>
      </w:r>
      <w:r w:rsidRPr="00A955A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TW"/>
        </w:rPr>
        <w:t xml:space="preserve">d 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Translational Research Institute, Advent Health, Orlando, FL, USA</w:t>
      </w:r>
    </w:p>
    <w:p w14:paraId="652D63EB" w14:textId="77777777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</w:p>
    <w:p w14:paraId="195F2296" w14:textId="77777777" w:rsidR="00A955AF" w:rsidRPr="00A955AF" w:rsidRDefault="00A955AF" w:rsidP="00A955A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A955AF">
        <w:rPr>
          <w:rFonts w:ascii="Times New Roman" w:eastAsiaTheme="minorEastAsia" w:hAnsi="Times New Roman" w:cs="Times New Roman"/>
          <w:b/>
          <w:sz w:val="24"/>
          <w:szCs w:val="24"/>
          <w:lang w:eastAsia="zh-TW"/>
        </w:rPr>
        <w:t xml:space="preserve">*Correspondence: </w:t>
      </w:r>
      <w:r w:rsidRPr="00A955AF">
        <w:rPr>
          <w:rFonts w:ascii="Times New Roman" w:eastAsiaTheme="minorEastAsia" w:hAnsi="Times New Roman" w:cs="Times New Roman"/>
          <w:b/>
          <w:sz w:val="24"/>
          <w:szCs w:val="24"/>
          <w:lang w:eastAsia="zh-TW"/>
        </w:rPr>
        <w:br/>
        <w:t>Dr. Wei-Jun Qian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 xml:space="preserve"> 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br/>
      </w:r>
      <w:r w:rsidRPr="00A955A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zh-TW"/>
        </w:rPr>
        <w:t>Biological Sciences Division</w:t>
      </w:r>
      <w:r w:rsidRPr="00A955A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zh-TW"/>
        </w:rPr>
        <w:br/>
        <w:t>Pacific Northwest National Laboratory</w:t>
      </w:r>
      <w:r w:rsidRPr="00A955A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zh-TW"/>
        </w:rPr>
        <w:br/>
        <w:t>Richland, WA 99354, USA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.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br/>
        <w:t>Tel:</w:t>
      </w:r>
      <w:r w:rsidRPr="00A955AF">
        <w:rPr>
          <w:rFonts w:eastAsiaTheme="minorEastAsia"/>
          <w:lang w:eastAsia="zh-TW"/>
        </w:rPr>
        <w:t xml:space="preserve"> 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t>(509) 371-6572</w:t>
      </w:r>
      <w:r w:rsidRPr="00A955AF">
        <w:rPr>
          <w:rFonts w:ascii="Times New Roman" w:eastAsiaTheme="minorEastAsia" w:hAnsi="Times New Roman" w:cs="Times New Roman"/>
          <w:sz w:val="24"/>
          <w:szCs w:val="24"/>
          <w:lang w:eastAsia="zh-TW"/>
        </w:rPr>
        <w:br/>
        <w:t xml:space="preserve">Email: </w:t>
      </w:r>
      <w:hyperlink r:id="rId7" w:history="1">
        <w:r w:rsidRPr="00A955AF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zh-TW"/>
          </w:rPr>
          <w:t>Weijun.Qian@pnnl.gov</w:t>
        </w:r>
      </w:hyperlink>
    </w:p>
    <w:p w14:paraId="5B7DEBE6" w14:textId="77777777" w:rsidR="0021727A" w:rsidRDefault="0021727A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A10D86C" w14:textId="0A6839CC" w:rsidR="001516B4" w:rsidRDefault="001516B4" w:rsidP="001516B4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7D28703A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Contents:</w:t>
      </w:r>
    </w:p>
    <w:p w14:paraId="334B8220" w14:textId="2669C11B" w:rsidR="001516B4" w:rsidRDefault="001516B4" w:rsidP="001516B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1C5EAFED">
        <w:rPr>
          <w:rFonts w:ascii="Times New Roman" w:hAnsi="Times New Roman" w:cs="Times New Roman"/>
          <w:sz w:val="24"/>
          <w:szCs w:val="24"/>
        </w:rPr>
        <w:t xml:space="preserve">(A) </w:t>
      </w:r>
      <w:r w:rsidR="00A92749" w:rsidRPr="00A92749">
        <w:rPr>
          <w:rFonts w:ascii="Times New Roman" w:hAnsi="Times New Roman" w:cs="Times New Roman"/>
          <w:sz w:val="24"/>
          <w:szCs w:val="24"/>
        </w:rPr>
        <w:t xml:space="preserve">Standard Operating Procedure </w:t>
      </w:r>
      <w:r w:rsidR="00A92749">
        <w:rPr>
          <w:rFonts w:ascii="Times New Roman" w:hAnsi="Times New Roman" w:cs="Times New Roman"/>
          <w:sz w:val="24"/>
          <w:szCs w:val="24"/>
        </w:rPr>
        <w:t>for sample preparation</w:t>
      </w:r>
      <w:r w:rsidR="0037788E">
        <w:rPr>
          <w:rFonts w:ascii="Times New Roman" w:hAnsi="Times New Roman" w:cs="Times New Roman"/>
          <w:sz w:val="24"/>
          <w:szCs w:val="24"/>
        </w:rPr>
        <w:t xml:space="preserve"> </w:t>
      </w:r>
      <w:r w:rsidRPr="1C5EAFED">
        <w:rPr>
          <w:rFonts w:ascii="Times New Roman" w:hAnsi="Times New Roman" w:cs="Times New Roman"/>
          <w:sz w:val="24"/>
          <w:szCs w:val="24"/>
        </w:rPr>
        <w:t>(pg. S3–</w:t>
      </w:r>
      <w:r w:rsidR="00C21392">
        <w:rPr>
          <w:rFonts w:ascii="Times New Roman" w:hAnsi="Times New Roman" w:cs="Times New Roman"/>
          <w:sz w:val="24"/>
          <w:szCs w:val="24"/>
        </w:rPr>
        <w:t>5</w:t>
      </w:r>
      <w:r w:rsidRPr="1C5EAFED">
        <w:rPr>
          <w:rFonts w:ascii="Times New Roman" w:hAnsi="Times New Roman" w:cs="Times New Roman"/>
          <w:sz w:val="24"/>
          <w:szCs w:val="24"/>
        </w:rPr>
        <w:t>)</w:t>
      </w:r>
    </w:p>
    <w:p w14:paraId="7DB12434" w14:textId="353CC9F7" w:rsidR="00D53E53" w:rsidRPr="004F7A76" w:rsidRDefault="001516B4" w:rsidP="004F7A7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1C5EAFED">
        <w:rPr>
          <w:rFonts w:ascii="Times New Roman" w:hAnsi="Times New Roman" w:cs="Times New Roman"/>
          <w:sz w:val="24"/>
          <w:szCs w:val="24"/>
        </w:rPr>
        <w:t xml:space="preserve">(B) </w:t>
      </w:r>
      <w:r w:rsidR="006A5D8D" w:rsidRPr="006A5D8D">
        <w:rPr>
          <w:rFonts w:ascii="Times New Roman" w:hAnsi="Times New Roman" w:cs="Times New Roman"/>
          <w:sz w:val="24"/>
          <w:szCs w:val="24"/>
        </w:rPr>
        <w:t>Supplementary Figures</w:t>
      </w:r>
      <w:r w:rsidRPr="1C5EAFED">
        <w:rPr>
          <w:rFonts w:ascii="Times New Roman" w:hAnsi="Times New Roman" w:cs="Times New Roman"/>
          <w:sz w:val="24"/>
          <w:szCs w:val="24"/>
        </w:rPr>
        <w:t xml:space="preserve"> (pg. S</w:t>
      </w:r>
      <w:r w:rsidR="00F33970">
        <w:rPr>
          <w:rFonts w:ascii="Times New Roman" w:hAnsi="Times New Roman" w:cs="Times New Roman" w:hint="eastAsia"/>
          <w:sz w:val="24"/>
          <w:szCs w:val="24"/>
          <w:lang w:eastAsia="zh-TW"/>
        </w:rPr>
        <w:t>6</w:t>
      </w:r>
      <w:r w:rsidRPr="1C5EAFED">
        <w:rPr>
          <w:rFonts w:ascii="Times New Roman" w:hAnsi="Times New Roman" w:cs="Times New Roman"/>
          <w:sz w:val="24"/>
          <w:szCs w:val="24"/>
        </w:rPr>
        <w:t>–</w:t>
      </w:r>
      <w:r w:rsidR="00F33970">
        <w:rPr>
          <w:rFonts w:ascii="Times New Roman" w:hAnsi="Times New Roman" w:cs="Times New Roman" w:hint="eastAsia"/>
          <w:sz w:val="24"/>
          <w:szCs w:val="24"/>
          <w:lang w:eastAsia="zh-TW"/>
        </w:rPr>
        <w:t>11</w:t>
      </w:r>
      <w:r w:rsidRPr="1C5EAFED">
        <w:rPr>
          <w:rFonts w:ascii="Times New Roman" w:hAnsi="Times New Roman" w:cs="Times New Roman"/>
          <w:sz w:val="24"/>
          <w:szCs w:val="24"/>
        </w:rPr>
        <w:t>)</w:t>
      </w:r>
    </w:p>
    <w:p w14:paraId="58083477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7FF4DDD0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2BA32220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1CD6F0B4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414E3418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30CF723E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40E1F5FA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048BBB91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54625F2E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25B2E3ED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2E88304C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6D050CBA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4FB3BAE7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116FE9ED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4E571B2C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4B63E42B" w14:textId="77777777" w:rsidR="00D53E53" w:rsidRDefault="00D53E53" w:rsidP="008208AB">
      <w:pPr>
        <w:rPr>
          <w:b/>
          <w:sz w:val="32"/>
          <w:szCs w:val="32"/>
          <w:lang w:val="en"/>
        </w:rPr>
      </w:pPr>
    </w:p>
    <w:p w14:paraId="7E0C2E53" w14:textId="77777777" w:rsidR="0037788E" w:rsidRDefault="0037788E">
      <w:pPr>
        <w:spacing w:line="259" w:lineRule="auto"/>
        <w:rPr>
          <w:b/>
          <w:sz w:val="32"/>
          <w:szCs w:val="32"/>
          <w:lang w:val="en"/>
        </w:rPr>
      </w:pPr>
      <w:r>
        <w:rPr>
          <w:b/>
          <w:sz w:val="32"/>
          <w:szCs w:val="32"/>
          <w:lang w:val="en"/>
        </w:rPr>
        <w:br w:type="page"/>
      </w:r>
    </w:p>
    <w:p w14:paraId="5DE1AA2B" w14:textId="6F0FBFE2" w:rsidR="008208AB" w:rsidRPr="00162B93" w:rsidRDefault="008208AB" w:rsidP="00162B93">
      <w:pPr>
        <w:pStyle w:val="ListParagraph"/>
        <w:numPr>
          <w:ilvl w:val="0"/>
          <w:numId w:val="24"/>
        </w:numPr>
        <w:rPr>
          <w:b/>
          <w:sz w:val="32"/>
          <w:szCs w:val="32"/>
          <w:lang w:val="en"/>
        </w:rPr>
      </w:pPr>
      <w:r w:rsidRPr="00162B93">
        <w:rPr>
          <w:b/>
          <w:sz w:val="32"/>
          <w:szCs w:val="32"/>
          <w:lang w:val="en"/>
        </w:rPr>
        <w:lastRenderedPageBreak/>
        <w:t>Standard Operating Procedure</w:t>
      </w:r>
    </w:p>
    <w:p w14:paraId="354A2F07" w14:textId="77777777" w:rsidR="008208AB" w:rsidRDefault="008208AB" w:rsidP="008208AB">
      <w:pPr>
        <w:tabs>
          <w:tab w:val="left" w:pos="720"/>
          <w:tab w:val="left" w:pos="1440"/>
        </w:tabs>
        <w:spacing w:after="0" w:line="240" w:lineRule="auto"/>
        <w:rPr>
          <w:rFonts w:ascii="Times New Roman" w:hAnsi="Times New Roman"/>
          <w:sz w:val="24"/>
          <w:szCs w:val="24"/>
          <w:lang w:val="en"/>
        </w:rPr>
      </w:pPr>
      <w:r w:rsidRPr="004E6503">
        <w:rPr>
          <w:rFonts w:ascii="Times New Roman" w:hAnsi="Times New Roman"/>
          <w:sz w:val="24"/>
          <w:szCs w:val="24"/>
          <w:lang w:val="en"/>
        </w:rPr>
        <w:t>Integrative Omics | PNNL</w:t>
      </w:r>
    </w:p>
    <w:p w14:paraId="79FAFF99" w14:textId="77777777" w:rsidR="008208AB" w:rsidRPr="004E6503" w:rsidRDefault="008208AB" w:rsidP="008208AB">
      <w:pPr>
        <w:tabs>
          <w:tab w:val="left" w:pos="720"/>
          <w:tab w:val="left" w:pos="1440"/>
        </w:tabs>
        <w:spacing w:after="0" w:line="240" w:lineRule="auto"/>
        <w:rPr>
          <w:rFonts w:ascii="Times New Roman" w:hAnsi="Times New Roman"/>
          <w:sz w:val="24"/>
          <w:szCs w:val="24"/>
          <w:lang w:val="en"/>
        </w:rPr>
      </w:pPr>
    </w:p>
    <w:p w14:paraId="2D2C8B8A" w14:textId="77777777" w:rsidR="008208AB" w:rsidRPr="007F2741" w:rsidRDefault="008208AB" w:rsidP="008208AB">
      <w:pPr>
        <w:spacing w:after="120"/>
        <w:rPr>
          <w:rFonts w:ascii="Times New Roman" w:hAnsi="Times New Roman"/>
          <w:b/>
          <w:bCs/>
          <w:sz w:val="24"/>
          <w:szCs w:val="24"/>
          <w:lang w:val="en"/>
        </w:rPr>
      </w:pPr>
      <w:r w:rsidRPr="007F2741">
        <w:rPr>
          <w:rFonts w:ascii="Times New Roman" w:hAnsi="Times New Roman"/>
          <w:b/>
          <w:bCs/>
          <w:sz w:val="24"/>
          <w:szCs w:val="24"/>
          <w:lang w:val="en"/>
        </w:rPr>
        <w:t>Principle</w:t>
      </w:r>
    </w:p>
    <w:p w14:paraId="20F209D2" w14:textId="71E49336" w:rsidR="008208AB" w:rsidRDefault="008B6EE1" w:rsidP="008208AB">
      <w:pPr>
        <w:spacing w:after="0"/>
        <w:jc w:val="both"/>
        <w:rPr>
          <w:rFonts w:ascii="Times New Roman" w:eastAsiaTheme="minorHAnsi" w:hAnsi="Times New Roman"/>
          <w:sz w:val="24"/>
          <w:szCs w:val="24"/>
          <w:lang w:val="en"/>
        </w:rPr>
      </w:pPr>
      <w:r w:rsidRPr="008B6EE1">
        <w:rPr>
          <w:rFonts w:ascii="Times New Roman" w:eastAsiaTheme="minorHAnsi" w:hAnsi="Times New Roman"/>
          <w:sz w:val="24"/>
          <w:szCs w:val="24"/>
          <w:lang w:val="en"/>
        </w:rPr>
        <w:t>The global prevalence of obesity has dramatically increased in recent decades, reaching epidemic levels in both children and adults</w:t>
      </w:r>
      <w:r w:rsidR="008208AB" w:rsidRPr="00A23789">
        <w:rPr>
          <w:rFonts w:ascii="Times New Roman" w:eastAsiaTheme="minorHAnsi" w:hAnsi="Times New Roman"/>
          <w:sz w:val="24"/>
          <w:szCs w:val="24"/>
          <w:lang w:val="en"/>
        </w:rPr>
        <w:t xml:space="preserve">. </w:t>
      </w:r>
      <w:r w:rsidR="00487E50" w:rsidRPr="00487E50">
        <w:rPr>
          <w:rFonts w:ascii="Times New Roman" w:eastAsiaTheme="minorHAnsi" w:hAnsi="Times New Roman"/>
          <w:sz w:val="24"/>
          <w:szCs w:val="24"/>
          <w:lang w:val="en"/>
        </w:rPr>
        <w:t>This epidemic fuels serious comorbidities such as cardiovascular disease, type 2 diabetes, and certain cancers</w:t>
      </w:r>
      <w:r w:rsidR="008208AB" w:rsidRPr="00A23789">
        <w:rPr>
          <w:rFonts w:ascii="Times New Roman" w:eastAsiaTheme="minorHAnsi" w:hAnsi="Times New Roman"/>
          <w:sz w:val="24"/>
          <w:szCs w:val="24"/>
          <w:lang w:val="en"/>
        </w:rPr>
        <w:t>.</w:t>
      </w:r>
      <w:r w:rsidR="008208AB" w:rsidRPr="009A4C84">
        <w:t xml:space="preserve"> </w:t>
      </w:r>
      <w:r w:rsidR="00946329" w:rsidRPr="00946329">
        <w:rPr>
          <w:rFonts w:ascii="Times New Roman" w:eastAsiaTheme="minorHAnsi" w:hAnsi="Times New Roman"/>
          <w:sz w:val="24"/>
          <w:szCs w:val="24"/>
          <w:lang w:val="en"/>
        </w:rPr>
        <w:t>Effective strategies for prevention and personalized intervention require a deeper understanding of its complex pathophysiology. A critical component of this effort is the ability to precisely monitor panels of protein biomarkers that reflect the underlying biological state. To address this need, we developed a high-throughput, robust, multiplexed LC-SRM assay for the direct quantification of approximately 40 circulating protein markers associated with obesity</w:t>
      </w:r>
      <w:r w:rsidR="008208AB" w:rsidRPr="00E42C4A">
        <w:rPr>
          <w:rFonts w:ascii="Times New Roman" w:eastAsiaTheme="minorHAnsi" w:hAnsi="Times New Roman"/>
          <w:sz w:val="24"/>
          <w:szCs w:val="24"/>
          <w:lang w:val="en"/>
        </w:rPr>
        <w:t xml:space="preserve">. </w:t>
      </w:r>
    </w:p>
    <w:p w14:paraId="006F8B38" w14:textId="77777777" w:rsidR="008208AB" w:rsidRDefault="008208AB" w:rsidP="008208AB">
      <w:pPr>
        <w:spacing w:after="0"/>
        <w:rPr>
          <w:rFonts w:ascii="Times New Roman" w:eastAsiaTheme="minorHAnsi" w:hAnsi="Times New Roman"/>
          <w:sz w:val="24"/>
          <w:szCs w:val="24"/>
        </w:rPr>
      </w:pPr>
    </w:p>
    <w:p w14:paraId="163A3279" w14:textId="77777777" w:rsidR="008208AB" w:rsidRPr="00492FAA" w:rsidRDefault="008208AB" w:rsidP="008208AB">
      <w:pPr>
        <w:spacing w:after="120"/>
        <w:rPr>
          <w:rFonts w:ascii="Times New Roman" w:hAnsi="Times New Roman"/>
          <w:b/>
          <w:bCs/>
          <w:sz w:val="24"/>
          <w:szCs w:val="24"/>
          <w:lang w:val="en"/>
        </w:rPr>
      </w:pPr>
      <w:r w:rsidRPr="00492FAA">
        <w:rPr>
          <w:rFonts w:ascii="Times New Roman" w:hAnsi="Times New Roman"/>
          <w:b/>
          <w:bCs/>
          <w:sz w:val="24"/>
          <w:szCs w:val="24"/>
          <w:lang w:val="en"/>
        </w:rPr>
        <w:t>Sample</w:t>
      </w:r>
    </w:p>
    <w:p w14:paraId="51AF0055" w14:textId="4615FB54" w:rsidR="008208AB" w:rsidRPr="009A47A2" w:rsidRDefault="008208AB" w:rsidP="008208AB">
      <w:pPr>
        <w:tabs>
          <w:tab w:val="left" w:pos="720"/>
          <w:tab w:val="left" w:pos="1440"/>
        </w:tabs>
        <w:spacing w:after="240" w:line="240" w:lineRule="auto"/>
        <w:jc w:val="both"/>
        <w:rPr>
          <w:rFonts w:ascii="Times New Roman" w:eastAsiaTheme="minorHAnsi" w:hAnsi="Times New Roman"/>
          <w:b/>
          <w:bCs/>
          <w:color w:val="3333FF"/>
          <w:sz w:val="24"/>
          <w:szCs w:val="24"/>
          <w:lang w:val="en"/>
        </w:rPr>
      </w:pPr>
      <w:r>
        <w:rPr>
          <w:rFonts w:ascii="Times New Roman" w:eastAsiaTheme="minorHAnsi" w:hAnsi="Times New Roman"/>
          <w:sz w:val="24"/>
          <w:szCs w:val="24"/>
          <w:lang w:val="en"/>
        </w:rPr>
        <w:t>P</w:t>
      </w:r>
      <w:r w:rsidRPr="00492FAA">
        <w:rPr>
          <w:rFonts w:ascii="Times New Roman" w:eastAsiaTheme="minorHAnsi" w:hAnsi="Times New Roman"/>
          <w:sz w:val="24"/>
          <w:szCs w:val="24"/>
          <w:lang w:val="en"/>
        </w:rPr>
        <w:t>lasma.</w:t>
      </w:r>
      <w:r>
        <w:rPr>
          <w:rFonts w:ascii="Times New Roman" w:eastAsiaTheme="minorHAnsi" w:hAnsi="Times New Roman"/>
          <w:sz w:val="24"/>
          <w:szCs w:val="24"/>
          <w:lang w:val="en"/>
        </w:rPr>
        <w:t xml:space="preserve"> </w:t>
      </w:r>
      <w:r w:rsidRPr="00492FAA">
        <w:rPr>
          <w:rFonts w:ascii="Times New Roman" w:eastAsiaTheme="minorHAnsi" w:hAnsi="Times New Roman"/>
          <w:sz w:val="24"/>
          <w:szCs w:val="24"/>
          <w:lang w:val="en"/>
        </w:rPr>
        <w:t>Specimens should be stored at -</w:t>
      </w:r>
      <w:r>
        <w:rPr>
          <w:rFonts w:ascii="Times New Roman" w:eastAsiaTheme="minorHAnsi" w:hAnsi="Times New Roman"/>
          <w:sz w:val="24"/>
          <w:szCs w:val="24"/>
          <w:lang w:val="en"/>
        </w:rPr>
        <w:t>8</w:t>
      </w:r>
      <w:r w:rsidRPr="00492FAA">
        <w:rPr>
          <w:rFonts w:ascii="Times New Roman" w:eastAsiaTheme="minorHAnsi" w:hAnsi="Times New Roman"/>
          <w:sz w:val="24"/>
          <w:szCs w:val="24"/>
          <w:lang w:val="en"/>
        </w:rPr>
        <w:t xml:space="preserve">0 </w:t>
      </w:r>
      <w:r w:rsidR="00F16BB6" w:rsidRPr="00F16BB6">
        <w:rPr>
          <w:rFonts w:ascii="Times New Roman" w:eastAsiaTheme="minorHAnsi" w:hAnsi="Times New Roman"/>
          <w:sz w:val="24"/>
          <w:szCs w:val="24"/>
          <w:lang w:val="en"/>
        </w:rPr>
        <w:t>°</w:t>
      </w:r>
      <w:r w:rsidRPr="00492FAA">
        <w:rPr>
          <w:rFonts w:ascii="Times New Roman" w:eastAsiaTheme="minorHAnsi" w:hAnsi="Times New Roman"/>
          <w:sz w:val="24"/>
          <w:szCs w:val="24"/>
          <w:lang w:val="en"/>
        </w:rPr>
        <w:t xml:space="preserve">C. Allow the specimens to come to room temperature and mix. If necessary, aliquot, to avoid repeated thawing and freezing. Do not attempt to thaw frozen specimens by heating them in a water bath. </w:t>
      </w:r>
    </w:p>
    <w:p w14:paraId="41AC9572" w14:textId="77777777" w:rsidR="008208AB" w:rsidRDefault="008208AB" w:rsidP="008208AB">
      <w:pPr>
        <w:spacing w:after="120"/>
        <w:rPr>
          <w:rFonts w:ascii="Times New Roman" w:hAnsi="Times New Roman"/>
          <w:b/>
          <w:bCs/>
          <w:sz w:val="24"/>
          <w:szCs w:val="24"/>
          <w:lang w:val="en"/>
        </w:rPr>
      </w:pPr>
      <w:r w:rsidRPr="0073131B">
        <w:rPr>
          <w:rFonts w:ascii="Times New Roman" w:hAnsi="Times New Roman"/>
          <w:b/>
          <w:bCs/>
          <w:sz w:val="24"/>
          <w:szCs w:val="24"/>
          <w:lang w:val="en"/>
        </w:rPr>
        <w:t>Chemical Supplies</w:t>
      </w:r>
    </w:p>
    <w:p w14:paraId="14EE04B8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50 mM NH</w:t>
      </w:r>
      <w:r w:rsidRPr="004250DD">
        <w:rPr>
          <w:rFonts w:ascii="Times New Roman" w:eastAsiaTheme="minorHAnsi" w:hAnsi="Times New Roman"/>
          <w:sz w:val="24"/>
          <w:szCs w:val="24"/>
          <w:vertAlign w:val="subscript"/>
          <w:lang w:val="en"/>
        </w:rPr>
        <w:t>4</w:t>
      </w:r>
      <w:r w:rsidRPr="00744713">
        <w:rPr>
          <w:rFonts w:ascii="Times New Roman" w:eastAsiaTheme="minorHAnsi" w:hAnsi="Times New Roman"/>
          <w:sz w:val="24"/>
          <w:szCs w:val="24"/>
          <w:lang w:val="en"/>
        </w:rPr>
        <w:t>HCO</w:t>
      </w:r>
      <w:r w:rsidRPr="004250DD">
        <w:rPr>
          <w:rFonts w:ascii="Times New Roman" w:eastAsiaTheme="minorHAnsi" w:hAnsi="Times New Roman"/>
          <w:sz w:val="24"/>
          <w:szCs w:val="24"/>
          <w:vertAlign w:val="subscript"/>
          <w:lang w:val="en"/>
        </w:rPr>
        <w:t>3</w:t>
      </w:r>
      <w:r w:rsidRPr="00744713">
        <w:rPr>
          <w:rFonts w:ascii="Times New Roman" w:eastAsiaTheme="minorHAnsi" w:hAnsi="Times New Roman"/>
          <w:sz w:val="24"/>
          <w:szCs w:val="24"/>
          <w:lang w:val="en"/>
        </w:rPr>
        <w:t>, pH ~8 buffer</w:t>
      </w:r>
    </w:p>
    <w:p w14:paraId="0A37B334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Urea (Sigma)</w:t>
      </w:r>
    </w:p>
    <w:p w14:paraId="15E299C0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Dithiothreitol (DTT) - Pierce No-Weigh Format (A39255)</w:t>
      </w:r>
    </w:p>
    <w:p w14:paraId="313115A5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Iodoacetamide (IAA) – Pierce, Single-Use (A39271)</w:t>
      </w:r>
    </w:p>
    <w:p w14:paraId="43182BF0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0.5 M CaCl</w:t>
      </w:r>
      <w:r w:rsidRPr="004250DD">
        <w:rPr>
          <w:rFonts w:ascii="Times New Roman" w:eastAsiaTheme="minorHAnsi" w:hAnsi="Times New Roman"/>
          <w:sz w:val="24"/>
          <w:szCs w:val="24"/>
          <w:vertAlign w:val="subscript"/>
          <w:lang w:val="en"/>
        </w:rPr>
        <w:t>2</w:t>
      </w:r>
    </w:p>
    <w:p w14:paraId="115A7D97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Trypsin, Sequencing Grade (Promega, V5113)</w:t>
      </w:r>
    </w:p>
    <w:p w14:paraId="5790D6CE" w14:textId="7151CE20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 xml:space="preserve">10% </w:t>
      </w:r>
      <w:r w:rsidR="00F16BB6" w:rsidRPr="00F16BB6">
        <w:rPr>
          <w:rFonts w:ascii="Times New Roman" w:eastAsiaTheme="minorHAnsi" w:hAnsi="Times New Roman"/>
          <w:sz w:val="24"/>
          <w:szCs w:val="24"/>
          <w:lang w:val="en"/>
        </w:rPr>
        <w:t xml:space="preserve">trifluoroacetic acid </w:t>
      </w:r>
      <w:r w:rsidR="00F16BB6">
        <w:rPr>
          <w:rFonts w:ascii="Times New Roman" w:eastAsiaTheme="minorHAnsi" w:hAnsi="Times New Roman"/>
          <w:sz w:val="24"/>
          <w:szCs w:val="24"/>
          <w:lang w:val="en"/>
        </w:rPr>
        <w:t>(</w:t>
      </w:r>
      <w:r w:rsidRPr="00744713">
        <w:rPr>
          <w:rFonts w:ascii="Times New Roman" w:eastAsiaTheme="minorHAnsi" w:hAnsi="Times New Roman"/>
          <w:sz w:val="24"/>
          <w:szCs w:val="24"/>
          <w:lang w:val="en"/>
        </w:rPr>
        <w:t>TFA</w:t>
      </w:r>
      <w:r w:rsidR="00F16BB6">
        <w:rPr>
          <w:rFonts w:ascii="Times New Roman" w:eastAsiaTheme="minorHAnsi" w:hAnsi="Times New Roman"/>
          <w:sz w:val="24"/>
          <w:szCs w:val="24"/>
          <w:lang w:val="en"/>
        </w:rPr>
        <w:t>)</w:t>
      </w:r>
    </w:p>
    <w:p w14:paraId="6A8D8B94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HPLC-grade Methanol</w:t>
      </w:r>
    </w:p>
    <w:p w14:paraId="53309870" w14:textId="423B4434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0.1% TFA in nanopure water</w:t>
      </w:r>
    </w:p>
    <w:p w14:paraId="0A54DB34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95:5 H2O:Acetonitrile (ACN), 0.1% TFA</w:t>
      </w:r>
    </w:p>
    <w:p w14:paraId="746A1D8C" w14:textId="77777777" w:rsidR="008208AB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744713">
        <w:rPr>
          <w:rFonts w:ascii="Times New Roman" w:eastAsiaTheme="minorHAnsi" w:hAnsi="Times New Roman"/>
          <w:sz w:val="24"/>
          <w:szCs w:val="24"/>
          <w:lang w:val="en"/>
        </w:rPr>
        <w:t>80:20 ACN:H2O, 0.1% TFA</w:t>
      </w:r>
    </w:p>
    <w:p w14:paraId="25FC84E3" w14:textId="77777777" w:rsidR="008208AB" w:rsidRPr="00E12498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E12498">
        <w:rPr>
          <w:rFonts w:ascii="Times New Roman" w:eastAsiaTheme="minorHAnsi" w:hAnsi="Times New Roman"/>
          <w:sz w:val="24"/>
          <w:szCs w:val="24"/>
          <w:lang w:val="en"/>
        </w:rPr>
        <w:t>5% ACN, 0.1% TFA</w:t>
      </w:r>
    </w:p>
    <w:p w14:paraId="6382CA36" w14:textId="77777777" w:rsidR="008208AB" w:rsidRPr="00E12498" w:rsidRDefault="008208AB" w:rsidP="008208AB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E12498">
        <w:rPr>
          <w:rFonts w:ascii="Times New Roman" w:eastAsiaTheme="minorHAnsi" w:hAnsi="Times New Roman"/>
          <w:sz w:val="24"/>
          <w:szCs w:val="24"/>
          <w:lang w:val="en"/>
        </w:rPr>
        <w:t xml:space="preserve">80% </w:t>
      </w:r>
      <w:r>
        <w:rPr>
          <w:rFonts w:ascii="Times New Roman" w:eastAsiaTheme="minorHAnsi" w:hAnsi="Times New Roman"/>
          <w:sz w:val="24"/>
          <w:szCs w:val="24"/>
          <w:lang w:val="en"/>
        </w:rPr>
        <w:t>AC</w:t>
      </w:r>
      <w:r w:rsidRPr="00E12498">
        <w:rPr>
          <w:rFonts w:ascii="Times New Roman" w:eastAsiaTheme="minorHAnsi" w:hAnsi="Times New Roman"/>
          <w:sz w:val="24"/>
          <w:szCs w:val="24"/>
          <w:lang w:val="en"/>
        </w:rPr>
        <w:t>N</w:t>
      </w:r>
    </w:p>
    <w:p w14:paraId="6F03B0CE" w14:textId="6E284947" w:rsidR="00CB76AD" w:rsidRDefault="008208AB" w:rsidP="00CB76AD">
      <w:pPr>
        <w:pStyle w:val="ListParagraph"/>
        <w:numPr>
          <w:ilvl w:val="0"/>
          <w:numId w:val="21"/>
        </w:num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  <w:r w:rsidRPr="00E12498">
        <w:rPr>
          <w:rFonts w:ascii="Times New Roman" w:eastAsiaTheme="minorHAnsi" w:hAnsi="Times New Roman"/>
          <w:sz w:val="24"/>
          <w:szCs w:val="24"/>
          <w:lang w:val="en"/>
        </w:rPr>
        <w:t>BCA Protein Assay Reagents (Promega)</w:t>
      </w:r>
    </w:p>
    <w:p w14:paraId="23B5FC19" w14:textId="77777777" w:rsidR="00CB76AD" w:rsidRPr="00CB76AD" w:rsidRDefault="00CB76AD" w:rsidP="00CB76AD">
      <w:pPr>
        <w:tabs>
          <w:tab w:val="left" w:pos="720"/>
          <w:tab w:val="left" w:pos="1440"/>
        </w:tabs>
        <w:spacing w:after="240" w:line="360" w:lineRule="auto"/>
        <w:rPr>
          <w:rFonts w:ascii="Times New Roman" w:eastAsiaTheme="minorHAnsi" w:hAnsi="Times New Roman"/>
          <w:sz w:val="24"/>
          <w:szCs w:val="24"/>
          <w:lang w:val="en"/>
        </w:rPr>
      </w:pPr>
    </w:p>
    <w:p w14:paraId="75A48686" w14:textId="77777777" w:rsidR="008208AB" w:rsidRDefault="008208AB" w:rsidP="008208AB">
      <w:pPr>
        <w:spacing w:after="120"/>
        <w:rPr>
          <w:rFonts w:ascii="Times New Roman" w:hAnsi="Times New Roman"/>
          <w:b/>
          <w:bCs/>
          <w:sz w:val="24"/>
          <w:szCs w:val="24"/>
          <w:lang w:val="en"/>
        </w:rPr>
      </w:pPr>
      <w:r w:rsidRPr="00AA6FF3">
        <w:rPr>
          <w:rFonts w:ascii="Times New Roman" w:hAnsi="Times New Roman"/>
          <w:b/>
          <w:bCs/>
          <w:sz w:val="24"/>
          <w:szCs w:val="24"/>
          <w:lang w:val="en"/>
        </w:rPr>
        <w:lastRenderedPageBreak/>
        <w:t>Non-Chemical Supplies</w:t>
      </w:r>
    </w:p>
    <w:p w14:paraId="43C9B552" w14:textId="77777777" w:rsidR="008208AB" w:rsidRDefault="008208AB" w:rsidP="008208AB">
      <w:pPr>
        <w:pStyle w:val="NormalWeb"/>
        <w:numPr>
          <w:ilvl w:val="0"/>
          <w:numId w:val="20"/>
        </w:numPr>
        <w:spacing w:after="120" w:afterAutospacing="0"/>
        <w:rPr>
          <w:rFonts w:eastAsiaTheme="minorHAnsi" w:cstheme="minorBidi"/>
          <w:lang w:val="en" w:eastAsia="en-US"/>
        </w:rPr>
      </w:pPr>
      <w:r w:rsidRPr="004B7246">
        <w:rPr>
          <w:rFonts w:eastAsiaTheme="minorHAnsi" w:cstheme="minorBidi"/>
          <w:lang w:val="en" w:eastAsia="en-US"/>
        </w:rPr>
        <w:t>Eppendorf epMotion 5075 Liquid Handler</w:t>
      </w:r>
    </w:p>
    <w:p w14:paraId="2C3DE155" w14:textId="16D9E445" w:rsidR="008208AB" w:rsidRDefault="008208AB" w:rsidP="008208AB">
      <w:pPr>
        <w:pStyle w:val="NormalWeb"/>
        <w:numPr>
          <w:ilvl w:val="0"/>
          <w:numId w:val="20"/>
        </w:numPr>
        <w:spacing w:after="120" w:afterAutospacing="0"/>
        <w:rPr>
          <w:rFonts w:eastAsiaTheme="minorHAnsi" w:cstheme="minorBidi"/>
          <w:lang w:val="en" w:eastAsia="en-US"/>
        </w:rPr>
      </w:pPr>
      <w:r w:rsidRPr="004B7246">
        <w:rPr>
          <w:rFonts w:eastAsiaTheme="minorHAnsi" w:cstheme="minorBidi"/>
          <w:lang w:val="en" w:eastAsia="en-US"/>
        </w:rPr>
        <w:t>Bulldog BioShake IQ</w:t>
      </w:r>
    </w:p>
    <w:p w14:paraId="5CFA4BD9" w14:textId="77777777" w:rsidR="008208AB" w:rsidRDefault="008208AB" w:rsidP="008208AB">
      <w:pPr>
        <w:pStyle w:val="NormalWeb"/>
        <w:numPr>
          <w:ilvl w:val="0"/>
          <w:numId w:val="20"/>
        </w:numPr>
        <w:spacing w:after="120" w:afterAutospacing="0"/>
        <w:rPr>
          <w:rFonts w:eastAsiaTheme="minorHAnsi" w:cstheme="minorBidi"/>
          <w:lang w:val="en" w:eastAsia="en-US"/>
        </w:rPr>
      </w:pPr>
      <w:r w:rsidRPr="004B7246">
        <w:rPr>
          <w:rFonts w:eastAsiaTheme="minorHAnsi" w:cstheme="minorBidi"/>
          <w:lang w:val="en" w:eastAsia="en-US"/>
        </w:rPr>
        <w:t>Centrifuge 5810 R with Swinging Bucket Rotor (Eppendorf)</w:t>
      </w:r>
    </w:p>
    <w:p w14:paraId="093CB919" w14:textId="77777777" w:rsidR="008208AB" w:rsidRDefault="008208AB" w:rsidP="008208AB">
      <w:pPr>
        <w:pStyle w:val="NormalWeb"/>
        <w:numPr>
          <w:ilvl w:val="0"/>
          <w:numId w:val="20"/>
        </w:numPr>
        <w:spacing w:after="120" w:afterAutospacing="0"/>
        <w:rPr>
          <w:rFonts w:eastAsiaTheme="minorHAnsi" w:cstheme="minorBidi"/>
          <w:lang w:val="en" w:eastAsia="en-US"/>
        </w:rPr>
      </w:pPr>
      <w:r w:rsidRPr="004B7246">
        <w:rPr>
          <w:rFonts w:eastAsiaTheme="minorHAnsi" w:cstheme="minorBidi"/>
          <w:lang w:val="en" w:eastAsia="en-US"/>
        </w:rPr>
        <w:t>ThermoSavant SpeedVac SC250 Express</w:t>
      </w:r>
    </w:p>
    <w:p w14:paraId="7995B1D2" w14:textId="77777777" w:rsidR="008208AB" w:rsidRDefault="008208AB" w:rsidP="008208AB">
      <w:pPr>
        <w:pStyle w:val="NormalWeb"/>
        <w:numPr>
          <w:ilvl w:val="0"/>
          <w:numId w:val="20"/>
        </w:numPr>
        <w:spacing w:after="120" w:afterAutospacing="0"/>
        <w:rPr>
          <w:rFonts w:eastAsiaTheme="minorHAnsi" w:cstheme="minorBidi"/>
          <w:lang w:val="en" w:eastAsia="en-US"/>
        </w:rPr>
      </w:pPr>
      <w:r w:rsidRPr="004B7246">
        <w:rPr>
          <w:rFonts w:eastAsiaTheme="minorHAnsi" w:cstheme="minorBidi"/>
          <w:lang w:val="en" w:eastAsia="en-US"/>
        </w:rPr>
        <w:t>Tecan Infinite M200 plate reader</w:t>
      </w:r>
    </w:p>
    <w:p w14:paraId="7ED3B8E6" w14:textId="77777777" w:rsidR="008208AB" w:rsidRDefault="008208AB" w:rsidP="008208AB">
      <w:pPr>
        <w:pStyle w:val="NormalWeb"/>
        <w:numPr>
          <w:ilvl w:val="0"/>
          <w:numId w:val="20"/>
        </w:numPr>
        <w:spacing w:after="120" w:afterAutospacing="0"/>
        <w:rPr>
          <w:rFonts w:eastAsiaTheme="minorHAnsi" w:cstheme="minorBidi"/>
          <w:lang w:val="en" w:eastAsia="en-US"/>
        </w:rPr>
      </w:pPr>
      <w:r w:rsidRPr="004B7246">
        <w:rPr>
          <w:rFonts w:eastAsiaTheme="minorHAnsi" w:cstheme="minorBidi"/>
          <w:lang w:val="en" w:eastAsia="en-US"/>
        </w:rPr>
        <w:t>Rainin E4 XLS 8-channel electronic pipette</w:t>
      </w:r>
    </w:p>
    <w:p w14:paraId="1B695A40" w14:textId="77777777" w:rsidR="008208AB" w:rsidRDefault="008208AB" w:rsidP="008208AB">
      <w:pPr>
        <w:pStyle w:val="NormalWeb"/>
        <w:numPr>
          <w:ilvl w:val="0"/>
          <w:numId w:val="20"/>
        </w:numPr>
        <w:spacing w:after="0" w:afterAutospacing="0" w:line="360" w:lineRule="auto"/>
        <w:rPr>
          <w:rFonts w:eastAsiaTheme="minorHAnsi" w:cstheme="minorBidi"/>
          <w:lang w:val="en" w:eastAsia="en-US"/>
        </w:rPr>
      </w:pPr>
      <w:r w:rsidRPr="004B7246">
        <w:rPr>
          <w:rFonts w:eastAsiaTheme="minorHAnsi" w:cstheme="minorBidi"/>
          <w:lang w:val="en" w:eastAsia="en-US"/>
        </w:rPr>
        <w:t>1 mL Deepwell Plate, Protein LoBind (Eppendorf)</w:t>
      </w:r>
    </w:p>
    <w:p w14:paraId="33B8051E" w14:textId="77777777" w:rsidR="008208AB" w:rsidRPr="00100F0F" w:rsidRDefault="008208AB" w:rsidP="008208AB">
      <w:pPr>
        <w:pStyle w:val="NormalWeb"/>
        <w:numPr>
          <w:ilvl w:val="0"/>
          <w:numId w:val="20"/>
        </w:numPr>
        <w:spacing w:after="0" w:afterAutospacing="0" w:line="360" w:lineRule="auto"/>
        <w:rPr>
          <w:rFonts w:eastAsiaTheme="minorHAnsi" w:cstheme="minorBidi"/>
          <w:lang w:val="en" w:eastAsia="en-US"/>
        </w:rPr>
      </w:pPr>
      <w:r w:rsidRPr="00100F0F">
        <w:t>0.5 mL Deepwell Plate (Axygen)</w:t>
      </w:r>
    </w:p>
    <w:p w14:paraId="35A92EC2" w14:textId="77777777" w:rsidR="008208AB" w:rsidRPr="00100F0F" w:rsidRDefault="008208AB" w:rsidP="008208AB">
      <w:pPr>
        <w:pStyle w:val="NormalWeb"/>
        <w:numPr>
          <w:ilvl w:val="0"/>
          <w:numId w:val="20"/>
        </w:numPr>
        <w:spacing w:after="0" w:afterAutospacing="0" w:line="360" w:lineRule="auto"/>
        <w:rPr>
          <w:rFonts w:eastAsiaTheme="minorHAnsi" w:cstheme="minorBidi"/>
          <w:lang w:val="en" w:eastAsia="en-US"/>
        </w:rPr>
      </w:pPr>
      <w:r w:rsidRPr="00100F0F">
        <w:t>25 mg/well Strata C18-E SPE 96-well plate (Phenomenex 8E-S001_CGB)</w:t>
      </w:r>
    </w:p>
    <w:p w14:paraId="3673A0AB" w14:textId="549C05BA" w:rsidR="008208AB" w:rsidRPr="00701827" w:rsidRDefault="008208AB" w:rsidP="005657CD">
      <w:pPr>
        <w:pStyle w:val="NormalWeb"/>
        <w:numPr>
          <w:ilvl w:val="0"/>
          <w:numId w:val="20"/>
        </w:numPr>
        <w:spacing w:after="0" w:afterAutospacing="0" w:line="360" w:lineRule="auto"/>
        <w:ind w:left="357" w:hanging="357"/>
        <w:rPr>
          <w:rFonts w:eastAsiaTheme="minorHAnsi" w:cstheme="minorBidi"/>
          <w:lang w:val="en" w:eastAsia="en-US"/>
        </w:rPr>
      </w:pPr>
      <w:r w:rsidRPr="00100F0F">
        <w:t>Breathe-Easy adhesive membranes</w:t>
      </w:r>
    </w:p>
    <w:p w14:paraId="3BA135BE" w14:textId="01D43B22" w:rsidR="00D53E53" w:rsidRPr="0037788E" w:rsidRDefault="005657CD" w:rsidP="000F202C">
      <w:pPr>
        <w:pStyle w:val="NormalWeb"/>
        <w:numPr>
          <w:ilvl w:val="0"/>
          <w:numId w:val="20"/>
        </w:numPr>
        <w:spacing w:after="120" w:afterAutospacing="0" w:line="360" w:lineRule="auto"/>
        <w:rPr>
          <w:rFonts w:eastAsiaTheme="minorHAnsi" w:cstheme="minorBidi"/>
          <w:lang w:val="en" w:eastAsia="en-US"/>
        </w:rPr>
      </w:pPr>
      <w:r w:rsidRPr="00D53E53">
        <w:rPr>
          <w:rFonts w:eastAsiaTheme="minorHAnsi" w:cstheme="minorBidi"/>
          <w:lang w:val="en" w:eastAsia="en-US"/>
        </w:rPr>
        <w:t>Speware Corporation CEREX SYSTEM 96 PROCESSOR</w:t>
      </w:r>
    </w:p>
    <w:p w14:paraId="481CA4E3" w14:textId="28585321" w:rsidR="00526010" w:rsidRPr="00744BB3" w:rsidRDefault="00526010" w:rsidP="005E5498">
      <w:pPr>
        <w:spacing w:after="120"/>
        <w:rPr>
          <w:rFonts w:ascii="Times New Roman" w:eastAsiaTheme="minorHAnsi" w:hAnsi="Times New Roman"/>
          <w:sz w:val="24"/>
          <w:szCs w:val="24"/>
        </w:rPr>
      </w:pPr>
    </w:p>
    <w:p w14:paraId="66E9555A" w14:textId="579710D7" w:rsidR="008E4721" w:rsidRPr="00AD0E73" w:rsidRDefault="008E4721" w:rsidP="00AD0E73">
      <w:pPr>
        <w:spacing w:line="240" w:lineRule="auto"/>
        <w:rPr>
          <w:rFonts w:ascii="Times New Roman" w:eastAsia="Times New Roman" w:hAnsi="Times New Roman" w:cs="Times New Roman"/>
          <w:lang w:eastAsia="zh-TW"/>
        </w:rPr>
      </w:pPr>
      <w:r w:rsidRPr="008E4721">
        <w:rPr>
          <w:rFonts w:ascii="Times New Roman" w:hAnsi="Times New Roman"/>
          <w:b/>
          <w:bCs/>
          <w:sz w:val="24"/>
          <w:szCs w:val="24"/>
          <w:lang w:val="en"/>
        </w:rPr>
        <w:t>Procedure</w:t>
      </w:r>
    </w:p>
    <w:p w14:paraId="78852139" w14:textId="76B44FCF" w:rsidR="00AF7596" w:rsidRPr="00873BF8" w:rsidRDefault="00B42F2F" w:rsidP="00681CDA">
      <w:pPr>
        <w:spacing w:after="120"/>
        <w:rPr>
          <w:rFonts w:ascii="Times New Roman" w:hAnsi="Times New Roman"/>
          <w:i/>
          <w:iCs/>
          <w:sz w:val="24"/>
          <w:szCs w:val="24"/>
          <w:u w:val="single"/>
          <w:lang w:val="en"/>
        </w:rPr>
      </w:pPr>
      <w:r w:rsidRPr="00873BF8"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 xml:space="preserve">In-solution </w:t>
      </w:r>
      <w:r w:rsidR="001B1BC9" w:rsidRPr="001B1BC9"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 xml:space="preserve">Urea </w:t>
      </w:r>
      <w:r w:rsidRPr="00873BF8"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>digestion</w:t>
      </w:r>
      <w:r w:rsidR="00E40D52"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 xml:space="preserve"> (</w:t>
      </w:r>
      <w:r w:rsidR="00E40D52" w:rsidRPr="00E40D52"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 xml:space="preserve">Up to 88 samples </w:t>
      </w:r>
      <w:r w:rsidR="00F16BB6" w:rsidRPr="00E40D52"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>were</w:t>
      </w:r>
      <w:r w:rsidR="00E40D52" w:rsidRPr="00E40D52"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 xml:space="preserve"> digested on one plate</w:t>
      </w:r>
      <w:r w:rsidR="00E40D52"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>)</w:t>
      </w:r>
    </w:p>
    <w:p w14:paraId="177043CB" w14:textId="46BA0DC9" w:rsidR="001714F8" w:rsidRPr="005D703D" w:rsidRDefault="00904017" w:rsidP="001B5BCE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8E3FE0">
        <w:rPr>
          <w:rFonts w:ascii="Times New Roman" w:hAnsi="Times New Roman"/>
          <w:sz w:val="24"/>
          <w:szCs w:val="24"/>
          <w:lang w:val="en"/>
        </w:rPr>
        <w:t xml:space="preserve">Add 45 </w:t>
      </w:r>
      <w:r w:rsidR="00F16BB6" w:rsidRPr="00F16BB6">
        <w:rPr>
          <w:rFonts w:ascii="Times New Roman" w:hAnsi="Times New Roman"/>
          <w:sz w:val="24"/>
          <w:szCs w:val="24"/>
          <w:lang w:val="en"/>
        </w:rPr>
        <w:t>µ</w:t>
      </w:r>
      <w:r w:rsidRPr="008E3FE0">
        <w:rPr>
          <w:rFonts w:ascii="Times New Roman" w:hAnsi="Times New Roman"/>
          <w:sz w:val="24"/>
          <w:szCs w:val="24"/>
          <w:lang w:val="en"/>
        </w:rPr>
        <w:t>l of 8</w:t>
      </w:r>
      <w:r w:rsidR="00F16BB6">
        <w:rPr>
          <w:rFonts w:ascii="Times New Roman" w:hAnsi="Times New Roman"/>
          <w:sz w:val="24"/>
          <w:szCs w:val="24"/>
          <w:lang w:val="en"/>
        </w:rPr>
        <w:t xml:space="preserve"> </w:t>
      </w:r>
      <w:r w:rsidRPr="008E3FE0">
        <w:rPr>
          <w:rFonts w:ascii="Times New Roman" w:hAnsi="Times New Roman"/>
          <w:sz w:val="24"/>
          <w:szCs w:val="24"/>
          <w:lang w:val="en"/>
        </w:rPr>
        <w:t>M urea in 50 mM NH</w:t>
      </w:r>
      <w:r w:rsidRPr="004250DD">
        <w:rPr>
          <w:rFonts w:ascii="Times New Roman" w:hAnsi="Times New Roman"/>
          <w:sz w:val="24"/>
          <w:szCs w:val="24"/>
          <w:vertAlign w:val="subscript"/>
          <w:lang w:val="en"/>
        </w:rPr>
        <w:t>4</w:t>
      </w:r>
      <w:r w:rsidRPr="008E3FE0">
        <w:rPr>
          <w:rFonts w:ascii="Times New Roman" w:hAnsi="Times New Roman"/>
          <w:sz w:val="24"/>
          <w:szCs w:val="24"/>
          <w:lang w:val="en"/>
        </w:rPr>
        <w:t>HCO</w:t>
      </w:r>
      <w:r w:rsidRPr="004250DD">
        <w:rPr>
          <w:rFonts w:ascii="Times New Roman" w:hAnsi="Times New Roman"/>
          <w:sz w:val="24"/>
          <w:szCs w:val="24"/>
          <w:vertAlign w:val="subscript"/>
          <w:lang w:val="en"/>
        </w:rPr>
        <w:t>3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 to each well that will contain a sample. Add 5 </w:t>
      </w:r>
      <w:r w:rsidR="00F16BB6">
        <w:rPr>
          <w:rFonts w:ascii="Times New Roman" w:hAnsi="Times New Roman"/>
          <w:sz w:val="24"/>
          <w:szCs w:val="24"/>
          <w:lang w:val="en"/>
        </w:rPr>
        <w:t>µl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 of plasma sample</w:t>
      </w:r>
      <w:r w:rsidR="00CB76AD">
        <w:rPr>
          <w:rFonts w:ascii="Times New Roman" w:hAnsi="Times New Roman"/>
          <w:sz w:val="24"/>
          <w:szCs w:val="24"/>
          <w:lang w:val="en"/>
        </w:rPr>
        <w:t xml:space="preserve">. </w:t>
      </w:r>
    </w:p>
    <w:p w14:paraId="20AD5855" w14:textId="6AAFA711" w:rsidR="008E3FE0" w:rsidRDefault="008E3FE0" w:rsidP="008E3FE0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8E3FE0">
        <w:rPr>
          <w:rFonts w:ascii="Times New Roman" w:hAnsi="Times New Roman"/>
          <w:sz w:val="24"/>
          <w:szCs w:val="24"/>
          <w:lang w:val="en"/>
        </w:rPr>
        <w:t xml:space="preserve">Add 5 </w:t>
      </w:r>
      <w:r w:rsidR="00F16BB6">
        <w:rPr>
          <w:rFonts w:ascii="Times New Roman" w:hAnsi="Times New Roman"/>
          <w:sz w:val="24"/>
          <w:szCs w:val="24"/>
          <w:lang w:val="en"/>
        </w:rPr>
        <w:t>µl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 of 100 mM DTT to reach 10 mM DTT concentration in sample solution using </w:t>
      </w:r>
      <w:r w:rsidRPr="004D2A3A">
        <w:rPr>
          <w:rFonts w:ascii="Times New Roman" w:hAnsi="Times New Roman"/>
          <w:b/>
          <w:bCs/>
          <w:sz w:val="24"/>
          <w:szCs w:val="24"/>
          <w:lang w:val="en"/>
        </w:rPr>
        <w:t>epMotion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. </w:t>
      </w:r>
    </w:p>
    <w:p w14:paraId="7194EDAB" w14:textId="27B76B11" w:rsidR="008E3FE0" w:rsidRDefault="008E3FE0" w:rsidP="008E3FE0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8E3FE0">
        <w:rPr>
          <w:rFonts w:ascii="Times New Roman" w:hAnsi="Times New Roman"/>
          <w:sz w:val="24"/>
          <w:szCs w:val="24"/>
          <w:lang w:val="en"/>
        </w:rPr>
        <w:t>Incubate sample at 37</w:t>
      </w:r>
      <w:r w:rsidR="00F16BB6">
        <w:rPr>
          <w:rFonts w:ascii="Times New Roman" w:hAnsi="Times New Roman"/>
          <w:sz w:val="24"/>
          <w:szCs w:val="24"/>
          <w:lang w:val="en"/>
        </w:rPr>
        <w:t xml:space="preserve"> </w:t>
      </w:r>
      <w:r w:rsidR="00F16BB6" w:rsidRPr="00F16BB6">
        <w:rPr>
          <w:rFonts w:ascii="Times New Roman" w:eastAsiaTheme="minorHAnsi" w:hAnsi="Times New Roman"/>
          <w:sz w:val="24"/>
          <w:szCs w:val="24"/>
          <w:lang w:val="en"/>
        </w:rPr>
        <w:t>°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C for </w:t>
      </w:r>
      <w:r w:rsidR="004023E3">
        <w:rPr>
          <w:rFonts w:ascii="Times New Roman" w:hAnsi="Times New Roman"/>
          <w:sz w:val="24"/>
          <w:szCs w:val="24"/>
          <w:lang w:val="en"/>
        </w:rPr>
        <w:t>30 min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 with 1200 rpm constant shaking in Bio Shaker. </w:t>
      </w:r>
    </w:p>
    <w:p w14:paraId="4547DEB2" w14:textId="6FA92937" w:rsidR="008E3FE0" w:rsidRDefault="008E3FE0" w:rsidP="008E3FE0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8E3FE0">
        <w:rPr>
          <w:rFonts w:ascii="Times New Roman" w:hAnsi="Times New Roman"/>
          <w:sz w:val="24"/>
          <w:szCs w:val="24"/>
          <w:lang w:val="en"/>
        </w:rPr>
        <w:t xml:space="preserve">Alkylate with 40 mM Iodoacetamide using 400 mM IAA stock solution (5.5 </w:t>
      </w:r>
      <w:r w:rsidR="00F16BB6">
        <w:rPr>
          <w:rFonts w:ascii="Times New Roman" w:hAnsi="Times New Roman"/>
          <w:sz w:val="24"/>
          <w:szCs w:val="24"/>
          <w:lang w:val="en"/>
        </w:rPr>
        <w:t>µl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 per sample, </w:t>
      </w:r>
      <w:r w:rsidRPr="004D2A3A">
        <w:rPr>
          <w:rFonts w:ascii="Times New Roman" w:hAnsi="Times New Roman"/>
          <w:b/>
          <w:bCs/>
          <w:sz w:val="24"/>
          <w:szCs w:val="24"/>
          <w:lang w:val="en"/>
        </w:rPr>
        <w:t>epMotion</w:t>
      </w:r>
      <w:r w:rsidRPr="008E3FE0">
        <w:rPr>
          <w:rFonts w:ascii="Times New Roman" w:hAnsi="Times New Roman"/>
          <w:sz w:val="24"/>
          <w:szCs w:val="24"/>
          <w:lang w:val="en"/>
        </w:rPr>
        <w:t>) at 37</w:t>
      </w:r>
      <w:r w:rsidR="00F16BB6">
        <w:rPr>
          <w:rFonts w:ascii="Times New Roman" w:hAnsi="Times New Roman"/>
          <w:sz w:val="24"/>
          <w:szCs w:val="24"/>
          <w:lang w:val="en"/>
        </w:rPr>
        <w:t xml:space="preserve"> 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°C in the dark with 1200 rpm constant shaking in Shaker for 1 hour. </w:t>
      </w:r>
    </w:p>
    <w:p w14:paraId="46DA56F1" w14:textId="77777777" w:rsidR="008E3FE0" w:rsidRDefault="008E3FE0" w:rsidP="008E3FE0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8E3FE0">
        <w:rPr>
          <w:rFonts w:ascii="Times New Roman" w:hAnsi="Times New Roman"/>
          <w:sz w:val="24"/>
          <w:szCs w:val="24"/>
          <w:lang w:val="en"/>
        </w:rPr>
        <w:t>Make Master mix that includes 50 mM Ammonium Bicarbonate, pH 8.0, 1 mM CaCl</w:t>
      </w:r>
      <w:r w:rsidRPr="004250DD">
        <w:rPr>
          <w:rFonts w:ascii="Times New Roman" w:hAnsi="Times New Roman"/>
          <w:sz w:val="24"/>
          <w:szCs w:val="24"/>
          <w:vertAlign w:val="subscript"/>
          <w:lang w:val="en"/>
        </w:rPr>
        <w:t>2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 and Trypsin </w:t>
      </w:r>
    </w:p>
    <w:p w14:paraId="7215737D" w14:textId="6415BFE3" w:rsidR="008E3FE0" w:rsidRPr="00DC0EE4" w:rsidRDefault="008E3FE0" w:rsidP="008E3FE0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8E3FE0">
        <w:rPr>
          <w:rFonts w:ascii="Times New Roman" w:hAnsi="Times New Roman"/>
          <w:sz w:val="24"/>
          <w:szCs w:val="24"/>
          <w:lang w:val="en"/>
        </w:rPr>
        <w:t xml:space="preserve">Dilute samples </w:t>
      </w:r>
      <w:r w:rsidR="00816311" w:rsidRPr="008E3FE0">
        <w:rPr>
          <w:rFonts w:ascii="Times New Roman" w:hAnsi="Times New Roman"/>
          <w:sz w:val="24"/>
          <w:szCs w:val="24"/>
          <w:lang w:val="en"/>
        </w:rPr>
        <w:t>6</w:t>
      </w:r>
      <w:r w:rsidR="00816311">
        <w:rPr>
          <w:rFonts w:ascii="Times New Roman" w:hAnsi="Times New Roman"/>
          <w:sz w:val="24"/>
          <w:szCs w:val="24"/>
          <w:lang w:val="en"/>
        </w:rPr>
        <w:t>-fold</w:t>
      </w:r>
      <w:r w:rsidRPr="008E3FE0">
        <w:rPr>
          <w:rFonts w:ascii="Times New Roman" w:hAnsi="Times New Roman"/>
          <w:sz w:val="24"/>
          <w:szCs w:val="24"/>
          <w:lang w:val="en"/>
        </w:rPr>
        <w:t xml:space="preserve"> with this master Mix. </w:t>
      </w:r>
      <w:r w:rsidRPr="00CE5BF3">
        <w:rPr>
          <w:rFonts w:ascii="Times New Roman" w:hAnsi="Times New Roman"/>
          <w:b/>
          <w:bCs/>
          <w:sz w:val="24"/>
          <w:szCs w:val="24"/>
          <w:lang w:val="en"/>
        </w:rPr>
        <w:t xml:space="preserve">epMotion </w:t>
      </w:r>
    </w:p>
    <w:p w14:paraId="316F5AA1" w14:textId="29CC5970" w:rsidR="00DC0EE4" w:rsidRPr="00C87540" w:rsidRDefault="005B5732" w:rsidP="001227C8">
      <w:pPr>
        <w:pStyle w:val="ListParagraph"/>
        <w:numPr>
          <w:ilvl w:val="0"/>
          <w:numId w:val="19"/>
        </w:numPr>
        <w:spacing w:after="120" w:line="360" w:lineRule="auto"/>
        <w:ind w:left="357" w:hanging="357"/>
        <w:rPr>
          <w:rFonts w:ascii="Times New Roman" w:hAnsi="Times New Roman"/>
          <w:sz w:val="24"/>
          <w:szCs w:val="24"/>
          <w:lang w:val="en"/>
        </w:rPr>
      </w:pPr>
      <w:r w:rsidRPr="005B5732">
        <w:rPr>
          <w:rFonts w:ascii="Times New Roman" w:hAnsi="Times New Roman"/>
          <w:sz w:val="24"/>
          <w:szCs w:val="24"/>
          <w:lang w:val="en"/>
        </w:rPr>
        <w:t>Add Trypsin to achieve an enzyme-to-substrate ratio</w:t>
      </w:r>
      <w:r w:rsidR="00715ECF">
        <w:rPr>
          <w:rFonts w:ascii="Times New Roman" w:hAnsi="Times New Roman"/>
          <w:sz w:val="24"/>
          <w:szCs w:val="24"/>
          <w:lang w:val="en"/>
        </w:rPr>
        <w:t xml:space="preserve"> </w:t>
      </w:r>
      <w:r w:rsidRPr="005B5732">
        <w:rPr>
          <w:rFonts w:ascii="Times New Roman" w:hAnsi="Times New Roman"/>
          <w:sz w:val="24"/>
          <w:szCs w:val="24"/>
          <w:lang w:val="en"/>
        </w:rPr>
        <w:t>of 1 µg of Trypsin per 50 µg of total protein.</w:t>
      </w:r>
    </w:p>
    <w:p w14:paraId="0017FF4F" w14:textId="479F0E5A" w:rsidR="0012434F" w:rsidRPr="00CB76AD" w:rsidRDefault="0012434F" w:rsidP="0012434F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color w:val="000000" w:themeColor="text1"/>
          <w:sz w:val="24"/>
          <w:szCs w:val="24"/>
          <w:lang w:val="en"/>
        </w:rPr>
      </w:pPr>
      <w:r w:rsidRPr="00CB76AD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Digest sample for </w:t>
      </w:r>
      <w:r w:rsidR="00CE5BF3" w:rsidRPr="00CB76AD">
        <w:rPr>
          <w:rFonts w:ascii="Times New Roman" w:hAnsi="Times New Roman"/>
          <w:color w:val="000000" w:themeColor="text1"/>
          <w:sz w:val="24"/>
          <w:szCs w:val="24"/>
          <w:lang w:val="en"/>
        </w:rPr>
        <w:t>6</w:t>
      </w:r>
      <w:r w:rsidRPr="00CB76AD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hours at </w:t>
      </w:r>
      <w:r w:rsidR="00F16BB6" w:rsidRPr="00CB76AD">
        <w:rPr>
          <w:rFonts w:ascii="Times New Roman" w:hAnsi="Times New Roman"/>
          <w:color w:val="000000" w:themeColor="text1"/>
          <w:sz w:val="24"/>
          <w:szCs w:val="24"/>
          <w:lang w:val="en"/>
        </w:rPr>
        <w:t>37</w:t>
      </w:r>
      <w:r w:rsidR="00F16BB6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</w:t>
      </w:r>
      <w:r w:rsidR="00F16BB6" w:rsidRPr="008E3FE0">
        <w:rPr>
          <w:rFonts w:ascii="Times New Roman" w:hAnsi="Times New Roman"/>
          <w:sz w:val="24"/>
          <w:szCs w:val="24"/>
          <w:lang w:val="en"/>
        </w:rPr>
        <w:t>°C</w:t>
      </w:r>
      <w:r w:rsidR="00F16BB6" w:rsidRPr="00CB76AD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</w:t>
      </w:r>
      <w:r w:rsidRPr="00CB76AD">
        <w:rPr>
          <w:rFonts w:ascii="Times New Roman" w:hAnsi="Times New Roman"/>
          <w:color w:val="000000" w:themeColor="text1"/>
          <w:sz w:val="24"/>
          <w:szCs w:val="24"/>
          <w:lang w:val="en"/>
        </w:rPr>
        <w:t>with constant shaking at 1100 rpm in Bio Shaker</w:t>
      </w:r>
    </w:p>
    <w:p w14:paraId="6CE9CC83" w14:textId="0A01701D" w:rsidR="005C3B92" w:rsidRDefault="0012434F" w:rsidP="00681CDA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8E3FE0">
        <w:rPr>
          <w:rFonts w:ascii="Times New Roman" w:hAnsi="Times New Roman"/>
          <w:sz w:val="24"/>
          <w:szCs w:val="24"/>
          <w:lang w:val="en"/>
        </w:rPr>
        <w:t xml:space="preserve">Stop digestion by acidifying sample with TFA to ~pH 3.0 (final TFA concentration of 0.1% TFA). </w:t>
      </w:r>
      <w:r w:rsidR="00794D71" w:rsidRPr="00794D71">
        <w:rPr>
          <w:rFonts w:ascii="Times New Roman" w:hAnsi="Times New Roman"/>
          <w:sz w:val="24"/>
          <w:szCs w:val="24"/>
          <w:lang w:val="en"/>
        </w:rPr>
        <w:t>The final volume of each sample is approximately 500 µL</w:t>
      </w:r>
      <w:r w:rsidR="00CD7175">
        <w:rPr>
          <w:rFonts w:ascii="Times New Roman" w:hAnsi="Times New Roman"/>
          <w:sz w:val="24"/>
          <w:szCs w:val="24"/>
          <w:lang w:val="en"/>
        </w:rPr>
        <w:t>.</w:t>
      </w:r>
    </w:p>
    <w:p w14:paraId="5329E345" w14:textId="116B394A" w:rsidR="004F6BB3" w:rsidRPr="004F6BB3" w:rsidRDefault="004F6BB3" w:rsidP="004F6BB3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4F6BB3">
        <w:rPr>
          <w:rFonts w:ascii="Times New Roman" w:hAnsi="Times New Roman"/>
          <w:sz w:val="24"/>
          <w:szCs w:val="24"/>
          <w:lang w:val="en"/>
        </w:rPr>
        <w:t>Prepare the heavy peptide mixture (calculate the volume for 100 wells)</w:t>
      </w:r>
      <w:r w:rsidR="00F16BB6">
        <w:rPr>
          <w:rFonts w:ascii="Times New Roman" w:hAnsi="Times New Roman"/>
          <w:sz w:val="24"/>
          <w:szCs w:val="24"/>
          <w:lang w:val="en"/>
        </w:rPr>
        <w:t>.</w:t>
      </w:r>
    </w:p>
    <w:p w14:paraId="0580294D" w14:textId="6FB4D8FE" w:rsidR="004F6BB3" w:rsidRPr="00861453" w:rsidRDefault="004F6BB3" w:rsidP="00861453">
      <w:pPr>
        <w:pStyle w:val="ListParagraph"/>
        <w:spacing w:after="120" w:line="360" w:lineRule="auto"/>
        <w:ind w:left="360"/>
        <w:rPr>
          <w:rFonts w:ascii="Times New Roman" w:hAnsi="Times New Roman"/>
          <w:sz w:val="24"/>
          <w:szCs w:val="24"/>
          <w:lang w:val="en"/>
        </w:rPr>
      </w:pPr>
      <w:r w:rsidRPr="004F6BB3">
        <w:rPr>
          <w:rFonts w:ascii="Times New Roman" w:hAnsi="Times New Roman"/>
          <w:sz w:val="24"/>
          <w:szCs w:val="24"/>
          <w:lang w:val="en"/>
        </w:rPr>
        <w:lastRenderedPageBreak/>
        <w:t>Note</w:t>
      </w:r>
      <w:r w:rsidR="003720C9">
        <w:rPr>
          <w:rFonts w:ascii="Times New Roman" w:hAnsi="Times New Roman"/>
          <w:sz w:val="24"/>
          <w:szCs w:val="24"/>
          <w:lang w:val="en"/>
        </w:rPr>
        <w:t>:</w:t>
      </w:r>
      <w:r w:rsidR="003720C9" w:rsidRPr="004F6BB3">
        <w:rPr>
          <w:rFonts w:ascii="Times New Roman" w:hAnsi="Times New Roman"/>
          <w:sz w:val="24"/>
          <w:szCs w:val="24"/>
          <w:lang w:val="en"/>
        </w:rPr>
        <w:t xml:space="preserve"> </w:t>
      </w:r>
      <w:r w:rsidRPr="004F6BB3">
        <w:rPr>
          <w:rFonts w:ascii="Times New Roman" w:hAnsi="Times New Roman"/>
          <w:sz w:val="24"/>
          <w:szCs w:val="24"/>
          <w:lang w:val="en"/>
        </w:rPr>
        <w:t>The stock of heavy peptide mixture is 500 fmol/</w:t>
      </w:r>
      <w:r w:rsidR="00F16BB6">
        <w:rPr>
          <w:rFonts w:ascii="Times New Roman" w:hAnsi="Times New Roman"/>
          <w:sz w:val="24"/>
          <w:szCs w:val="24"/>
          <w:lang w:val="en"/>
        </w:rPr>
        <w:t>µl.</w:t>
      </w:r>
      <w:r w:rsidR="008519FF">
        <w:rPr>
          <w:rFonts w:ascii="Times New Roman" w:hAnsi="Times New Roman"/>
          <w:sz w:val="24"/>
          <w:szCs w:val="24"/>
          <w:lang w:val="en"/>
        </w:rPr>
        <w:br/>
      </w:r>
      <w:r w:rsidRPr="00861453">
        <w:rPr>
          <w:rFonts w:ascii="Times New Roman" w:hAnsi="Times New Roman" w:hint="eastAsia"/>
          <w:sz w:val="24"/>
          <w:szCs w:val="24"/>
          <w:lang w:val="en"/>
        </w:rPr>
        <w:t>Premix 50</w:t>
      </w:r>
      <w:r w:rsidR="00F16BB6">
        <w:rPr>
          <w:rFonts w:ascii="Times New Roman" w:hAnsi="Times New Roman" w:hint="eastAsia"/>
          <w:sz w:val="24"/>
          <w:szCs w:val="24"/>
          <w:lang w:val="en"/>
        </w:rPr>
        <w:t>µl</w:t>
      </w:r>
      <w:r w:rsidRPr="00861453">
        <w:rPr>
          <w:rFonts w:ascii="Times New Roman" w:hAnsi="Times New Roman" w:hint="eastAsia"/>
          <w:sz w:val="24"/>
          <w:szCs w:val="24"/>
          <w:lang w:val="en"/>
        </w:rPr>
        <w:t xml:space="preserve"> heavy peptide mixture stock and 4</w:t>
      </w:r>
      <w:r w:rsidR="00861453">
        <w:rPr>
          <w:rFonts w:ascii="Times New Roman" w:hAnsi="Times New Roman"/>
          <w:sz w:val="24"/>
          <w:szCs w:val="24"/>
          <w:lang w:val="en"/>
        </w:rPr>
        <w:t>5</w:t>
      </w:r>
      <w:r w:rsidRPr="00861453">
        <w:rPr>
          <w:rFonts w:ascii="Times New Roman" w:hAnsi="Times New Roman" w:hint="eastAsia"/>
          <w:sz w:val="24"/>
          <w:szCs w:val="24"/>
          <w:lang w:val="en"/>
        </w:rPr>
        <w:t xml:space="preserve">0 </w:t>
      </w:r>
      <w:r w:rsidR="00F16BB6">
        <w:rPr>
          <w:rFonts w:ascii="Times New Roman" w:hAnsi="Times New Roman" w:hint="eastAsia"/>
          <w:sz w:val="24"/>
          <w:szCs w:val="24"/>
          <w:lang w:val="en"/>
        </w:rPr>
        <w:t>µl</w:t>
      </w:r>
      <w:r w:rsidRPr="00861453">
        <w:rPr>
          <w:rFonts w:ascii="Times New Roman" w:hAnsi="Times New Roman" w:hint="eastAsia"/>
          <w:sz w:val="24"/>
          <w:szCs w:val="24"/>
          <w:lang w:val="en"/>
        </w:rPr>
        <w:t xml:space="preserve"> 0.1% FA (The </w:t>
      </w:r>
      <w:r w:rsidR="00F16BB6">
        <w:rPr>
          <w:rFonts w:ascii="Times New Roman" w:hAnsi="Times New Roman"/>
          <w:sz w:val="24"/>
          <w:szCs w:val="24"/>
          <w:lang w:val="en"/>
        </w:rPr>
        <w:t>c</w:t>
      </w:r>
      <w:r w:rsidR="00F16BB6" w:rsidRPr="00861453">
        <w:rPr>
          <w:rFonts w:ascii="Times New Roman" w:hAnsi="Times New Roman" w:hint="eastAsia"/>
          <w:sz w:val="24"/>
          <w:szCs w:val="24"/>
          <w:lang w:val="en"/>
        </w:rPr>
        <w:t>onc</w:t>
      </w:r>
      <w:r w:rsidR="00F16BB6">
        <w:rPr>
          <w:rFonts w:ascii="Times New Roman" w:hAnsi="Times New Roman"/>
          <w:sz w:val="24"/>
          <w:szCs w:val="24"/>
          <w:lang w:val="en"/>
        </w:rPr>
        <w:t>entration</w:t>
      </w:r>
      <w:r w:rsidR="00F16BB6" w:rsidRPr="00861453">
        <w:rPr>
          <w:rFonts w:ascii="Times New Roman" w:hAnsi="Times New Roman" w:hint="eastAsia"/>
          <w:sz w:val="24"/>
          <w:szCs w:val="24"/>
          <w:lang w:val="en"/>
        </w:rPr>
        <w:t xml:space="preserve"> </w:t>
      </w:r>
      <w:r w:rsidR="00861453">
        <w:rPr>
          <w:rFonts w:ascii="Times New Roman" w:hAnsi="Times New Roman"/>
          <w:sz w:val="24"/>
          <w:szCs w:val="24"/>
          <w:lang w:val="en"/>
        </w:rPr>
        <w:t>is</w:t>
      </w:r>
      <w:r w:rsidRPr="00861453">
        <w:rPr>
          <w:rFonts w:ascii="Times New Roman" w:hAnsi="Times New Roman" w:hint="eastAsia"/>
          <w:sz w:val="24"/>
          <w:szCs w:val="24"/>
          <w:lang w:val="en"/>
        </w:rPr>
        <w:t xml:space="preserve"> 50 fmol/</w:t>
      </w:r>
      <w:r w:rsidR="00F16BB6">
        <w:rPr>
          <w:rFonts w:ascii="Times New Roman" w:hAnsi="Times New Roman" w:hint="eastAsia"/>
          <w:sz w:val="24"/>
          <w:szCs w:val="24"/>
          <w:lang w:val="en"/>
        </w:rPr>
        <w:t>µl</w:t>
      </w:r>
      <w:r w:rsidR="00861453">
        <w:rPr>
          <w:rFonts w:ascii="Times New Roman" w:hAnsi="Times New Roman"/>
          <w:sz w:val="24"/>
          <w:szCs w:val="24"/>
          <w:lang w:val="en"/>
        </w:rPr>
        <w:t>)</w:t>
      </w:r>
      <w:r w:rsidR="00F16BB6">
        <w:rPr>
          <w:rFonts w:ascii="Times New Roman" w:hAnsi="Times New Roman"/>
          <w:sz w:val="24"/>
          <w:szCs w:val="24"/>
          <w:lang w:val="en"/>
        </w:rPr>
        <w:t>.</w:t>
      </w:r>
    </w:p>
    <w:p w14:paraId="6682B38A" w14:textId="710E873D" w:rsidR="004F6BB3" w:rsidRDefault="004F6BB3" w:rsidP="00861453">
      <w:pPr>
        <w:pStyle w:val="ListParagraph"/>
        <w:numPr>
          <w:ilvl w:val="0"/>
          <w:numId w:val="19"/>
        </w:num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  <w:r w:rsidRPr="004F6BB3">
        <w:rPr>
          <w:rFonts w:ascii="Times New Roman" w:hAnsi="Times New Roman"/>
          <w:sz w:val="24"/>
          <w:szCs w:val="24"/>
          <w:lang w:val="en"/>
        </w:rPr>
        <w:t xml:space="preserve">Add 5 </w:t>
      </w:r>
      <w:r w:rsidR="00F16BB6">
        <w:rPr>
          <w:rFonts w:ascii="Times New Roman" w:hAnsi="Times New Roman"/>
          <w:sz w:val="24"/>
          <w:szCs w:val="24"/>
          <w:lang w:val="en"/>
        </w:rPr>
        <w:t>µl</w:t>
      </w:r>
      <w:r w:rsidRPr="004F6BB3">
        <w:rPr>
          <w:rFonts w:ascii="Times New Roman" w:hAnsi="Times New Roman"/>
          <w:sz w:val="24"/>
          <w:szCs w:val="24"/>
          <w:lang w:val="en"/>
        </w:rPr>
        <w:t xml:space="preserve"> of heavy peptide mixture to the 500 </w:t>
      </w:r>
      <w:r w:rsidR="00F16BB6">
        <w:rPr>
          <w:rFonts w:ascii="Times New Roman" w:hAnsi="Times New Roman"/>
          <w:sz w:val="24"/>
          <w:szCs w:val="24"/>
          <w:lang w:val="en"/>
        </w:rPr>
        <w:t>µl</w:t>
      </w:r>
      <w:r w:rsidRPr="004F6BB3">
        <w:rPr>
          <w:rFonts w:ascii="Times New Roman" w:hAnsi="Times New Roman"/>
          <w:sz w:val="24"/>
          <w:szCs w:val="24"/>
          <w:lang w:val="en"/>
        </w:rPr>
        <w:t xml:space="preserve"> Axygen plates</w:t>
      </w:r>
      <w:r w:rsidR="00F16BB6">
        <w:rPr>
          <w:rFonts w:ascii="Times New Roman" w:hAnsi="Times New Roman"/>
          <w:sz w:val="24"/>
          <w:szCs w:val="24"/>
          <w:lang w:val="en"/>
        </w:rPr>
        <w:t>.</w:t>
      </w:r>
    </w:p>
    <w:p w14:paraId="0D509258" w14:textId="77777777" w:rsidR="00861453" w:rsidRPr="00861453" w:rsidRDefault="00861453" w:rsidP="00861453">
      <w:pPr>
        <w:spacing w:after="120" w:line="360" w:lineRule="auto"/>
        <w:rPr>
          <w:rFonts w:ascii="Times New Roman" w:hAnsi="Times New Roman"/>
          <w:sz w:val="24"/>
          <w:szCs w:val="24"/>
          <w:lang w:val="en"/>
        </w:rPr>
      </w:pPr>
    </w:p>
    <w:p w14:paraId="534C3BB5" w14:textId="3EE2008E" w:rsidR="005C3B92" w:rsidRPr="0026433B" w:rsidRDefault="00440D49" w:rsidP="00681CDA">
      <w:pPr>
        <w:spacing w:after="120"/>
        <w:rPr>
          <w:rFonts w:ascii="Times New Roman" w:hAnsi="Times New Roman"/>
          <w:i/>
          <w:iCs/>
          <w:sz w:val="24"/>
          <w:szCs w:val="24"/>
          <w:u w:val="single"/>
          <w:lang w:val="en"/>
        </w:rPr>
      </w:pPr>
      <w:r>
        <w:rPr>
          <w:rFonts w:ascii="Times New Roman" w:hAnsi="Times New Roman"/>
          <w:i/>
          <w:iCs/>
          <w:sz w:val="24"/>
          <w:szCs w:val="24"/>
          <w:u w:val="single"/>
          <w:lang w:val="en"/>
        </w:rPr>
        <w:t>C18 SEP clean-up</w:t>
      </w:r>
    </w:p>
    <w:p w14:paraId="37968127" w14:textId="6F8017E9" w:rsidR="00BE46FE" w:rsidRDefault="00BE46FE" w:rsidP="00BE46FE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BE46FE">
        <w:rPr>
          <w:rFonts w:ascii="Times New Roman" w:hAnsi="Times New Roman"/>
          <w:sz w:val="24"/>
          <w:szCs w:val="24"/>
          <w:lang w:val="en"/>
        </w:rPr>
        <w:t>Prepare C18 SPE plate using the Positive Pressure Manifold</w:t>
      </w:r>
      <w:r>
        <w:rPr>
          <w:rFonts w:ascii="Times New Roman" w:hAnsi="Times New Roman"/>
          <w:sz w:val="24"/>
          <w:szCs w:val="24"/>
          <w:lang w:val="en"/>
        </w:rPr>
        <w:t xml:space="preserve"> </w:t>
      </w:r>
      <w:r w:rsidRPr="00BE46FE">
        <w:rPr>
          <w:rFonts w:ascii="Times New Roman" w:hAnsi="Times New Roman"/>
          <w:sz w:val="24"/>
          <w:szCs w:val="24"/>
          <w:lang w:val="en"/>
        </w:rPr>
        <w:t>(CEREX SYSTEM 96 PROCESSOR)</w:t>
      </w:r>
      <w:r>
        <w:rPr>
          <w:rFonts w:ascii="Times New Roman" w:hAnsi="Times New Roman"/>
          <w:sz w:val="24"/>
          <w:szCs w:val="24"/>
          <w:lang w:val="en"/>
        </w:rPr>
        <w:t>.</w:t>
      </w:r>
      <w:r w:rsidRPr="00BE46FE">
        <w:rPr>
          <w:rFonts w:ascii="Times New Roman" w:hAnsi="Times New Roman"/>
          <w:sz w:val="24"/>
          <w:szCs w:val="24"/>
          <w:lang w:val="en"/>
        </w:rPr>
        <w:t xml:space="preserve"> </w:t>
      </w:r>
      <w:r w:rsidR="003720C9">
        <w:rPr>
          <w:rFonts w:ascii="Times New Roman" w:hAnsi="Times New Roman"/>
          <w:sz w:val="24"/>
          <w:szCs w:val="24"/>
          <w:lang w:val="en"/>
        </w:rPr>
        <w:t>U</w:t>
      </w:r>
      <w:r w:rsidRPr="00BE46FE">
        <w:rPr>
          <w:rFonts w:ascii="Times New Roman" w:hAnsi="Times New Roman"/>
          <w:sz w:val="24"/>
          <w:szCs w:val="24"/>
          <w:lang w:val="en"/>
        </w:rPr>
        <w:t>s</w:t>
      </w:r>
      <w:r w:rsidR="003720C9">
        <w:rPr>
          <w:rFonts w:ascii="Times New Roman" w:hAnsi="Times New Roman"/>
          <w:sz w:val="24"/>
          <w:szCs w:val="24"/>
          <w:lang w:val="en"/>
        </w:rPr>
        <w:t>e</w:t>
      </w:r>
      <w:r w:rsidRPr="00BE46FE">
        <w:rPr>
          <w:rFonts w:ascii="Times New Roman" w:hAnsi="Times New Roman"/>
          <w:sz w:val="24"/>
          <w:szCs w:val="24"/>
          <w:lang w:val="en"/>
        </w:rPr>
        <w:t xml:space="preserve"> low flow setting (3 psi is usually sufficient)</w:t>
      </w:r>
      <w:r w:rsidR="003720C9">
        <w:rPr>
          <w:rFonts w:ascii="Times New Roman" w:hAnsi="Times New Roman"/>
          <w:sz w:val="24"/>
          <w:szCs w:val="24"/>
          <w:lang w:val="en"/>
        </w:rPr>
        <w:t>.</w:t>
      </w:r>
    </w:p>
    <w:p w14:paraId="4D910AD3" w14:textId="00F44F65" w:rsidR="00B13B1A" w:rsidRPr="00BE46FE" w:rsidRDefault="00B13B1A" w:rsidP="00BE46FE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BE46FE">
        <w:rPr>
          <w:rFonts w:ascii="Times New Roman" w:hAnsi="Times New Roman"/>
          <w:sz w:val="24"/>
          <w:szCs w:val="24"/>
          <w:lang w:val="en"/>
        </w:rPr>
        <w:t xml:space="preserve">Condition SPE plate columns by rinsing with 1.5 mL of MeOH. </w:t>
      </w:r>
    </w:p>
    <w:p w14:paraId="4769DB17" w14:textId="23E57622" w:rsidR="009F5A21" w:rsidRDefault="00B13B1A" w:rsidP="005F08BC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>Let MeOH pass through the SPE plate</w:t>
      </w:r>
      <w:r w:rsidR="00131EEA">
        <w:rPr>
          <w:rFonts w:ascii="Times New Roman" w:hAnsi="Times New Roman"/>
          <w:sz w:val="24"/>
          <w:szCs w:val="24"/>
          <w:lang w:val="en"/>
        </w:rPr>
        <w:t>.</w:t>
      </w:r>
    </w:p>
    <w:p w14:paraId="7B82607E" w14:textId="5B8D9CB8" w:rsidR="0038133A" w:rsidRDefault="0038133A" w:rsidP="001E1276">
      <w:pPr>
        <w:pStyle w:val="ListParagraph"/>
        <w:numPr>
          <w:ilvl w:val="0"/>
          <w:numId w:val="22"/>
        </w:numPr>
        <w:spacing w:after="120" w:line="360" w:lineRule="auto"/>
        <w:ind w:left="357" w:hanging="357"/>
        <w:rPr>
          <w:rFonts w:ascii="Times New Roman" w:hAnsi="Times New Roman"/>
          <w:sz w:val="24"/>
          <w:szCs w:val="24"/>
          <w:lang w:val="en"/>
        </w:rPr>
      </w:pPr>
      <w:r w:rsidRPr="0038133A">
        <w:rPr>
          <w:rFonts w:ascii="Times New Roman" w:hAnsi="Times New Roman"/>
          <w:sz w:val="24"/>
          <w:szCs w:val="24"/>
          <w:lang w:val="en"/>
        </w:rPr>
        <w:t xml:space="preserve">Condition SPE plate columns by rinsing with 1.5 mL of </w:t>
      </w:r>
      <w:bookmarkStart w:id="0" w:name="_Hlk80114251"/>
      <w:r w:rsidRPr="00C0473B">
        <w:rPr>
          <w:rFonts w:ascii="Times New Roman" w:hAnsi="Times New Roman"/>
          <w:sz w:val="24"/>
          <w:szCs w:val="24"/>
          <w:lang w:val="en"/>
        </w:rPr>
        <w:t xml:space="preserve">80% </w:t>
      </w:r>
      <w:r>
        <w:rPr>
          <w:rFonts w:ascii="Times New Roman" w:hAnsi="Times New Roman"/>
          <w:sz w:val="24"/>
          <w:szCs w:val="24"/>
          <w:lang w:val="en"/>
        </w:rPr>
        <w:t>ACN, 0.1% TFA</w:t>
      </w:r>
      <w:bookmarkEnd w:id="0"/>
      <w:r>
        <w:rPr>
          <w:rFonts w:ascii="Times New Roman" w:hAnsi="Times New Roman"/>
          <w:sz w:val="24"/>
          <w:szCs w:val="24"/>
          <w:lang w:val="en"/>
        </w:rPr>
        <w:t>.</w:t>
      </w:r>
    </w:p>
    <w:p w14:paraId="18F36A8A" w14:textId="72183FD5" w:rsidR="001E1276" w:rsidRPr="001E1276" w:rsidRDefault="001E1276" w:rsidP="001E1276">
      <w:pPr>
        <w:pStyle w:val="ListParagraph"/>
        <w:numPr>
          <w:ilvl w:val="0"/>
          <w:numId w:val="22"/>
        </w:numPr>
        <w:spacing w:after="120" w:line="360" w:lineRule="auto"/>
        <w:ind w:left="357" w:hanging="357"/>
        <w:rPr>
          <w:rFonts w:ascii="Times New Roman" w:hAnsi="Times New Roman"/>
          <w:sz w:val="24"/>
          <w:szCs w:val="24"/>
          <w:lang w:val="en"/>
        </w:rPr>
      </w:pPr>
      <w:r w:rsidRPr="001E1276">
        <w:rPr>
          <w:rFonts w:ascii="Times New Roman" w:hAnsi="Times New Roman"/>
          <w:sz w:val="24"/>
          <w:szCs w:val="24"/>
          <w:lang w:val="en"/>
        </w:rPr>
        <w:t>Let 80% ACN, 0.1% TFA pass through the SPE plate.</w:t>
      </w:r>
    </w:p>
    <w:p w14:paraId="2EA03BDB" w14:textId="77777777" w:rsidR="00B13B1A" w:rsidRPr="00112B8A" w:rsidRDefault="00B13B1A" w:rsidP="00112B8A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 xml:space="preserve">Finish plate columns conditioning by rinsing with 1 mL of 0.1% TFA. </w:t>
      </w:r>
    </w:p>
    <w:p w14:paraId="0AA24DF0" w14:textId="5876BE92" w:rsidR="00B13B1A" w:rsidRPr="00112B8A" w:rsidRDefault="00B13B1A" w:rsidP="00112B8A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 xml:space="preserve">Let solution completely go through the columns. </w:t>
      </w:r>
    </w:p>
    <w:p w14:paraId="609F32BF" w14:textId="5C041CFE" w:rsidR="00B13B1A" w:rsidRPr="00112B8A" w:rsidRDefault="00B13B1A" w:rsidP="00112B8A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 xml:space="preserve">Load </w:t>
      </w:r>
      <w:r w:rsidR="00124A19">
        <w:rPr>
          <w:rFonts w:ascii="Times New Roman" w:hAnsi="Times New Roman"/>
          <w:sz w:val="24"/>
          <w:szCs w:val="24"/>
          <w:lang w:val="en"/>
        </w:rPr>
        <w:t>50</w:t>
      </w:r>
      <w:r w:rsidR="003720C9">
        <w:rPr>
          <w:rFonts w:ascii="Times New Roman" w:hAnsi="Times New Roman"/>
          <w:sz w:val="24"/>
          <w:szCs w:val="24"/>
          <w:lang w:val="en"/>
        </w:rPr>
        <w:t xml:space="preserve"> </w:t>
      </w:r>
      <w:r w:rsidR="00F16BB6">
        <w:rPr>
          <w:rFonts w:ascii="Times New Roman" w:hAnsi="Times New Roman"/>
          <w:sz w:val="24"/>
          <w:szCs w:val="24"/>
          <w:lang w:val="en"/>
        </w:rPr>
        <w:t>µl</w:t>
      </w:r>
      <w:r w:rsidR="00124A19">
        <w:rPr>
          <w:rFonts w:ascii="Times New Roman" w:hAnsi="Times New Roman"/>
          <w:sz w:val="24"/>
          <w:szCs w:val="24"/>
          <w:lang w:val="en"/>
        </w:rPr>
        <w:t xml:space="preserve"> of each </w:t>
      </w:r>
      <w:r w:rsidR="00013F53" w:rsidRPr="00112B8A">
        <w:rPr>
          <w:rFonts w:ascii="Times New Roman" w:hAnsi="Times New Roman"/>
          <w:sz w:val="24"/>
          <w:szCs w:val="24"/>
          <w:lang w:val="en"/>
        </w:rPr>
        <w:t>sample</w:t>
      </w:r>
      <w:r w:rsidRPr="00112B8A">
        <w:rPr>
          <w:rFonts w:ascii="Times New Roman" w:hAnsi="Times New Roman"/>
          <w:sz w:val="24"/>
          <w:szCs w:val="24"/>
          <w:lang w:val="en"/>
        </w:rPr>
        <w:t xml:space="preserve"> on the plate columns</w:t>
      </w:r>
      <w:r w:rsidR="00013F53">
        <w:rPr>
          <w:rFonts w:ascii="Times New Roman" w:hAnsi="Times New Roman"/>
          <w:sz w:val="24"/>
          <w:szCs w:val="24"/>
          <w:lang w:val="en"/>
        </w:rPr>
        <w:t xml:space="preserve"> with </w:t>
      </w:r>
      <w:r w:rsidR="00013F53" w:rsidRPr="004F6BB3">
        <w:rPr>
          <w:rFonts w:ascii="Times New Roman" w:hAnsi="Times New Roman"/>
          <w:sz w:val="24"/>
          <w:szCs w:val="24"/>
          <w:lang w:val="en"/>
        </w:rPr>
        <w:t xml:space="preserve">5 </w:t>
      </w:r>
      <w:r w:rsidR="00F16BB6">
        <w:rPr>
          <w:rFonts w:ascii="Times New Roman" w:hAnsi="Times New Roman"/>
          <w:sz w:val="24"/>
          <w:szCs w:val="24"/>
          <w:lang w:val="en"/>
        </w:rPr>
        <w:t>µl</w:t>
      </w:r>
      <w:r w:rsidR="00013F53" w:rsidRPr="004F6BB3">
        <w:rPr>
          <w:rFonts w:ascii="Times New Roman" w:hAnsi="Times New Roman"/>
          <w:sz w:val="24"/>
          <w:szCs w:val="24"/>
          <w:lang w:val="en"/>
        </w:rPr>
        <w:t xml:space="preserve"> of heavy peptide mixture</w:t>
      </w:r>
      <w:r w:rsidRPr="00112B8A">
        <w:rPr>
          <w:rFonts w:ascii="Times New Roman" w:hAnsi="Times New Roman"/>
          <w:sz w:val="24"/>
          <w:szCs w:val="24"/>
          <w:lang w:val="en"/>
        </w:rPr>
        <w:t xml:space="preserve">. Collect and store flow through. </w:t>
      </w:r>
    </w:p>
    <w:p w14:paraId="5A431EA4" w14:textId="794F5B23" w:rsidR="00B13B1A" w:rsidRPr="00112B8A" w:rsidRDefault="00B13B1A" w:rsidP="00112B8A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 xml:space="preserve">Wash columns containing samples with 2 mL of 0.1% TFA into 2 mL Deepwell Plate (Eppendorf). </w:t>
      </w:r>
    </w:p>
    <w:p w14:paraId="25430ABC" w14:textId="26E92D27" w:rsidR="00604F6D" w:rsidRDefault="00B13B1A" w:rsidP="00604F6D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 xml:space="preserve">Elute samples into 1 mL Deepwell Plate (Axygen) with 0.4 mL of </w:t>
      </w:r>
      <w:bookmarkStart w:id="1" w:name="_Hlk70377024"/>
      <w:r w:rsidRPr="00112B8A">
        <w:rPr>
          <w:rFonts w:ascii="Times New Roman" w:hAnsi="Times New Roman"/>
          <w:sz w:val="24"/>
          <w:szCs w:val="24"/>
          <w:lang w:val="en"/>
        </w:rPr>
        <w:t xml:space="preserve">80% </w:t>
      </w:r>
      <w:r w:rsidR="00604F6D">
        <w:rPr>
          <w:rFonts w:ascii="Times New Roman" w:hAnsi="Times New Roman"/>
          <w:sz w:val="24"/>
          <w:szCs w:val="24"/>
          <w:lang w:val="en"/>
        </w:rPr>
        <w:t>ACN</w:t>
      </w:r>
      <w:r w:rsidR="001C2D1F">
        <w:rPr>
          <w:rFonts w:ascii="Times New Roman" w:hAnsi="Times New Roman"/>
          <w:sz w:val="24"/>
          <w:szCs w:val="24"/>
          <w:lang w:val="en"/>
        </w:rPr>
        <w:t>, 0.1% TFA</w:t>
      </w:r>
      <w:bookmarkEnd w:id="1"/>
      <w:r w:rsidRPr="00112B8A">
        <w:rPr>
          <w:rFonts w:ascii="Times New Roman" w:hAnsi="Times New Roman"/>
          <w:sz w:val="24"/>
          <w:szCs w:val="24"/>
          <w:lang w:val="en"/>
        </w:rPr>
        <w:t xml:space="preserve">. </w:t>
      </w:r>
    </w:p>
    <w:p w14:paraId="09645E93" w14:textId="77777777" w:rsidR="00B13B1A" w:rsidRPr="00112B8A" w:rsidRDefault="00B13B1A" w:rsidP="00112B8A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 xml:space="preserve">Cover plate with Breathe-Easy adhesive membrane and place it into Speed-Vac. </w:t>
      </w:r>
    </w:p>
    <w:p w14:paraId="001F885A" w14:textId="24D91909" w:rsidR="00B13B1A" w:rsidRPr="00112B8A" w:rsidRDefault="00B13B1A" w:rsidP="00112B8A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 xml:space="preserve">Dry samples </w:t>
      </w:r>
      <w:r w:rsidR="003720C9">
        <w:rPr>
          <w:rFonts w:ascii="Times New Roman" w:hAnsi="Times New Roman"/>
          <w:sz w:val="24"/>
          <w:szCs w:val="24"/>
          <w:lang w:val="en"/>
        </w:rPr>
        <w:t>to complete dryness</w:t>
      </w:r>
      <w:r w:rsidRPr="00112B8A">
        <w:rPr>
          <w:rFonts w:ascii="Times New Roman" w:hAnsi="Times New Roman"/>
          <w:sz w:val="24"/>
          <w:szCs w:val="24"/>
          <w:lang w:val="en"/>
        </w:rPr>
        <w:t xml:space="preserve">. </w:t>
      </w:r>
    </w:p>
    <w:p w14:paraId="36B9AC82" w14:textId="37A2432A" w:rsidR="00B13B1A" w:rsidRDefault="00B13B1A" w:rsidP="00112B8A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112B8A">
        <w:rPr>
          <w:rFonts w:ascii="Times New Roman" w:hAnsi="Times New Roman"/>
          <w:sz w:val="24"/>
          <w:szCs w:val="24"/>
          <w:lang w:val="en"/>
        </w:rPr>
        <w:t xml:space="preserve">Rehydrate samples in </w:t>
      </w:r>
      <w:r w:rsidR="00777F72">
        <w:rPr>
          <w:rFonts w:ascii="Times New Roman" w:hAnsi="Times New Roman"/>
          <w:sz w:val="24"/>
          <w:szCs w:val="24"/>
          <w:lang w:val="en"/>
        </w:rPr>
        <w:t>5</w:t>
      </w:r>
      <w:r w:rsidRPr="00112B8A">
        <w:rPr>
          <w:rFonts w:ascii="Times New Roman" w:hAnsi="Times New Roman"/>
          <w:sz w:val="24"/>
          <w:szCs w:val="24"/>
          <w:lang w:val="en"/>
        </w:rPr>
        <w:t xml:space="preserve">0 </w:t>
      </w:r>
      <w:r w:rsidR="00F16BB6">
        <w:rPr>
          <w:rFonts w:ascii="Times New Roman" w:hAnsi="Times New Roman"/>
          <w:sz w:val="24"/>
          <w:szCs w:val="24"/>
          <w:lang w:val="en"/>
        </w:rPr>
        <w:t>µl</w:t>
      </w:r>
      <w:r w:rsidRPr="00112B8A">
        <w:rPr>
          <w:rFonts w:ascii="Times New Roman" w:hAnsi="Times New Roman"/>
          <w:sz w:val="24"/>
          <w:szCs w:val="24"/>
          <w:lang w:val="en"/>
        </w:rPr>
        <w:t xml:space="preserve"> of nano pure H</w:t>
      </w:r>
      <w:r w:rsidRPr="004250DD">
        <w:rPr>
          <w:rFonts w:ascii="Times New Roman" w:hAnsi="Times New Roman"/>
          <w:sz w:val="24"/>
          <w:szCs w:val="24"/>
          <w:vertAlign w:val="subscript"/>
          <w:lang w:val="en"/>
        </w:rPr>
        <w:t>2</w:t>
      </w:r>
      <w:r w:rsidRPr="00112B8A">
        <w:rPr>
          <w:rFonts w:ascii="Times New Roman" w:hAnsi="Times New Roman"/>
          <w:sz w:val="24"/>
          <w:szCs w:val="24"/>
          <w:lang w:val="en"/>
        </w:rPr>
        <w:t xml:space="preserve">O. </w:t>
      </w:r>
    </w:p>
    <w:p w14:paraId="66B12D31" w14:textId="1A15D6C4" w:rsidR="00684B2D" w:rsidRPr="00946329" w:rsidRDefault="00F473AA" w:rsidP="00321B42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4"/>
          <w:szCs w:val="24"/>
          <w:lang w:val="en"/>
        </w:rPr>
      </w:pPr>
      <w:r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Transfer </w:t>
      </w:r>
      <w:r w:rsidR="00EB3F89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10</w:t>
      </w:r>
      <w:r w:rsidR="003720C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</w:t>
      </w:r>
      <w:r w:rsidR="00F16BB6">
        <w:rPr>
          <w:rFonts w:ascii="Times New Roman" w:hAnsi="Times New Roman"/>
          <w:color w:val="000000" w:themeColor="text1"/>
          <w:sz w:val="24"/>
          <w:szCs w:val="24"/>
          <w:lang w:val="en"/>
        </w:rPr>
        <w:t>µl</w:t>
      </w:r>
      <w:r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</w:t>
      </w:r>
      <w:r w:rsidR="00684B2D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of each sample to a new 96 well plate</w:t>
      </w:r>
      <w:r w:rsidR="00B57AC2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(</w:t>
      </w:r>
      <w:r w:rsidR="004528E9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500 </w:t>
      </w:r>
      <w:r w:rsidR="00F16BB6">
        <w:rPr>
          <w:rFonts w:ascii="Times New Roman" w:hAnsi="Times New Roman"/>
          <w:color w:val="000000" w:themeColor="text1"/>
          <w:sz w:val="24"/>
          <w:szCs w:val="24"/>
          <w:lang w:val="en"/>
        </w:rPr>
        <w:t>µl</w:t>
      </w:r>
      <w:r w:rsidR="005F3DDF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</w:t>
      </w:r>
      <w:r w:rsidR="004528E9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Axygen plates</w:t>
      </w:r>
      <w:r w:rsidR="00B57AC2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)</w:t>
      </w:r>
      <w:r w:rsidR="00C2026F">
        <w:rPr>
          <w:rFonts w:ascii="Times New Roman" w:hAnsi="Times New Roman"/>
          <w:color w:val="000000" w:themeColor="text1"/>
          <w:sz w:val="24"/>
          <w:szCs w:val="24"/>
          <w:lang w:val="en"/>
        </w:rPr>
        <w:t>.</w:t>
      </w:r>
      <w:r w:rsidR="00AA75A7">
        <w:rPr>
          <w:rFonts w:ascii="Times New Roman" w:hAnsi="Times New Roman"/>
          <w:color w:val="000000" w:themeColor="text1"/>
          <w:sz w:val="24"/>
          <w:szCs w:val="24"/>
          <w:lang w:val="en"/>
        </w:rPr>
        <w:br/>
      </w:r>
      <w:r w:rsidR="003720C9" w:rsidRPr="0094632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Note: </w:t>
      </w:r>
      <w:r w:rsidR="00AA75A7" w:rsidRPr="00946329">
        <w:rPr>
          <w:rFonts w:ascii="Times New Roman" w:hAnsi="Times New Roman"/>
          <w:color w:val="000000" w:themeColor="text1"/>
          <w:sz w:val="24"/>
          <w:szCs w:val="24"/>
          <w:lang w:val="en"/>
        </w:rPr>
        <w:t>This plate is used for LC-SRM analysis</w:t>
      </w:r>
      <w:r w:rsidR="003720C9" w:rsidRPr="00946329">
        <w:rPr>
          <w:rFonts w:ascii="Times New Roman" w:hAnsi="Times New Roman"/>
          <w:color w:val="000000" w:themeColor="text1"/>
          <w:sz w:val="24"/>
          <w:szCs w:val="24"/>
          <w:lang w:val="en"/>
        </w:rPr>
        <w:t>.</w:t>
      </w:r>
    </w:p>
    <w:p w14:paraId="51C628B7" w14:textId="1F905EDE" w:rsidR="00FF1D48" w:rsidRPr="00777F72" w:rsidRDefault="00553AF0" w:rsidP="00777F72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/>
          <w:color w:val="000000" w:themeColor="text1"/>
          <w:sz w:val="24"/>
          <w:szCs w:val="24"/>
          <w:lang w:val="en"/>
        </w:rPr>
      </w:pPr>
      <w:r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S</w:t>
      </w:r>
      <w:r w:rsidR="00BD1C14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torage a</w:t>
      </w:r>
      <w:r w:rsidR="00112B8A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t -</w:t>
      </w:r>
      <w:r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8</w:t>
      </w:r>
      <w:r w:rsidR="00112B8A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0 </w:t>
      </w:r>
      <w:r w:rsidR="00C2026F" w:rsidRPr="00C2026F">
        <w:rPr>
          <w:rFonts w:ascii="Times New Roman" w:hAnsi="Times New Roman"/>
          <w:color w:val="000000" w:themeColor="text1"/>
          <w:sz w:val="24"/>
          <w:szCs w:val="24"/>
          <w:lang w:val="en"/>
        </w:rPr>
        <w:t>°</w:t>
      </w:r>
      <w:r w:rsidR="00112B8A" w:rsidRPr="00042819">
        <w:rPr>
          <w:rFonts w:ascii="Times New Roman" w:hAnsi="Times New Roman"/>
          <w:color w:val="000000" w:themeColor="text1"/>
          <w:sz w:val="24"/>
          <w:szCs w:val="24"/>
          <w:lang w:val="en"/>
        </w:rPr>
        <w:t>C until needed for LC-SRM analysis</w:t>
      </w:r>
      <w:r w:rsidR="00C2026F">
        <w:rPr>
          <w:rFonts w:ascii="Times New Roman" w:hAnsi="Times New Roman"/>
          <w:color w:val="000000" w:themeColor="text1"/>
          <w:sz w:val="24"/>
          <w:szCs w:val="24"/>
          <w:lang w:val="en"/>
        </w:rPr>
        <w:t>.</w:t>
      </w:r>
    </w:p>
    <w:p w14:paraId="4C5B6FFE" w14:textId="08FE85EF" w:rsidR="00FF1D48" w:rsidRDefault="00FF1D48" w:rsidP="004E2EE9">
      <w:pPr>
        <w:spacing w:after="200" w:line="276" w:lineRule="auto"/>
        <w:rPr>
          <w:rFonts w:ascii="Times New Roman" w:hAnsi="Times New Roman"/>
          <w:sz w:val="24"/>
          <w:szCs w:val="24"/>
          <w:lang w:val="en"/>
        </w:rPr>
      </w:pPr>
    </w:p>
    <w:p w14:paraId="2B8B9FAD" w14:textId="77777777" w:rsidR="00E44D34" w:rsidRDefault="00E44D34">
      <w:pPr>
        <w:spacing w:line="259" w:lineRule="auto"/>
        <w:rPr>
          <w:rFonts w:ascii="Times New Roman" w:hAnsi="Times New Roman"/>
          <w:b/>
          <w:bCs/>
          <w:sz w:val="28"/>
          <w:szCs w:val="28"/>
          <w:lang w:val="en"/>
        </w:rPr>
      </w:pPr>
    </w:p>
    <w:p w14:paraId="560CC55C" w14:textId="77777777" w:rsidR="00E44D34" w:rsidRDefault="00E44D34">
      <w:pPr>
        <w:spacing w:line="259" w:lineRule="auto"/>
        <w:rPr>
          <w:rFonts w:ascii="Times New Roman" w:hAnsi="Times New Roman"/>
          <w:b/>
          <w:bCs/>
          <w:sz w:val="28"/>
          <w:szCs w:val="28"/>
          <w:lang w:val="en"/>
        </w:rPr>
      </w:pPr>
      <w:r>
        <w:rPr>
          <w:rFonts w:ascii="Times New Roman" w:hAnsi="Times New Roman"/>
          <w:b/>
          <w:bCs/>
          <w:sz w:val="28"/>
          <w:szCs w:val="28"/>
          <w:lang w:val="en"/>
        </w:rPr>
        <w:br w:type="page"/>
      </w:r>
    </w:p>
    <w:p w14:paraId="7552F6CA" w14:textId="4E8817FB" w:rsidR="00162B93" w:rsidRPr="00E44D34" w:rsidRDefault="00162B93" w:rsidP="00162B93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/>
          <w:b/>
          <w:bCs/>
          <w:sz w:val="28"/>
          <w:szCs w:val="28"/>
          <w:lang w:val="en"/>
        </w:rPr>
      </w:pPr>
      <w:r w:rsidRPr="00E44D34">
        <w:rPr>
          <w:rFonts w:ascii="Times New Roman" w:hAnsi="Times New Roman"/>
          <w:b/>
          <w:bCs/>
          <w:sz w:val="28"/>
          <w:szCs w:val="28"/>
          <w:lang w:val="en"/>
        </w:rPr>
        <w:lastRenderedPageBreak/>
        <w:t>Supplementary Figures</w:t>
      </w:r>
    </w:p>
    <w:p w14:paraId="6C46876C" w14:textId="77777777" w:rsidR="00514F59" w:rsidRPr="00514F59" w:rsidRDefault="00514F59" w:rsidP="00514F59">
      <w:pPr>
        <w:spacing w:after="200" w:line="276" w:lineRule="auto"/>
        <w:rPr>
          <w:rFonts w:ascii="Times New Roman" w:hAnsi="Times New Roman"/>
          <w:sz w:val="24"/>
          <w:szCs w:val="24"/>
          <w:lang w:val="en"/>
        </w:rPr>
      </w:pPr>
    </w:p>
    <w:p w14:paraId="3549116B" w14:textId="1008D367" w:rsidR="00162B93" w:rsidRPr="00162B93" w:rsidRDefault="00992792" w:rsidP="00514F59">
      <w:pPr>
        <w:tabs>
          <w:tab w:val="left" w:pos="720"/>
          <w:tab w:val="left" w:pos="1440"/>
        </w:tabs>
        <w:spacing w:after="0" w:line="240" w:lineRule="auto"/>
        <w:rPr>
          <w:rFonts w:ascii="Times New Roman" w:eastAsiaTheme="minorHAnsi" w:hAnsi="Times New Roman"/>
          <w:sz w:val="24"/>
          <w:szCs w:val="24"/>
          <w:lang w:val="en"/>
        </w:rPr>
      </w:pPr>
      <w:r>
        <w:rPr>
          <w:rFonts w:ascii="Times New Roman" w:hAnsi="Times New Roman"/>
          <w:noProof/>
          <w:sz w:val="24"/>
          <w:szCs w:val="24"/>
          <w:lang w:val="en"/>
        </w:rPr>
        <w:drawing>
          <wp:inline distT="0" distB="0" distL="0" distR="0" wp14:anchorId="0E496423" wp14:editId="77A6F378">
            <wp:extent cx="5903926" cy="2385656"/>
            <wp:effectExtent l="0" t="0" r="0" b="0"/>
            <wp:docPr id="543617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29" cy="240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2B93" w:rsidRPr="00162B93">
        <w:rPr>
          <w:rFonts w:ascii="Times New Roman" w:eastAsiaTheme="minorHAnsi" w:hAnsi="Times New Roman"/>
          <w:sz w:val="24"/>
          <w:szCs w:val="24"/>
          <w:lang w:val="en"/>
        </w:rPr>
        <w:t xml:space="preserve"> </w:t>
      </w:r>
    </w:p>
    <w:p w14:paraId="6760A528" w14:textId="77777777" w:rsidR="00162B93" w:rsidRDefault="00162B93" w:rsidP="00162B93">
      <w:pPr>
        <w:spacing w:after="200" w:line="276" w:lineRule="auto"/>
        <w:rPr>
          <w:rFonts w:ascii="Times New Roman" w:hAnsi="Times New Roman"/>
          <w:sz w:val="24"/>
          <w:szCs w:val="24"/>
          <w:lang w:val="en"/>
        </w:rPr>
      </w:pPr>
    </w:p>
    <w:p w14:paraId="043F40CC" w14:textId="61077B2A" w:rsidR="00514F59" w:rsidRPr="00514F59" w:rsidRDefault="00514F59" w:rsidP="00514F59">
      <w:pPr>
        <w:pStyle w:val="NormalWeb"/>
        <w:spacing w:before="0" w:beforeAutospacing="0" w:after="0" w:afterAutospacing="0"/>
      </w:pPr>
      <w:r w:rsidRPr="00514F59">
        <w:rPr>
          <w:rFonts w:eastAsiaTheme="minorEastAsia"/>
          <w:b/>
          <w:bCs/>
          <w:color w:val="000000" w:themeColor="text1"/>
          <w:kern w:val="24"/>
        </w:rPr>
        <w:t>Supplemental figure 1.</w:t>
      </w:r>
      <w:r w:rsidRPr="00514F59">
        <w:rPr>
          <w:rFonts w:eastAsiaTheme="minorEastAsia"/>
          <w:color w:val="000000" w:themeColor="text1"/>
          <w:kern w:val="24"/>
        </w:rPr>
        <w:t xml:space="preserve"> </w:t>
      </w:r>
      <w:r w:rsidRPr="0076080E">
        <w:rPr>
          <w:rFonts w:eastAsiaTheme="minorEastAsia"/>
          <w:b/>
          <w:bCs/>
          <w:color w:val="000000" w:themeColor="text1"/>
          <w:kern w:val="24"/>
        </w:rPr>
        <w:t>Workflow for selecting a panel of obesity biomarker candidates based on prior literature, knowledge bases, and plasma proteomics data</w:t>
      </w:r>
      <w:r w:rsidR="00410037">
        <w:rPr>
          <w:rFonts w:eastAsiaTheme="minorEastAsia"/>
          <w:color w:val="000000" w:themeColor="text1"/>
          <w:kern w:val="24"/>
        </w:rPr>
        <w:t>.</w:t>
      </w:r>
    </w:p>
    <w:p w14:paraId="3F1239E0" w14:textId="77777777" w:rsidR="00514F59" w:rsidRDefault="00514F59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14:paraId="237C94E7" w14:textId="2A29F52E" w:rsidR="00041ABB" w:rsidRDefault="00041ABB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15D56E" wp14:editId="715C4605">
            <wp:extent cx="5936146" cy="3056138"/>
            <wp:effectExtent l="0" t="0" r="7620" b="0"/>
            <wp:docPr id="446817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30" cy="30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797C4" w14:textId="6932ACB4" w:rsidR="008626ED" w:rsidRDefault="008626ED" w:rsidP="008626ED">
      <w:pPr>
        <w:pStyle w:val="NormalWeb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8626ED">
        <w:rPr>
          <w:rFonts w:eastAsiaTheme="minorEastAsia"/>
          <w:b/>
          <w:bCs/>
          <w:color w:val="000000" w:themeColor="text1"/>
          <w:kern w:val="24"/>
        </w:rPr>
        <w:t>Supplemental figure 2. Representative examples of XICs demonstrating peptide detectability.</w:t>
      </w:r>
      <w:r w:rsidRPr="008626ED">
        <w:rPr>
          <w:rFonts w:eastAsiaTheme="minorEastAsia"/>
          <w:color w:val="000000" w:themeColor="text1"/>
          <w:kern w:val="24"/>
        </w:rPr>
        <w:t xml:space="preserve"> The chromatograms of light and heavy peptides were manually inspected in Skyline. Detectability of candidate proteins was determined using the following criteria: a ratio dot product (rdotp) &gt; 0.9 between the transition peak areas of light and heavy peptides for at least five transitions in at least two distinct peptides</w:t>
      </w:r>
      <w:r w:rsidR="0022202C">
        <w:rPr>
          <w:rFonts w:eastAsiaTheme="minorEastAsia"/>
          <w:color w:val="000000" w:themeColor="text1"/>
          <w:kern w:val="24"/>
        </w:rPr>
        <w:t>.</w:t>
      </w:r>
    </w:p>
    <w:p w14:paraId="2F9205D3" w14:textId="77777777" w:rsidR="008626ED" w:rsidRDefault="008626ED" w:rsidP="008626ED">
      <w:pPr>
        <w:pStyle w:val="NormalWeb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14:paraId="759C61E2" w14:textId="2A852DFB" w:rsidR="008626ED" w:rsidRPr="008626ED" w:rsidRDefault="00BB7D2E" w:rsidP="008626ED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FBD9655" wp14:editId="37C03FCB">
            <wp:extent cx="5912292" cy="2714513"/>
            <wp:effectExtent l="0" t="0" r="0" b="0"/>
            <wp:docPr id="1281260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78" cy="2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DB4E1" w14:textId="29BE293F" w:rsidR="00BB7D2E" w:rsidRPr="00BB7D2E" w:rsidRDefault="00BB7D2E" w:rsidP="00BB7D2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BB7D2E">
        <w:rPr>
          <w:rFonts w:eastAsiaTheme="minorEastAsia"/>
          <w:b/>
          <w:bCs/>
          <w:color w:val="000000" w:themeColor="text1"/>
          <w:kern w:val="24"/>
        </w:rPr>
        <w:t xml:space="preserve">Supplemental figure 3. Optimization of digestion time. </w:t>
      </w:r>
      <w:r w:rsidR="006505C1" w:rsidRPr="006505C1">
        <w:rPr>
          <w:rFonts w:eastAsiaTheme="minorEastAsia"/>
          <w:color w:val="000000" w:themeColor="text1"/>
          <w:kern w:val="24"/>
        </w:rPr>
        <w:t>To assess digestion kinetics, pooled human plasma was digested with trypsin for 1, 2, 3, 6, and 18 hours and analyzed by LC–SRM. The resulting light-to-heavy (L/H) ratio for each peptide was then expressed as a fold-change relative to the 1-hour time point</w:t>
      </w:r>
      <w:r w:rsidRPr="00BB7D2E">
        <w:rPr>
          <w:rFonts w:eastAsiaTheme="minorEastAsia"/>
          <w:color w:val="000000" w:themeColor="text1"/>
          <w:kern w:val="24"/>
        </w:rPr>
        <w:t>.</w:t>
      </w:r>
    </w:p>
    <w:p w14:paraId="533D581E" w14:textId="77777777" w:rsidR="00041ABB" w:rsidRDefault="00041ABB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14:paraId="393FDB59" w14:textId="3E2045B1" w:rsidR="00BB7D2E" w:rsidRDefault="00E44D34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DFA5BA" wp14:editId="4976F9D7">
            <wp:extent cx="5967951" cy="2537613"/>
            <wp:effectExtent l="0" t="0" r="0" b="0"/>
            <wp:docPr id="9797555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78" cy="255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42178" w14:textId="77777777" w:rsidR="00E44D34" w:rsidRPr="00E44D34" w:rsidRDefault="00E44D34" w:rsidP="00E44D34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E44D34">
        <w:rPr>
          <w:rFonts w:eastAsiaTheme="minorEastAsia"/>
          <w:b/>
          <w:bCs/>
          <w:color w:val="000000" w:themeColor="text1"/>
          <w:kern w:val="24"/>
        </w:rPr>
        <w:t>Supplemental figure 4. LC gradient optimization.</w:t>
      </w:r>
      <w:r w:rsidRPr="00E44D34">
        <w:rPr>
          <w:rFonts w:eastAsiaTheme="minorEastAsia"/>
          <w:color w:val="000000" w:themeColor="text1"/>
          <w:kern w:val="24"/>
        </w:rPr>
        <w:t xml:space="preserve"> Violin plots of the percentage of </w:t>
      </w:r>
      <w:commentRangeStart w:id="2"/>
      <w:r w:rsidRPr="00E44D34">
        <w:rPr>
          <w:rFonts w:eastAsiaTheme="minorEastAsia"/>
          <w:color w:val="000000" w:themeColor="text1"/>
          <w:kern w:val="24"/>
        </w:rPr>
        <w:t>endogenous dilution used for LLOQ estimation (A</w:t>
      </w:r>
      <w:commentRangeEnd w:id="2"/>
      <w:r w:rsidR="00E80139">
        <w:rPr>
          <w:rStyle w:val="CommentReference"/>
          <w:rFonts w:asciiTheme="minorHAnsi" w:eastAsia="PMingLiU" w:hAnsiTheme="minorHAnsi" w:cstheme="minorBidi"/>
          <w:lang w:eastAsia="en-US"/>
        </w:rPr>
        <w:commentReference w:id="2"/>
      </w:r>
      <w:r w:rsidRPr="00E44D34">
        <w:rPr>
          <w:rFonts w:eastAsiaTheme="minorEastAsia"/>
          <w:color w:val="000000" w:themeColor="text1"/>
          <w:kern w:val="24"/>
        </w:rPr>
        <w:t xml:space="preserve">) and CVs (B) for three different LC gradients (29, 35, and 72 minutes). </w:t>
      </w:r>
    </w:p>
    <w:p w14:paraId="5E909721" w14:textId="77777777" w:rsidR="00E44D34" w:rsidRDefault="00E44D34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14:paraId="01611837" w14:textId="55F27A0C" w:rsidR="00E44D34" w:rsidRDefault="002013A1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D8A08F4" wp14:editId="5FD7E025">
            <wp:extent cx="5958812" cy="1625946"/>
            <wp:effectExtent l="0" t="0" r="0" b="0"/>
            <wp:docPr id="15767922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83" cy="163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04B78" w14:textId="77777777" w:rsidR="00275B1E" w:rsidRDefault="00275B1E" w:rsidP="00275B1E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</w:rPr>
      </w:pPr>
      <w:r w:rsidRPr="00275B1E">
        <w:rPr>
          <w:rFonts w:eastAsiaTheme="minorEastAsia"/>
          <w:b/>
          <w:bCs/>
          <w:color w:val="000000" w:themeColor="text1"/>
          <w:kern w:val="24"/>
        </w:rPr>
        <w:t xml:space="preserve">Supplemental figure 5. Workflow for 96-well plate-based sample preparation.  </w:t>
      </w:r>
    </w:p>
    <w:p w14:paraId="4C822E1F" w14:textId="77777777" w:rsidR="00EF12FB" w:rsidRDefault="00EF12FB" w:rsidP="00275B1E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</w:rPr>
      </w:pPr>
    </w:p>
    <w:p w14:paraId="1AD24C36" w14:textId="77777777" w:rsidR="00383CCA" w:rsidRDefault="00383CCA" w:rsidP="00275B1E">
      <w:pPr>
        <w:pStyle w:val="NormalWeb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</w:rPr>
      </w:pPr>
    </w:p>
    <w:p w14:paraId="46B4E83E" w14:textId="3E7ECD03" w:rsidR="00134503" w:rsidRDefault="00383CCA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3CEC0C" wp14:editId="189A6F27">
            <wp:extent cx="6619469" cy="4572000"/>
            <wp:effectExtent l="0" t="0" r="0" b="0"/>
            <wp:docPr id="17690903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48" cy="459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9E574" w14:textId="6120B163" w:rsidR="007E02CD" w:rsidRDefault="00410B6E" w:rsidP="00162B93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410B6E">
        <w:rPr>
          <w:rFonts w:ascii="Times New Roman" w:hAnsi="Times New Roman"/>
          <w:b/>
          <w:bCs/>
          <w:sz w:val="24"/>
          <w:szCs w:val="24"/>
        </w:rPr>
        <w:t>Supplemental figure 6. Calibration curves for 42 obesity biomarkers.</w:t>
      </w:r>
    </w:p>
    <w:p w14:paraId="11310453" w14:textId="03A31CC4" w:rsidR="00116105" w:rsidRDefault="00380699" w:rsidP="00162B93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87E2409" wp14:editId="61B62DF1">
            <wp:extent cx="5972671" cy="1317436"/>
            <wp:effectExtent l="0" t="0" r="0" b="0"/>
            <wp:docPr id="9912209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27" cy="133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2B6A2" w14:textId="2A2CC0A7" w:rsidR="00E626B2" w:rsidRDefault="00096E01" w:rsidP="00162B93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8315841" wp14:editId="01E5CA55">
            <wp:extent cx="5925087" cy="1316686"/>
            <wp:effectExtent l="0" t="0" r="0" b="0"/>
            <wp:docPr id="917942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80" cy="133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AB746" w14:textId="03FF359C" w:rsidR="00096E01" w:rsidRDefault="00A45F38" w:rsidP="00162B93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159F1FC" wp14:editId="10B7C5F3">
            <wp:extent cx="5941261" cy="1345060"/>
            <wp:effectExtent l="0" t="0" r="2540" b="7620"/>
            <wp:docPr id="627541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80" cy="1364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F3727" w14:textId="6241E534" w:rsidR="00A45F38" w:rsidRDefault="00C65A96" w:rsidP="00162B93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406D33C" wp14:editId="62950A0F">
            <wp:extent cx="5916136" cy="1318537"/>
            <wp:effectExtent l="0" t="0" r="0" b="0"/>
            <wp:docPr id="6654565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19" cy="13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50F78" w14:textId="3EE0107B" w:rsidR="00157D37" w:rsidRPr="00FE7147" w:rsidRDefault="00157D37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157D37">
        <w:rPr>
          <w:rFonts w:ascii="Times New Roman" w:hAnsi="Times New Roman"/>
          <w:b/>
          <w:bCs/>
          <w:sz w:val="24"/>
          <w:szCs w:val="24"/>
        </w:rPr>
        <w:t>Supplemental figure 7. Concentrations of sixteen candidate biomarkers were significantly altered in the obesity group relative to the overweight and control groups.</w:t>
      </w:r>
      <w:r w:rsidR="00FE7147" w:rsidRPr="00FE7147">
        <w:t xml:space="preserve"> </w:t>
      </w:r>
      <w:r w:rsidR="00FE7147" w:rsidRPr="00FE7147">
        <w:rPr>
          <w:rFonts w:ascii="Times New Roman" w:hAnsi="Times New Roman"/>
          <w:sz w:val="24"/>
          <w:szCs w:val="24"/>
        </w:rPr>
        <w:t>Statistically significant group comparisons were determined using the one-way ANOVA test, with p-values represented by asterisks.</w:t>
      </w:r>
      <w:r w:rsidR="0058482E">
        <w:rPr>
          <w:rFonts w:ascii="Times New Roman" w:hAnsi="Times New Roman"/>
          <w:sz w:val="24"/>
          <w:szCs w:val="24"/>
        </w:rPr>
        <w:t xml:space="preserve"> </w:t>
      </w:r>
      <w:r w:rsidR="0058482E" w:rsidRPr="0058482E">
        <w:rPr>
          <w:rFonts w:ascii="Times New Roman" w:hAnsi="Times New Roman"/>
          <w:sz w:val="24"/>
          <w:szCs w:val="24"/>
        </w:rPr>
        <w:t>NW: normal weight; OW: overweight; Ob: obesity.</w:t>
      </w:r>
    </w:p>
    <w:p w14:paraId="1A9DA4F9" w14:textId="77777777" w:rsidR="00157D37" w:rsidRDefault="00157D37" w:rsidP="00162B93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0C3D2249" w14:textId="0AE5A037" w:rsidR="00157D37" w:rsidRDefault="00157D37" w:rsidP="00162B93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6A92E4FD" w14:textId="7E3A3CCC" w:rsidR="00116105" w:rsidRDefault="00116105" w:rsidP="00162B93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5CC5002" wp14:editId="5FAF4D60">
            <wp:extent cx="5671102" cy="2299740"/>
            <wp:effectExtent l="0" t="0" r="6350" b="5715"/>
            <wp:docPr id="1280344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25" cy="231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8F740" w14:textId="142D7785" w:rsidR="00211284" w:rsidRPr="0058482E" w:rsidRDefault="00211284" w:rsidP="00162B93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211284">
        <w:rPr>
          <w:rFonts w:ascii="Times New Roman" w:hAnsi="Times New Roman"/>
          <w:b/>
          <w:bCs/>
          <w:sz w:val="24"/>
          <w:szCs w:val="24"/>
        </w:rPr>
        <w:t>Supplemental figure 8. Concentrations of two candidates, APOA2 (A) and LRG1 (B) were significantly altered in the obesity group relative to the overweight group</w:t>
      </w:r>
      <w:r w:rsidR="008260A5">
        <w:rPr>
          <w:rFonts w:ascii="Times New Roman" w:hAnsi="Times New Roman"/>
          <w:b/>
          <w:bCs/>
          <w:sz w:val="24"/>
          <w:szCs w:val="24"/>
        </w:rPr>
        <w:t>.</w:t>
      </w:r>
      <w:r w:rsidR="0058482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8482E" w:rsidRPr="0058482E">
        <w:rPr>
          <w:rFonts w:ascii="Times New Roman" w:hAnsi="Times New Roman"/>
          <w:sz w:val="24"/>
          <w:szCs w:val="24"/>
        </w:rPr>
        <w:t>Statistically significant group comparisons were determined using the one-way ANOVA test, with p-values represented by asterisks. NW: normal weight; OW: overweight; Ob: obesity.</w:t>
      </w:r>
    </w:p>
    <w:sectPr w:rsidR="00211284" w:rsidRPr="0058482E" w:rsidSect="00C21392"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Zhang, Tong" w:date="2026-02-12T11:56:00Z" w:initials="TZ">
    <w:p w14:paraId="5DACD12B" w14:textId="77777777" w:rsidR="00E80139" w:rsidRDefault="00E80139" w:rsidP="00E80139">
      <w:pPr>
        <w:pStyle w:val="CommentText"/>
      </w:pPr>
      <w:r>
        <w:rPr>
          <w:rStyle w:val="CommentReference"/>
        </w:rPr>
        <w:annotationRef/>
      </w:r>
      <w:r>
        <w:t>I think the Fig. 4A is hard to digest. It was very briefly described in the main text. Maybe a good idea to expand the description of this experiment and the interpretation of the data here.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DACD12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6266AE5" w16cex:dateUtc="2026-02-12T19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DACD12B" w16cid:durableId="66266AE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E2717" w14:textId="77777777" w:rsidR="00B74193" w:rsidRDefault="00B74193" w:rsidP="00916B4B">
      <w:pPr>
        <w:spacing w:after="0" w:line="240" w:lineRule="auto"/>
      </w:pPr>
      <w:r>
        <w:separator/>
      </w:r>
    </w:p>
  </w:endnote>
  <w:endnote w:type="continuationSeparator" w:id="0">
    <w:p w14:paraId="40DB4AA2" w14:textId="77777777" w:rsidR="00B74193" w:rsidRDefault="00B74193" w:rsidP="00916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91549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06A47D" w14:textId="13E58BC0" w:rsidR="00C21392" w:rsidRDefault="00C213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5E91B9" w14:textId="77777777" w:rsidR="00C21392" w:rsidRDefault="00C213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5534B" w14:textId="77777777" w:rsidR="00B74193" w:rsidRDefault="00B74193" w:rsidP="00916B4B">
      <w:pPr>
        <w:spacing w:after="0" w:line="240" w:lineRule="auto"/>
      </w:pPr>
      <w:r>
        <w:separator/>
      </w:r>
    </w:p>
  </w:footnote>
  <w:footnote w:type="continuationSeparator" w:id="0">
    <w:p w14:paraId="7D81235A" w14:textId="77777777" w:rsidR="00B74193" w:rsidRDefault="00B74193" w:rsidP="00916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B00DD"/>
    <w:multiLevelType w:val="hybridMultilevel"/>
    <w:tmpl w:val="274CE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05D93"/>
    <w:multiLevelType w:val="hybridMultilevel"/>
    <w:tmpl w:val="5FD602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3068AA"/>
    <w:multiLevelType w:val="multilevel"/>
    <w:tmpl w:val="1E9C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D51693"/>
    <w:multiLevelType w:val="hybridMultilevel"/>
    <w:tmpl w:val="E2103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C0007"/>
    <w:multiLevelType w:val="hybridMultilevel"/>
    <w:tmpl w:val="8F04F8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97B92"/>
    <w:multiLevelType w:val="hybridMultilevel"/>
    <w:tmpl w:val="15B66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F543F"/>
    <w:multiLevelType w:val="hybridMultilevel"/>
    <w:tmpl w:val="98289B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7B2BCD"/>
    <w:multiLevelType w:val="hybridMultilevel"/>
    <w:tmpl w:val="62142B88"/>
    <w:lvl w:ilvl="0" w:tplc="C8F60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753713"/>
    <w:multiLevelType w:val="hybridMultilevel"/>
    <w:tmpl w:val="CE620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B4A09"/>
    <w:multiLevelType w:val="hybridMultilevel"/>
    <w:tmpl w:val="FE64E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537CD"/>
    <w:multiLevelType w:val="multilevel"/>
    <w:tmpl w:val="A868241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540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0853AE9"/>
    <w:multiLevelType w:val="multilevel"/>
    <w:tmpl w:val="63E00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9E744A"/>
    <w:multiLevelType w:val="hybridMultilevel"/>
    <w:tmpl w:val="B4908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56BC3"/>
    <w:multiLevelType w:val="hybridMultilevel"/>
    <w:tmpl w:val="C2801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21E0B"/>
    <w:multiLevelType w:val="multilevel"/>
    <w:tmpl w:val="7A70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9154E3"/>
    <w:multiLevelType w:val="hybridMultilevel"/>
    <w:tmpl w:val="F30A6CA6"/>
    <w:lvl w:ilvl="0" w:tplc="A822C674">
      <w:start w:val="1"/>
      <w:numFmt w:val="decimal"/>
      <w:lvlText w:val="%1."/>
      <w:lvlJc w:val="left"/>
      <w:pPr>
        <w:ind w:left="360" w:hanging="360"/>
      </w:pPr>
      <w:rPr>
        <w:rFonts w:ascii="Times New Roman" w:eastAsia="PMingLiU" w:hAnsi="Times New Roman"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10062F"/>
    <w:multiLevelType w:val="multilevel"/>
    <w:tmpl w:val="1E9C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434728"/>
    <w:multiLevelType w:val="hybridMultilevel"/>
    <w:tmpl w:val="660A11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B424C9"/>
    <w:multiLevelType w:val="hybridMultilevel"/>
    <w:tmpl w:val="22382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483FAD"/>
    <w:multiLevelType w:val="hybridMultilevel"/>
    <w:tmpl w:val="466AB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72D74"/>
    <w:multiLevelType w:val="hybridMultilevel"/>
    <w:tmpl w:val="2A2C40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267FC9"/>
    <w:multiLevelType w:val="hybridMultilevel"/>
    <w:tmpl w:val="E99EE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434F7C"/>
    <w:multiLevelType w:val="multilevel"/>
    <w:tmpl w:val="4126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4107447">
    <w:abstractNumId w:val="8"/>
  </w:num>
  <w:num w:numId="2" w16cid:durableId="1643540612">
    <w:abstractNumId w:val="19"/>
  </w:num>
  <w:num w:numId="3" w16cid:durableId="290668216">
    <w:abstractNumId w:val="0"/>
  </w:num>
  <w:num w:numId="4" w16cid:durableId="1227692303">
    <w:abstractNumId w:val="9"/>
  </w:num>
  <w:num w:numId="5" w16cid:durableId="415320518">
    <w:abstractNumId w:val="0"/>
  </w:num>
  <w:num w:numId="6" w16cid:durableId="516625808">
    <w:abstractNumId w:val="6"/>
  </w:num>
  <w:num w:numId="7" w16cid:durableId="392436129">
    <w:abstractNumId w:val="13"/>
  </w:num>
  <w:num w:numId="8" w16cid:durableId="2139488279">
    <w:abstractNumId w:val="12"/>
  </w:num>
  <w:num w:numId="9" w16cid:durableId="1606618110">
    <w:abstractNumId w:val="3"/>
  </w:num>
  <w:num w:numId="10" w16cid:durableId="890382001">
    <w:abstractNumId w:val="18"/>
  </w:num>
  <w:num w:numId="11" w16cid:durableId="2108040318">
    <w:abstractNumId w:val="5"/>
  </w:num>
  <w:num w:numId="12" w16cid:durableId="1690985549">
    <w:abstractNumId w:val="10"/>
  </w:num>
  <w:num w:numId="13" w16cid:durableId="972516713">
    <w:abstractNumId w:val="21"/>
  </w:num>
  <w:num w:numId="14" w16cid:durableId="1664699570">
    <w:abstractNumId w:val="22"/>
  </w:num>
  <w:num w:numId="15" w16cid:durableId="873887426">
    <w:abstractNumId w:val="11"/>
  </w:num>
  <w:num w:numId="16" w16cid:durableId="40792424">
    <w:abstractNumId w:val="14"/>
  </w:num>
  <w:num w:numId="17" w16cid:durableId="2115785528">
    <w:abstractNumId w:val="16"/>
    <w:lvlOverride w:ilvl="0">
      <w:startOverride w:val="2"/>
    </w:lvlOverride>
  </w:num>
  <w:num w:numId="18" w16cid:durableId="132677601">
    <w:abstractNumId w:val="2"/>
  </w:num>
  <w:num w:numId="19" w16cid:durableId="1496536319">
    <w:abstractNumId w:val="20"/>
  </w:num>
  <w:num w:numId="20" w16cid:durableId="1346977789">
    <w:abstractNumId w:val="7"/>
  </w:num>
  <w:num w:numId="21" w16cid:durableId="255329010">
    <w:abstractNumId w:val="1"/>
  </w:num>
  <w:num w:numId="22" w16cid:durableId="656152472">
    <w:abstractNumId w:val="15"/>
  </w:num>
  <w:num w:numId="23" w16cid:durableId="1137601434">
    <w:abstractNumId w:val="17"/>
  </w:num>
  <w:num w:numId="24" w16cid:durableId="160387474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Zhang, Tong">
    <w15:presenceInfo w15:providerId="AD" w15:userId="S::tong.zhang@pnnl.gov::47932636-b6d7-4330-8c9e-f4d1f2a558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88E"/>
    <w:rsid w:val="00001200"/>
    <w:rsid w:val="00004033"/>
    <w:rsid w:val="000131D5"/>
    <w:rsid w:val="00013F53"/>
    <w:rsid w:val="00016A53"/>
    <w:rsid w:val="000227AE"/>
    <w:rsid w:val="00041ABB"/>
    <w:rsid w:val="00042819"/>
    <w:rsid w:val="0007026C"/>
    <w:rsid w:val="00075C7F"/>
    <w:rsid w:val="00082E7E"/>
    <w:rsid w:val="00082E7F"/>
    <w:rsid w:val="00085408"/>
    <w:rsid w:val="000866D1"/>
    <w:rsid w:val="00086B82"/>
    <w:rsid w:val="00096E01"/>
    <w:rsid w:val="000A56B7"/>
    <w:rsid w:val="000B1E80"/>
    <w:rsid w:val="000B310F"/>
    <w:rsid w:val="000C1A6E"/>
    <w:rsid w:val="000C2031"/>
    <w:rsid w:val="000D1954"/>
    <w:rsid w:val="000D667A"/>
    <w:rsid w:val="000E2B3E"/>
    <w:rsid w:val="000E48E3"/>
    <w:rsid w:val="000F125D"/>
    <w:rsid w:val="000F202C"/>
    <w:rsid w:val="000F5E20"/>
    <w:rsid w:val="000F799D"/>
    <w:rsid w:val="00100F0F"/>
    <w:rsid w:val="001012FB"/>
    <w:rsid w:val="00104BFF"/>
    <w:rsid w:val="00106F0A"/>
    <w:rsid w:val="00112B8A"/>
    <w:rsid w:val="00116105"/>
    <w:rsid w:val="001227C8"/>
    <w:rsid w:val="0012434F"/>
    <w:rsid w:val="00124A19"/>
    <w:rsid w:val="001259C0"/>
    <w:rsid w:val="00127A67"/>
    <w:rsid w:val="00131EEA"/>
    <w:rsid w:val="00134503"/>
    <w:rsid w:val="001516B4"/>
    <w:rsid w:val="00153517"/>
    <w:rsid w:val="00154D57"/>
    <w:rsid w:val="00157D37"/>
    <w:rsid w:val="00162B93"/>
    <w:rsid w:val="00170AB3"/>
    <w:rsid w:val="00170B2E"/>
    <w:rsid w:val="001714F8"/>
    <w:rsid w:val="001738D6"/>
    <w:rsid w:val="001754A7"/>
    <w:rsid w:val="0018430D"/>
    <w:rsid w:val="00190FE7"/>
    <w:rsid w:val="001921B4"/>
    <w:rsid w:val="00192653"/>
    <w:rsid w:val="00193677"/>
    <w:rsid w:val="00196489"/>
    <w:rsid w:val="00197DF5"/>
    <w:rsid w:val="001A000E"/>
    <w:rsid w:val="001A069A"/>
    <w:rsid w:val="001B1BC9"/>
    <w:rsid w:val="001B23D8"/>
    <w:rsid w:val="001B5440"/>
    <w:rsid w:val="001B5BCE"/>
    <w:rsid w:val="001C2476"/>
    <w:rsid w:val="001C2D1F"/>
    <w:rsid w:val="001D4D8A"/>
    <w:rsid w:val="001D6E7D"/>
    <w:rsid w:val="001D73D2"/>
    <w:rsid w:val="001E1276"/>
    <w:rsid w:val="001E1784"/>
    <w:rsid w:val="001E3CFE"/>
    <w:rsid w:val="001F5158"/>
    <w:rsid w:val="002013A1"/>
    <w:rsid w:val="0020670C"/>
    <w:rsid w:val="00211284"/>
    <w:rsid w:val="002126B8"/>
    <w:rsid w:val="0021571E"/>
    <w:rsid w:val="0021727A"/>
    <w:rsid w:val="0022202C"/>
    <w:rsid w:val="00234069"/>
    <w:rsid w:val="00236792"/>
    <w:rsid w:val="00250CAB"/>
    <w:rsid w:val="00251C1E"/>
    <w:rsid w:val="00255C77"/>
    <w:rsid w:val="0026433B"/>
    <w:rsid w:val="00275B1E"/>
    <w:rsid w:val="002810F3"/>
    <w:rsid w:val="0028305A"/>
    <w:rsid w:val="0028354A"/>
    <w:rsid w:val="002B5FDF"/>
    <w:rsid w:val="002C4693"/>
    <w:rsid w:val="002F439C"/>
    <w:rsid w:val="002F7C36"/>
    <w:rsid w:val="0031062B"/>
    <w:rsid w:val="00317A31"/>
    <w:rsid w:val="003214BE"/>
    <w:rsid w:val="00321B42"/>
    <w:rsid w:val="00322AB9"/>
    <w:rsid w:val="00332405"/>
    <w:rsid w:val="003336AF"/>
    <w:rsid w:val="003337BB"/>
    <w:rsid w:val="00335BC6"/>
    <w:rsid w:val="0034320B"/>
    <w:rsid w:val="00357BB4"/>
    <w:rsid w:val="003700F5"/>
    <w:rsid w:val="003718D1"/>
    <w:rsid w:val="003720C9"/>
    <w:rsid w:val="00376A5A"/>
    <w:rsid w:val="0037788E"/>
    <w:rsid w:val="00380508"/>
    <w:rsid w:val="00380699"/>
    <w:rsid w:val="00381038"/>
    <w:rsid w:val="0038133A"/>
    <w:rsid w:val="003829E1"/>
    <w:rsid w:val="00383CCA"/>
    <w:rsid w:val="0038711E"/>
    <w:rsid w:val="00395F56"/>
    <w:rsid w:val="003A1A47"/>
    <w:rsid w:val="003A2964"/>
    <w:rsid w:val="003A3F5C"/>
    <w:rsid w:val="003B0706"/>
    <w:rsid w:val="003C29A3"/>
    <w:rsid w:val="003C4061"/>
    <w:rsid w:val="003D67BC"/>
    <w:rsid w:val="003D700B"/>
    <w:rsid w:val="003F1359"/>
    <w:rsid w:val="003F21A1"/>
    <w:rsid w:val="003F7DEF"/>
    <w:rsid w:val="00401EAD"/>
    <w:rsid w:val="004023E3"/>
    <w:rsid w:val="00410037"/>
    <w:rsid w:val="00410B6E"/>
    <w:rsid w:val="004114FD"/>
    <w:rsid w:val="004250DD"/>
    <w:rsid w:val="004268C0"/>
    <w:rsid w:val="00427C21"/>
    <w:rsid w:val="00435FBC"/>
    <w:rsid w:val="00440D49"/>
    <w:rsid w:val="004528E9"/>
    <w:rsid w:val="00452DBE"/>
    <w:rsid w:val="00464536"/>
    <w:rsid w:val="00466C12"/>
    <w:rsid w:val="004763F0"/>
    <w:rsid w:val="004848CA"/>
    <w:rsid w:val="00487E50"/>
    <w:rsid w:val="00492FAA"/>
    <w:rsid w:val="004930EA"/>
    <w:rsid w:val="004A4A31"/>
    <w:rsid w:val="004B3956"/>
    <w:rsid w:val="004B5E1C"/>
    <w:rsid w:val="004B7246"/>
    <w:rsid w:val="004C02D3"/>
    <w:rsid w:val="004C7AA5"/>
    <w:rsid w:val="004D26B7"/>
    <w:rsid w:val="004D2A3A"/>
    <w:rsid w:val="004E2EE9"/>
    <w:rsid w:val="004E400A"/>
    <w:rsid w:val="004E6503"/>
    <w:rsid w:val="004F6B98"/>
    <w:rsid w:val="004F6BB3"/>
    <w:rsid w:val="004F7A76"/>
    <w:rsid w:val="0050609A"/>
    <w:rsid w:val="0050734E"/>
    <w:rsid w:val="0050783E"/>
    <w:rsid w:val="00514F59"/>
    <w:rsid w:val="00515584"/>
    <w:rsid w:val="00516E02"/>
    <w:rsid w:val="005251D2"/>
    <w:rsid w:val="00526010"/>
    <w:rsid w:val="00553AF0"/>
    <w:rsid w:val="00561CEE"/>
    <w:rsid w:val="00562BF5"/>
    <w:rsid w:val="00563A62"/>
    <w:rsid w:val="00565646"/>
    <w:rsid w:val="005657CD"/>
    <w:rsid w:val="0057310C"/>
    <w:rsid w:val="00575C2F"/>
    <w:rsid w:val="005816EC"/>
    <w:rsid w:val="0058482E"/>
    <w:rsid w:val="00595270"/>
    <w:rsid w:val="005A0051"/>
    <w:rsid w:val="005A570E"/>
    <w:rsid w:val="005A630C"/>
    <w:rsid w:val="005A7632"/>
    <w:rsid w:val="005B5732"/>
    <w:rsid w:val="005B77D2"/>
    <w:rsid w:val="005C3B92"/>
    <w:rsid w:val="005D19DE"/>
    <w:rsid w:val="005D1FB1"/>
    <w:rsid w:val="005D703D"/>
    <w:rsid w:val="005E06CB"/>
    <w:rsid w:val="005E5498"/>
    <w:rsid w:val="005F0885"/>
    <w:rsid w:val="005F08BC"/>
    <w:rsid w:val="005F3DDF"/>
    <w:rsid w:val="006021C5"/>
    <w:rsid w:val="006032DD"/>
    <w:rsid w:val="00604F6D"/>
    <w:rsid w:val="00610E64"/>
    <w:rsid w:val="006130C9"/>
    <w:rsid w:val="00617D20"/>
    <w:rsid w:val="006239E0"/>
    <w:rsid w:val="006268C0"/>
    <w:rsid w:val="006274EF"/>
    <w:rsid w:val="00646C54"/>
    <w:rsid w:val="006505C1"/>
    <w:rsid w:val="00653ED5"/>
    <w:rsid w:val="00663504"/>
    <w:rsid w:val="00666F50"/>
    <w:rsid w:val="00676F06"/>
    <w:rsid w:val="00681080"/>
    <w:rsid w:val="00681CDA"/>
    <w:rsid w:val="0068286D"/>
    <w:rsid w:val="00684B2D"/>
    <w:rsid w:val="0069088E"/>
    <w:rsid w:val="00697DE4"/>
    <w:rsid w:val="006A3DF2"/>
    <w:rsid w:val="006A5D8D"/>
    <w:rsid w:val="006B0019"/>
    <w:rsid w:val="006B0164"/>
    <w:rsid w:val="006B291A"/>
    <w:rsid w:val="006B428C"/>
    <w:rsid w:val="006B573B"/>
    <w:rsid w:val="006C3813"/>
    <w:rsid w:val="006C48AE"/>
    <w:rsid w:val="006C6B0A"/>
    <w:rsid w:val="006E14A3"/>
    <w:rsid w:val="006E34CE"/>
    <w:rsid w:val="006E41F1"/>
    <w:rsid w:val="006E4379"/>
    <w:rsid w:val="00700FE2"/>
    <w:rsid w:val="00701827"/>
    <w:rsid w:val="00701B93"/>
    <w:rsid w:val="00711C50"/>
    <w:rsid w:val="00715ECF"/>
    <w:rsid w:val="00724169"/>
    <w:rsid w:val="00731034"/>
    <w:rsid w:val="0073131B"/>
    <w:rsid w:val="00744713"/>
    <w:rsid w:val="00744BB3"/>
    <w:rsid w:val="0075451E"/>
    <w:rsid w:val="0075559D"/>
    <w:rsid w:val="0076080E"/>
    <w:rsid w:val="00777F72"/>
    <w:rsid w:val="00780F57"/>
    <w:rsid w:val="00786D0A"/>
    <w:rsid w:val="00794D71"/>
    <w:rsid w:val="00795BDD"/>
    <w:rsid w:val="007A0669"/>
    <w:rsid w:val="007A7332"/>
    <w:rsid w:val="007C3356"/>
    <w:rsid w:val="007C449E"/>
    <w:rsid w:val="007C62F7"/>
    <w:rsid w:val="007E02CD"/>
    <w:rsid w:val="007F2741"/>
    <w:rsid w:val="0080639F"/>
    <w:rsid w:val="0080656D"/>
    <w:rsid w:val="00816311"/>
    <w:rsid w:val="008208AB"/>
    <w:rsid w:val="008260A5"/>
    <w:rsid w:val="00830FB5"/>
    <w:rsid w:val="008331F1"/>
    <w:rsid w:val="008410A2"/>
    <w:rsid w:val="00846FD5"/>
    <w:rsid w:val="008519FF"/>
    <w:rsid w:val="00855B1F"/>
    <w:rsid w:val="00860F6C"/>
    <w:rsid w:val="00861453"/>
    <w:rsid w:val="008626ED"/>
    <w:rsid w:val="008652B2"/>
    <w:rsid w:val="00873BF8"/>
    <w:rsid w:val="00875217"/>
    <w:rsid w:val="00891ED6"/>
    <w:rsid w:val="00896E77"/>
    <w:rsid w:val="008A3430"/>
    <w:rsid w:val="008A4F64"/>
    <w:rsid w:val="008A6FEE"/>
    <w:rsid w:val="008B6A0B"/>
    <w:rsid w:val="008B6EE1"/>
    <w:rsid w:val="008C03CF"/>
    <w:rsid w:val="008C0D81"/>
    <w:rsid w:val="008C5BD5"/>
    <w:rsid w:val="008C7E92"/>
    <w:rsid w:val="008E3FE0"/>
    <w:rsid w:val="008E4721"/>
    <w:rsid w:val="008F0B41"/>
    <w:rsid w:val="008F5312"/>
    <w:rsid w:val="008F6A0C"/>
    <w:rsid w:val="00904017"/>
    <w:rsid w:val="00905CBB"/>
    <w:rsid w:val="00911AC5"/>
    <w:rsid w:val="00913086"/>
    <w:rsid w:val="009162F7"/>
    <w:rsid w:val="00916956"/>
    <w:rsid w:val="00916B4B"/>
    <w:rsid w:val="00921931"/>
    <w:rsid w:val="009229EC"/>
    <w:rsid w:val="00927A75"/>
    <w:rsid w:val="00932977"/>
    <w:rsid w:val="00942535"/>
    <w:rsid w:val="00946329"/>
    <w:rsid w:val="00953321"/>
    <w:rsid w:val="00967FEB"/>
    <w:rsid w:val="00986967"/>
    <w:rsid w:val="00992792"/>
    <w:rsid w:val="009933C6"/>
    <w:rsid w:val="0099709E"/>
    <w:rsid w:val="009A4047"/>
    <w:rsid w:val="009A4C84"/>
    <w:rsid w:val="009D760B"/>
    <w:rsid w:val="009E3AD7"/>
    <w:rsid w:val="009F5A21"/>
    <w:rsid w:val="00A23789"/>
    <w:rsid w:val="00A31992"/>
    <w:rsid w:val="00A3222B"/>
    <w:rsid w:val="00A4154E"/>
    <w:rsid w:val="00A45F38"/>
    <w:rsid w:val="00A52339"/>
    <w:rsid w:val="00A73EAA"/>
    <w:rsid w:val="00A7702E"/>
    <w:rsid w:val="00A92749"/>
    <w:rsid w:val="00A9522D"/>
    <w:rsid w:val="00A955AF"/>
    <w:rsid w:val="00A96730"/>
    <w:rsid w:val="00A97837"/>
    <w:rsid w:val="00AA0E05"/>
    <w:rsid w:val="00AA589D"/>
    <w:rsid w:val="00AA5DF4"/>
    <w:rsid w:val="00AA6E8E"/>
    <w:rsid w:val="00AA6FF3"/>
    <w:rsid w:val="00AA75A7"/>
    <w:rsid w:val="00AB0CCB"/>
    <w:rsid w:val="00AB3654"/>
    <w:rsid w:val="00AC1C6F"/>
    <w:rsid w:val="00AD0104"/>
    <w:rsid w:val="00AD0DDD"/>
    <w:rsid w:val="00AD0E73"/>
    <w:rsid w:val="00AE2425"/>
    <w:rsid w:val="00AE4B9B"/>
    <w:rsid w:val="00AF05A9"/>
    <w:rsid w:val="00AF3FF8"/>
    <w:rsid w:val="00AF65AF"/>
    <w:rsid w:val="00AF7596"/>
    <w:rsid w:val="00B1118F"/>
    <w:rsid w:val="00B13B1A"/>
    <w:rsid w:val="00B15C09"/>
    <w:rsid w:val="00B3188E"/>
    <w:rsid w:val="00B42795"/>
    <w:rsid w:val="00B42F2F"/>
    <w:rsid w:val="00B57AC2"/>
    <w:rsid w:val="00B601E7"/>
    <w:rsid w:val="00B64A71"/>
    <w:rsid w:val="00B700E8"/>
    <w:rsid w:val="00B74193"/>
    <w:rsid w:val="00B74A50"/>
    <w:rsid w:val="00B851D4"/>
    <w:rsid w:val="00B9621B"/>
    <w:rsid w:val="00B96983"/>
    <w:rsid w:val="00BB228F"/>
    <w:rsid w:val="00BB5298"/>
    <w:rsid w:val="00BB77CD"/>
    <w:rsid w:val="00BB7D2E"/>
    <w:rsid w:val="00BC6CB4"/>
    <w:rsid w:val="00BD1C14"/>
    <w:rsid w:val="00BD5385"/>
    <w:rsid w:val="00BD572F"/>
    <w:rsid w:val="00BD69C9"/>
    <w:rsid w:val="00BE46FE"/>
    <w:rsid w:val="00BF0C51"/>
    <w:rsid w:val="00BF75D8"/>
    <w:rsid w:val="00C0280E"/>
    <w:rsid w:val="00C03DD7"/>
    <w:rsid w:val="00C0473B"/>
    <w:rsid w:val="00C12745"/>
    <w:rsid w:val="00C13121"/>
    <w:rsid w:val="00C1720A"/>
    <w:rsid w:val="00C2026F"/>
    <w:rsid w:val="00C21392"/>
    <w:rsid w:val="00C23C9E"/>
    <w:rsid w:val="00C24055"/>
    <w:rsid w:val="00C4470D"/>
    <w:rsid w:val="00C54174"/>
    <w:rsid w:val="00C57EAB"/>
    <w:rsid w:val="00C64AC3"/>
    <w:rsid w:val="00C65A96"/>
    <w:rsid w:val="00C73BC7"/>
    <w:rsid w:val="00C84109"/>
    <w:rsid w:val="00C84F7F"/>
    <w:rsid w:val="00C871C0"/>
    <w:rsid w:val="00C87540"/>
    <w:rsid w:val="00C91170"/>
    <w:rsid w:val="00C93857"/>
    <w:rsid w:val="00C95392"/>
    <w:rsid w:val="00C95D9E"/>
    <w:rsid w:val="00CA187C"/>
    <w:rsid w:val="00CB516D"/>
    <w:rsid w:val="00CB76AD"/>
    <w:rsid w:val="00CD0F43"/>
    <w:rsid w:val="00CD7175"/>
    <w:rsid w:val="00CD7EE7"/>
    <w:rsid w:val="00CE4E73"/>
    <w:rsid w:val="00CE5BF3"/>
    <w:rsid w:val="00CF0FCC"/>
    <w:rsid w:val="00CF41C1"/>
    <w:rsid w:val="00CF5263"/>
    <w:rsid w:val="00D00559"/>
    <w:rsid w:val="00D058EA"/>
    <w:rsid w:val="00D10E26"/>
    <w:rsid w:val="00D16309"/>
    <w:rsid w:val="00D218BF"/>
    <w:rsid w:val="00D3281C"/>
    <w:rsid w:val="00D3670E"/>
    <w:rsid w:val="00D466DF"/>
    <w:rsid w:val="00D53E53"/>
    <w:rsid w:val="00D547AF"/>
    <w:rsid w:val="00D60D37"/>
    <w:rsid w:val="00D66228"/>
    <w:rsid w:val="00D94BCC"/>
    <w:rsid w:val="00DB5EA8"/>
    <w:rsid w:val="00DB677F"/>
    <w:rsid w:val="00DC0EE4"/>
    <w:rsid w:val="00DD2F2F"/>
    <w:rsid w:val="00DD346A"/>
    <w:rsid w:val="00DD3B90"/>
    <w:rsid w:val="00DE19A8"/>
    <w:rsid w:val="00E00A03"/>
    <w:rsid w:val="00E00B45"/>
    <w:rsid w:val="00E00C74"/>
    <w:rsid w:val="00E01F39"/>
    <w:rsid w:val="00E062A9"/>
    <w:rsid w:val="00E12498"/>
    <w:rsid w:val="00E16BF3"/>
    <w:rsid w:val="00E249E0"/>
    <w:rsid w:val="00E31556"/>
    <w:rsid w:val="00E37FD4"/>
    <w:rsid w:val="00E40D52"/>
    <w:rsid w:val="00E42C4A"/>
    <w:rsid w:val="00E44D34"/>
    <w:rsid w:val="00E57D0E"/>
    <w:rsid w:val="00E626B2"/>
    <w:rsid w:val="00E63BC0"/>
    <w:rsid w:val="00E643B0"/>
    <w:rsid w:val="00E653E7"/>
    <w:rsid w:val="00E671F7"/>
    <w:rsid w:val="00E7545F"/>
    <w:rsid w:val="00E80139"/>
    <w:rsid w:val="00EA1A36"/>
    <w:rsid w:val="00EA2EE0"/>
    <w:rsid w:val="00EA32D2"/>
    <w:rsid w:val="00EA518A"/>
    <w:rsid w:val="00EB3942"/>
    <w:rsid w:val="00EB3F89"/>
    <w:rsid w:val="00EB57EF"/>
    <w:rsid w:val="00ED1D71"/>
    <w:rsid w:val="00EE0B32"/>
    <w:rsid w:val="00EF12FB"/>
    <w:rsid w:val="00F04E68"/>
    <w:rsid w:val="00F16BB6"/>
    <w:rsid w:val="00F304AA"/>
    <w:rsid w:val="00F33970"/>
    <w:rsid w:val="00F40F97"/>
    <w:rsid w:val="00F4633F"/>
    <w:rsid w:val="00F46C5B"/>
    <w:rsid w:val="00F473AA"/>
    <w:rsid w:val="00F7163E"/>
    <w:rsid w:val="00F74359"/>
    <w:rsid w:val="00F81C3D"/>
    <w:rsid w:val="00F85564"/>
    <w:rsid w:val="00F97CAF"/>
    <w:rsid w:val="00FA1E57"/>
    <w:rsid w:val="00FA2950"/>
    <w:rsid w:val="00FB338F"/>
    <w:rsid w:val="00FB3DEB"/>
    <w:rsid w:val="00FC0950"/>
    <w:rsid w:val="00FC3A7B"/>
    <w:rsid w:val="00FC7E9E"/>
    <w:rsid w:val="00FC7FF8"/>
    <w:rsid w:val="00FE7147"/>
    <w:rsid w:val="00FF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9E5EF9"/>
  <w15:chartTrackingRefBased/>
  <w15:docId w15:val="{3BDEC5CA-6213-4FE7-A5F7-09F6B8D67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60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9D760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D760B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9D760B"/>
    <w:pPr>
      <w:ind w:left="720"/>
      <w:contextualSpacing/>
    </w:pPr>
  </w:style>
  <w:style w:type="table" w:styleId="TableGrid">
    <w:name w:val="Table Grid"/>
    <w:basedOn w:val="TableNormal"/>
    <w:uiPriority w:val="39"/>
    <w:rsid w:val="009D760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B57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130C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4F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F6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C7E9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7E9E"/>
    <w:rPr>
      <w:color w:val="954F72"/>
      <w:u w:val="single"/>
    </w:rPr>
  </w:style>
  <w:style w:type="paragraph" w:customStyle="1" w:styleId="msonormal0">
    <w:name w:val="msonormal"/>
    <w:basedOn w:val="Normal"/>
    <w:rsid w:val="00FC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xl65">
    <w:name w:val="xl65"/>
    <w:basedOn w:val="Normal"/>
    <w:rsid w:val="00FC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xl66">
    <w:name w:val="xl66"/>
    <w:basedOn w:val="Normal"/>
    <w:rsid w:val="00FC7E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xl67">
    <w:name w:val="xl67"/>
    <w:basedOn w:val="Normal"/>
    <w:rsid w:val="00FC7E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styleId="NormalWeb">
    <w:name w:val="Normal (Web)"/>
    <w:basedOn w:val="Normal"/>
    <w:uiPriority w:val="99"/>
    <w:unhideWhenUsed/>
    <w:rsid w:val="004B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916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B4B"/>
  </w:style>
  <w:style w:type="paragraph" w:styleId="Footer">
    <w:name w:val="footer"/>
    <w:basedOn w:val="Normal"/>
    <w:link w:val="FooterChar"/>
    <w:uiPriority w:val="99"/>
    <w:unhideWhenUsed/>
    <w:rsid w:val="00916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B4B"/>
  </w:style>
  <w:style w:type="paragraph" w:styleId="Revision">
    <w:name w:val="Revision"/>
    <w:hidden/>
    <w:uiPriority w:val="99"/>
    <w:semiHidden/>
    <w:rsid w:val="00F16BB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10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06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06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6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6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2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76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5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2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07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65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53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5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Weijun.Qian@pnnl.gov" TargetMode="External"/><Relationship Id="rId12" Type="http://schemas.openxmlformats.org/officeDocument/2006/relationships/comments" Target="comments.xml"/><Relationship Id="rId17" Type="http://schemas.openxmlformats.org/officeDocument/2006/relationships/image" Target="media/image6.pn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6/09/relationships/commentsIds" Target="commentsIds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10</Pages>
  <Words>1168</Words>
  <Characters>6252</Characters>
  <Application>Microsoft Office Word</Application>
  <DocSecurity>0</DocSecurity>
  <Lines>183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Ye, Yinyin</dc:creator>
  <cp:keywords/>
  <dc:description/>
  <cp:lastModifiedBy>Lin, Tai-Tu</cp:lastModifiedBy>
  <cp:revision>26</cp:revision>
  <cp:lastPrinted>2021-05-19T17:25:00Z</cp:lastPrinted>
  <dcterms:created xsi:type="dcterms:W3CDTF">2026-03-03T01:37:00Z</dcterms:created>
  <dcterms:modified xsi:type="dcterms:W3CDTF">2026-03-12T19:35:00Z</dcterms:modified>
</cp:coreProperties>
</file>