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8B8C" w14:textId="77777777" w:rsidR="0058500B" w:rsidRPr="00B32971" w:rsidRDefault="0058500B" w:rsidP="0058500B">
      <w:pPr>
        <w:autoSpaceDE w:val="0"/>
        <w:autoSpaceDN w:val="0"/>
        <w:adjustRightInd w:val="0"/>
        <w:spacing w:afterLines="50" w:after="120"/>
        <w:jc w:val="left"/>
        <w:rPr>
          <w:rFonts w:ascii="Times New Roman" w:eastAsiaTheme="minorEastAsia" w:hAnsi="Times New Roman" w:cs="Times New Roman"/>
          <w:szCs w:val="21"/>
        </w:rPr>
      </w:pPr>
      <w:r w:rsidRPr="00B32971">
        <w:rPr>
          <w:rFonts w:ascii="Times New Roman" w:eastAsiaTheme="minorEastAsia" w:hAnsi="Times New Roman" w:cs="Times New Roman"/>
          <w:szCs w:val="21"/>
        </w:rPr>
        <w:t xml:space="preserve">Supplementary Figure S1. Haplotype heatmaps across increasing numbers of SNPs (10, 20, 50, 100, 200, 500) show consistent genetic separation between red- and white-flesh dragon fruit. </w:t>
      </w:r>
    </w:p>
    <w:p w14:paraId="00D831C3" w14:textId="77777777" w:rsidR="0058500B" w:rsidRPr="000857D5" w:rsidRDefault="0058500B" w:rsidP="0058500B">
      <w:pPr>
        <w:autoSpaceDE w:val="0"/>
        <w:autoSpaceDN w:val="0"/>
        <w:adjustRightInd w:val="0"/>
        <w:spacing w:afterLines="50" w:after="120"/>
        <w:jc w:val="left"/>
        <w:rPr>
          <w:rFonts w:ascii="Times New Roman" w:eastAsiaTheme="minorEastAsia" w:hAnsi="Times New Roman" w:cs="Times New Roman"/>
          <w:szCs w:val="21"/>
        </w:rPr>
      </w:pPr>
      <w:r w:rsidRPr="00B32971">
        <w:rPr>
          <w:rFonts w:ascii="Times New Roman" w:eastAsiaTheme="minorEastAsia" w:hAnsi="Times New Roman" w:cs="Times New Roman"/>
          <w:szCs w:val="21"/>
        </w:rPr>
        <w:t xml:space="preserve">Samples are grouped by phenotype (red-flesh on top, white-flesh on bottom). Each panel uses identical color scale for ALT allele count (0–2). </w:t>
      </w:r>
    </w:p>
    <w:p w14:paraId="00F9A64A" w14:textId="77777777" w:rsidR="0058500B" w:rsidRPr="00B32971" w:rsidRDefault="0058500B" w:rsidP="0058500B">
      <w:pPr>
        <w:autoSpaceDE w:val="0"/>
        <w:autoSpaceDN w:val="0"/>
        <w:adjustRightInd w:val="0"/>
        <w:spacing w:afterLines="50" w:after="120"/>
        <w:jc w:val="left"/>
        <w:rPr>
          <w:rFonts w:ascii="Times New Roman" w:eastAsiaTheme="minorEastAsia" w:hAnsi="Times New Roman" w:cs="Times New Roman"/>
          <w:szCs w:val="21"/>
        </w:rPr>
      </w:pPr>
      <w:r w:rsidRPr="00B32971">
        <w:rPr>
          <w:rFonts w:ascii="Times New Roman" w:eastAsiaTheme="minorEastAsia" w:hAnsi="Times New Roman" w:cs="Times New Roman"/>
          <w:szCs w:val="21"/>
        </w:rPr>
        <w:t xml:space="preserve">Supplementary Figure S2. PCA plots of 34 dragon fruit accessions based on six core SNP panels (10, 20, 50, 100, 200, 500 SNPs). </w:t>
      </w:r>
    </w:p>
    <w:p w14:paraId="046D21F3" w14:textId="77777777" w:rsidR="0058500B" w:rsidRPr="000857D5" w:rsidRDefault="0058500B" w:rsidP="0058500B">
      <w:pPr>
        <w:autoSpaceDE w:val="0"/>
        <w:autoSpaceDN w:val="0"/>
        <w:adjustRightInd w:val="0"/>
        <w:spacing w:afterLines="50" w:after="120"/>
        <w:jc w:val="left"/>
        <w:rPr>
          <w:rFonts w:ascii="Times New Roman" w:eastAsiaTheme="minorEastAsia" w:hAnsi="Times New Roman" w:cs="Times New Roman"/>
          <w:szCs w:val="21"/>
        </w:rPr>
      </w:pPr>
      <w:r w:rsidRPr="00B32971">
        <w:rPr>
          <w:rFonts w:ascii="Times New Roman" w:eastAsiaTheme="minorEastAsia" w:hAnsi="Times New Roman" w:cs="Times New Roman"/>
          <w:szCs w:val="21"/>
        </w:rPr>
        <w:t>Red = red-flesh, cyan = white-flesh. Ellipses highlight clusters; PC1 explains &gt;93% variance in all cases, showing consistent genetic separation across SNP panel sizes.</w:t>
      </w:r>
    </w:p>
    <w:p w14:paraId="69BC090D" w14:textId="77777777" w:rsidR="0058500B" w:rsidRPr="000857D5" w:rsidRDefault="0058500B" w:rsidP="0058500B">
      <w:pPr>
        <w:autoSpaceDE w:val="0"/>
        <w:autoSpaceDN w:val="0"/>
        <w:adjustRightInd w:val="0"/>
        <w:spacing w:afterLines="50" w:after="120"/>
        <w:jc w:val="left"/>
        <w:rPr>
          <w:rFonts w:ascii="Times New Roman" w:eastAsiaTheme="minorEastAsia" w:hAnsi="Times New Roman" w:cs="Times New Roman"/>
          <w:szCs w:val="21"/>
        </w:rPr>
      </w:pPr>
      <w:r w:rsidRPr="00B32971">
        <w:rPr>
          <w:rFonts w:ascii="Times New Roman" w:eastAsiaTheme="minorEastAsia" w:hAnsi="Times New Roman" w:cs="Times New Roman"/>
          <w:szCs w:val="21"/>
        </w:rPr>
        <w:t xml:space="preserve">Supplementary Figure S3. Haplotype heatmaps of 34 dragon fruit accessions across six hierarchical core SNP panels (10, 20, 50, 100, 200, and 500 SNPs). </w:t>
      </w:r>
      <w:r w:rsidRPr="005E2778">
        <w:rPr>
          <w:rFonts w:ascii="Times New Roman" w:eastAsiaTheme="minorEastAsia" w:hAnsi="Times New Roman" w:cs="Times New Roman"/>
          <w:szCs w:val="21"/>
        </w:rPr>
        <w:t>Samples are ordered by flesh color phenotype: red-flesh (top) and white-flesh (bottom). Each cell represents the number of alternative alleles (0–2) at a given locus.</w:t>
      </w:r>
    </w:p>
    <w:p w14:paraId="6DB41656" w14:textId="77777777" w:rsidR="0058500B" w:rsidRPr="00B32971" w:rsidRDefault="0058500B" w:rsidP="0058500B">
      <w:pPr>
        <w:autoSpaceDE w:val="0"/>
        <w:autoSpaceDN w:val="0"/>
        <w:adjustRightInd w:val="0"/>
        <w:spacing w:afterLines="50" w:after="120"/>
        <w:jc w:val="left"/>
        <w:rPr>
          <w:rFonts w:ascii="Times New Roman" w:eastAsiaTheme="minorEastAsia" w:hAnsi="Times New Roman" w:cs="Times New Roman"/>
        </w:rPr>
      </w:pPr>
      <w:r w:rsidRPr="001D099B">
        <w:rPr>
          <w:rFonts w:ascii="Times New Roman" w:eastAsiaTheme="minorEastAsia" w:hAnsi="Times New Roman" w:cs="Times New Roman"/>
        </w:rPr>
        <w:t xml:space="preserve">Supplementary Figure S4. Principal component analysis (PCA) of </w:t>
      </w:r>
      <w:r>
        <w:rPr>
          <w:rFonts w:ascii="Times New Roman" w:eastAsiaTheme="minorEastAsia" w:hAnsi="Times New Roman" w:cs="Times New Roman"/>
        </w:rPr>
        <w:t>the 26 red and 12 white</w:t>
      </w:r>
      <w:r w:rsidRPr="001D099B">
        <w:rPr>
          <w:rFonts w:ascii="Times New Roman" w:eastAsiaTheme="minorEastAsia" w:hAnsi="Times New Roman" w:cs="Times New Roman"/>
        </w:rPr>
        <w:t xml:space="preserve"> dragon fruit accessions using increasing numbers of flesh color-associated SNPs (5, 10, 50, and 437).</w:t>
      </w:r>
    </w:p>
    <w:p w14:paraId="30C9D2C3" w14:textId="77777777" w:rsidR="0058500B" w:rsidRPr="00B32971" w:rsidRDefault="0058500B" w:rsidP="0058500B">
      <w:pPr>
        <w:autoSpaceDE w:val="0"/>
        <w:autoSpaceDN w:val="0"/>
        <w:adjustRightInd w:val="0"/>
        <w:spacing w:afterLines="50" w:after="120"/>
        <w:jc w:val="left"/>
        <w:rPr>
          <w:rFonts w:ascii="Times New Roman" w:eastAsiaTheme="minorEastAsia" w:hAnsi="Times New Roman" w:cs="Times New Roman"/>
          <w:szCs w:val="21"/>
        </w:rPr>
      </w:pPr>
      <w:r w:rsidRPr="00B32971">
        <w:rPr>
          <w:rFonts w:ascii="Times New Roman" w:eastAsiaTheme="minorEastAsia" w:hAnsi="Times New Roman" w:cs="Times New Roman"/>
          <w:szCs w:val="21"/>
        </w:rPr>
        <w:t xml:space="preserve">Supplementary Table S1. Primer sequences for the 10 ultra-core SNPs used in validation.  </w:t>
      </w:r>
    </w:p>
    <w:p w14:paraId="49A73D82" w14:textId="77777777" w:rsidR="0058500B" w:rsidRPr="00B32971" w:rsidRDefault="0058500B" w:rsidP="0058500B">
      <w:pPr>
        <w:autoSpaceDE w:val="0"/>
        <w:autoSpaceDN w:val="0"/>
        <w:adjustRightInd w:val="0"/>
        <w:spacing w:afterLines="50" w:after="120"/>
        <w:jc w:val="left"/>
        <w:rPr>
          <w:rFonts w:ascii="Times New Roman" w:eastAsiaTheme="minorEastAsia" w:hAnsi="Times New Roman" w:cs="Times New Roman"/>
          <w:szCs w:val="21"/>
        </w:rPr>
      </w:pPr>
      <w:r w:rsidRPr="00B32971">
        <w:rPr>
          <w:rFonts w:ascii="Times New Roman" w:eastAsiaTheme="minorEastAsia" w:hAnsi="Times New Roman" w:cs="Times New Roman"/>
          <w:szCs w:val="21"/>
        </w:rPr>
        <w:t>Forward and reverse primers are listed with expected product sizes. All genotyping was performed via PCR-Sanger sequencing.</w:t>
      </w:r>
    </w:p>
    <w:p w14:paraId="2FEF86AF" w14:textId="77777777" w:rsidR="0058500B" w:rsidRPr="00B32971" w:rsidRDefault="0058500B" w:rsidP="0058500B">
      <w:pPr>
        <w:autoSpaceDE w:val="0"/>
        <w:autoSpaceDN w:val="0"/>
        <w:adjustRightInd w:val="0"/>
        <w:spacing w:afterLines="50" w:after="120"/>
        <w:jc w:val="left"/>
        <w:rPr>
          <w:rFonts w:ascii="Times New Roman" w:eastAsiaTheme="minorEastAsia" w:hAnsi="Times New Roman" w:cs="Times New Roman"/>
          <w:szCs w:val="21"/>
        </w:rPr>
      </w:pPr>
      <w:r w:rsidRPr="00B32971">
        <w:rPr>
          <w:rFonts w:ascii="Times New Roman" w:eastAsiaTheme="minorEastAsia" w:hAnsi="Times New Roman" w:cs="Times New Roman"/>
          <w:szCs w:val="21"/>
        </w:rPr>
        <w:t xml:space="preserve">Supplementary Table S2. Summary of sequencing quality and alignment metrics for each sample.  </w:t>
      </w:r>
    </w:p>
    <w:p w14:paraId="130EB4FA" w14:textId="77777777" w:rsidR="0058500B" w:rsidRPr="00B32971" w:rsidRDefault="0058500B" w:rsidP="0058500B">
      <w:pPr>
        <w:autoSpaceDE w:val="0"/>
        <w:autoSpaceDN w:val="0"/>
        <w:adjustRightInd w:val="0"/>
        <w:spacing w:afterLines="50" w:after="120"/>
        <w:jc w:val="left"/>
        <w:rPr>
          <w:rFonts w:ascii="Times New Roman" w:eastAsiaTheme="minorEastAsia" w:hAnsi="Times New Roman" w:cs="Times New Roman"/>
          <w:szCs w:val="21"/>
        </w:rPr>
      </w:pPr>
      <w:r w:rsidRPr="00B32971">
        <w:rPr>
          <w:rFonts w:ascii="Times New Roman" w:eastAsiaTheme="minorEastAsia" w:hAnsi="Times New Roman" w:cs="Times New Roman"/>
          <w:szCs w:val="21"/>
        </w:rPr>
        <w:t xml:space="preserve">Q30 indicates the percentage of bases with Phred quality </w:t>
      </w:r>
      <w:r w:rsidRPr="00B32971">
        <w:rPr>
          <w:rFonts w:ascii="Times New Roman" w:eastAsiaTheme="minorEastAsia" w:hAnsi="Times New Roman" w:cs="Times New Roman" w:hint="eastAsia"/>
          <w:szCs w:val="21"/>
        </w:rPr>
        <w:t>≥</w:t>
      </w:r>
      <w:r w:rsidRPr="00B32971">
        <w:rPr>
          <w:rFonts w:ascii="Times New Roman" w:eastAsiaTheme="minorEastAsia" w:hAnsi="Times New Roman" w:cs="Times New Roman"/>
          <w:szCs w:val="21"/>
        </w:rPr>
        <w:t>30; Mapped% refers to total reads aligned to the reference genome; Properly mapped% denotes reads with correct pair orientation (for paired-end data).</w:t>
      </w:r>
    </w:p>
    <w:p w14:paraId="3641A6A6" w14:textId="77777777" w:rsidR="0058500B" w:rsidRPr="00B32971" w:rsidRDefault="0058500B" w:rsidP="0058500B">
      <w:pPr>
        <w:autoSpaceDE w:val="0"/>
        <w:autoSpaceDN w:val="0"/>
        <w:adjustRightInd w:val="0"/>
        <w:spacing w:afterLines="50" w:after="120"/>
        <w:ind w:left="420" w:hanging="420"/>
        <w:jc w:val="left"/>
        <w:rPr>
          <w:rFonts w:ascii="Times New Roman" w:eastAsiaTheme="minorEastAsia" w:hAnsi="Times New Roman" w:cs="Times New Roman"/>
          <w:szCs w:val="21"/>
        </w:rPr>
      </w:pPr>
      <w:r w:rsidRPr="00B32971">
        <w:rPr>
          <w:rFonts w:ascii="Times New Roman" w:eastAsiaTheme="minorEastAsia" w:hAnsi="Times New Roman" w:cs="Times New Roman"/>
          <w:szCs w:val="21"/>
        </w:rPr>
        <w:t xml:space="preserve">Supplementary Table S3. Summary of SLAF tag statistics across samples.  </w:t>
      </w:r>
    </w:p>
    <w:p w14:paraId="0FA30141" w14:textId="77777777" w:rsidR="0058500B" w:rsidRPr="00B32971" w:rsidRDefault="0058500B" w:rsidP="0058500B">
      <w:pPr>
        <w:autoSpaceDE w:val="0"/>
        <w:autoSpaceDN w:val="0"/>
        <w:adjustRightInd w:val="0"/>
        <w:spacing w:afterLines="50" w:after="120"/>
        <w:ind w:left="420" w:hanging="420"/>
        <w:rPr>
          <w:rFonts w:ascii="Times New Roman" w:eastAsiaTheme="minorEastAsia" w:hAnsi="Times New Roman" w:cs="Times New Roman"/>
          <w:szCs w:val="21"/>
        </w:rPr>
      </w:pPr>
      <w:r w:rsidRPr="00B32971">
        <w:rPr>
          <w:rFonts w:ascii="Times New Roman" w:eastAsiaTheme="minorEastAsia" w:hAnsi="Times New Roman" w:cs="Times New Roman"/>
          <w:szCs w:val="21"/>
        </w:rPr>
        <w:t>SLAF num = number of unique SLAF tags per sample; Total depth = sum of read depths across all SLAFs; Average depth = mean coverage per SLAF tag.</w:t>
      </w:r>
    </w:p>
    <w:p w14:paraId="7B73D102" w14:textId="77777777" w:rsidR="0058500B" w:rsidRPr="00B32971" w:rsidRDefault="0058500B" w:rsidP="0058500B">
      <w:pPr>
        <w:autoSpaceDE w:val="0"/>
        <w:autoSpaceDN w:val="0"/>
        <w:adjustRightInd w:val="0"/>
        <w:spacing w:afterLines="50" w:after="120"/>
        <w:jc w:val="left"/>
        <w:rPr>
          <w:rFonts w:ascii="Times New Roman" w:eastAsiaTheme="minorEastAsia" w:hAnsi="Times New Roman" w:cs="Times New Roman"/>
        </w:rPr>
      </w:pPr>
      <w:bookmarkStart w:id="0" w:name="OLE_LINK106"/>
      <w:bookmarkStart w:id="1" w:name="OLE_LINK107"/>
      <w:bookmarkStart w:id="2" w:name="OLE_LINK108"/>
      <w:r w:rsidRPr="00B32971">
        <w:rPr>
          <w:rFonts w:ascii="Times New Roman" w:eastAsiaTheme="minorEastAsia" w:hAnsi="Times New Roman" w:cs="Times New Roman"/>
        </w:rPr>
        <w:t xml:space="preserve">Supplementary Table S4. Summary of SNP detection statistics per sample. </w:t>
      </w:r>
      <w:bookmarkEnd w:id="0"/>
      <w:bookmarkEnd w:id="1"/>
      <w:bookmarkEnd w:id="2"/>
      <w:r w:rsidRPr="00B32971">
        <w:rPr>
          <w:rFonts w:ascii="Times New Roman" w:eastAsiaTheme="minorEastAsia" w:hAnsi="Times New Roman" w:cs="Times New Roman"/>
        </w:rPr>
        <w:t xml:space="preserve"> </w:t>
      </w:r>
    </w:p>
    <w:p w14:paraId="252634FC" w14:textId="77777777" w:rsidR="0058500B" w:rsidRPr="0040273C" w:rsidRDefault="0058500B" w:rsidP="0058500B">
      <w:pPr>
        <w:autoSpaceDE w:val="0"/>
        <w:autoSpaceDN w:val="0"/>
        <w:adjustRightInd w:val="0"/>
        <w:spacing w:afterLines="50" w:after="120"/>
        <w:jc w:val="left"/>
        <w:rPr>
          <w:rFonts w:ascii="Times New Roman" w:eastAsiaTheme="minorEastAsia" w:hAnsi="Times New Roman" w:cs="Times New Roman"/>
        </w:rPr>
      </w:pPr>
      <w:r w:rsidRPr="00B32971">
        <w:rPr>
          <w:rFonts w:ascii="Times New Roman" w:eastAsiaTheme="minorEastAsia" w:hAnsi="Times New Roman" w:cs="Times New Roman"/>
        </w:rPr>
        <w:t xml:space="preserve">SNP num = number of detected SNPs; Integrity = proportion of SNPs with genotype calls in </w:t>
      </w:r>
      <w:r w:rsidRPr="00B32971">
        <w:rPr>
          <w:rFonts w:ascii="Times New Roman" w:eastAsiaTheme="minorEastAsia" w:hAnsi="Times New Roman" w:cs="Times New Roman" w:hint="eastAsia"/>
        </w:rPr>
        <w:t>≥</w:t>
      </w:r>
      <w:r w:rsidRPr="00B32971">
        <w:rPr>
          <w:rFonts w:ascii="Times New Roman" w:eastAsiaTheme="minorEastAsia" w:hAnsi="Times New Roman" w:cs="Times New Roman"/>
        </w:rPr>
        <w:t>90% of samples; Heter ratio = percentage of heterozygous SNPs among called variants.</w:t>
      </w:r>
    </w:p>
    <w:p w14:paraId="45CB79BE" w14:textId="77777777" w:rsidR="0058500B" w:rsidRPr="000857D5" w:rsidRDefault="0058500B" w:rsidP="0058500B">
      <w:pPr>
        <w:spacing w:afterLines="50" w:after="120"/>
        <w:rPr>
          <w:rFonts w:ascii="SimSun" w:eastAsia="SimSun" w:hAnsi="SimSun" w:cs="SimSun"/>
          <w:kern w:val="0"/>
        </w:rPr>
      </w:pPr>
      <w:r>
        <w:rPr>
          <w:rFonts w:ascii="Times New Roman" w:eastAsiaTheme="minorEastAsia" w:hAnsi="Times New Roman" w:cs="Times New Roman"/>
          <w:kern w:val="0"/>
        </w:rPr>
        <w:t>Supplementary T</w:t>
      </w:r>
      <w:r>
        <w:rPr>
          <w:rFonts w:ascii="Times New Roman" w:hAnsi="Times New Roman" w:cs="Times New Roman"/>
          <w:kern w:val="0"/>
        </w:rPr>
        <w:t>able S5. Genotypes at the 10 ultra-core SNP loci in the discovery panel</w:t>
      </w:r>
      <w:r>
        <w:rPr>
          <w:rFonts w:ascii="SimSun" w:eastAsia="SimSun" w:hAnsi="SimSun" w:cs="SimSun" w:hint="eastAsia"/>
          <w:kern w:val="0"/>
        </w:rPr>
        <w:t>.</w:t>
      </w:r>
    </w:p>
    <w:p w14:paraId="2A0A51D4" w14:textId="77777777" w:rsidR="0058500B" w:rsidRDefault="0058500B" w:rsidP="0058500B">
      <w:pPr>
        <w:spacing w:afterLines="50" w:after="120"/>
        <w:jc w:val="left"/>
        <w:rPr>
          <w:rFonts w:ascii="Times New Roman" w:eastAsiaTheme="minorEastAsia" w:hAnsi="Times New Roman" w:cs="Times New Roman"/>
          <w:szCs w:val="21"/>
        </w:rPr>
      </w:pPr>
      <w:r w:rsidRPr="00C37AAE">
        <w:rPr>
          <w:rFonts w:ascii="Times New Roman" w:eastAsiaTheme="minorEastAsia" w:hAnsi="Times New Roman" w:cs="Times New Roman"/>
          <w:szCs w:val="21"/>
        </w:rPr>
        <w:t>Supplementary Table S6. Correlation coefficients of four candidate genes with key betalain biosynthesis genes .</w:t>
      </w:r>
    </w:p>
    <w:p w14:paraId="68F209C1" w14:textId="77777777" w:rsidR="0058500B" w:rsidRPr="0040273C" w:rsidRDefault="0058500B" w:rsidP="0058500B">
      <w:pPr>
        <w:spacing w:afterLines="50" w:after="120"/>
        <w:jc w:val="left"/>
        <w:rPr>
          <w:rFonts w:ascii="Times New Roman" w:eastAsiaTheme="minorEastAsia" w:hAnsi="Times New Roman" w:cs="Times New Roman"/>
          <w:szCs w:val="21"/>
        </w:rPr>
      </w:pPr>
      <w:r w:rsidRPr="000A0931">
        <w:rPr>
          <w:rFonts w:ascii="Times New Roman" w:eastAsiaTheme="minorEastAsia" w:hAnsi="Times New Roman" w:cs="Times New Roman"/>
          <w:szCs w:val="21"/>
        </w:rPr>
        <w:t>Supplementary Table S6. Pearson correlation coefficients (r) between four candidate genes and two key betalain biosynthesis genes (</w:t>
      </w:r>
      <w:r w:rsidRPr="00C37AAE">
        <w:rPr>
          <w:rFonts w:ascii="Times New Roman" w:eastAsiaTheme="minorEastAsia" w:hAnsi="Times New Roman" w:cs="Times New Roman"/>
          <w:i/>
          <w:szCs w:val="21"/>
        </w:rPr>
        <w:t>CYP76AD1-1</w:t>
      </w:r>
      <w:r w:rsidRPr="00C37AAE">
        <w:rPr>
          <w:rFonts w:ascii="Times New Roman" w:eastAsiaTheme="minorEastAsia" w:hAnsi="Times New Roman" w:cs="Times New Roman"/>
          <w:szCs w:val="21"/>
        </w:rPr>
        <w:t xml:space="preserve"> and </w:t>
      </w:r>
      <w:r w:rsidRPr="00C37AAE">
        <w:rPr>
          <w:rFonts w:ascii="Times New Roman" w:eastAsiaTheme="minorEastAsia" w:hAnsi="Times New Roman" w:cs="Times New Roman"/>
          <w:i/>
          <w:szCs w:val="21"/>
        </w:rPr>
        <w:t>DODA1</w:t>
      </w:r>
      <w:r w:rsidRPr="000A0931">
        <w:rPr>
          <w:rFonts w:ascii="Times New Roman" w:eastAsiaTheme="minorEastAsia" w:hAnsi="Times New Roman" w:cs="Times New Roman"/>
          <w:szCs w:val="21"/>
        </w:rPr>
        <w:t>) across four developmental stages of red-fleshed dragon fruit.</w:t>
      </w:r>
    </w:p>
    <w:p w14:paraId="4BF4A0A1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0B"/>
    <w:rsid w:val="002C7D54"/>
    <w:rsid w:val="0033371E"/>
    <w:rsid w:val="0058500B"/>
    <w:rsid w:val="005C0D39"/>
    <w:rsid w:val="0070406C"/>
    <w:rsid w:val="00724754"/>
    <w:rsid w:val="00C321FA"/>
    <w:rsid w:val="00C97210"/>
    <w:rsid w:val="00CF6364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F647"/>
  <w15:chartTrackingRefBased/>
  <w15:docId w15:val="{BB5BEFDC-107A-4223-88E0-F01CF863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00B"/>
    <w:pPr>
      <w:widowControl w:val="0"/>
      <w:spacing w:after="0" w:line="240" w:lineRule="auto"/>
      <w:jc w:val="both"/>
    </w:pPr>
    <w:rPr>
      <w:rFonts w:eastAsia="Times New Roman"/>
      <w:sz w:val="21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00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00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00B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00B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00B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00B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00B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00B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00B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00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00B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00B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5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00B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5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00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0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2026-05-22T14:03:00Z</dcterms:created>
  <dcterms:modified xsi:type="dcterms:W3CDTF">2026-05-22T14:03:00Z</dcterms:modified>
</cp:coreProperties>
</file>