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23B01" w14:textId="77777777" w:rsidR="008307E9" w:rsidRDefault="008307E9" w:rsidP="008307E9">
      <w:pPr>
        <w:spacing w:after="200"/>
        <w:jc w:val="left"/>
      </w:pPr>
      <w:r>
        <w:rPr>
          <w:b/>
          <w:bCs/>
          <w:sz w:val="26"/>
          <w:szCs w:val="26"/>
        </w:rPr>
        <w:t>Supplementary Materials</w:t>
      </w:r>
    </w:p>
    <w:p w14:paraId="5FCE823C" w14:textId="77777777" w:rsidR="008307E9" w:rsidRDefault="008307E9" w:rsidP="008307E9">
      <w:pPr>
        <w:spacing w:after="100"/>
      </w:pPr>
      <w:r>
        <w:t>The following supplementary materials are available online:</w:t>
      </w:r>
    </w:p>
    <w:p w14:paraId="10670EB8" w14:textId="77777777" w:rsidR="008307E9" w:rsidRDefault="008307E9" w:rsidP="008307E9">
      <w:pPr>
        <w:spacing w:after="80"/>
      </w:pPr>
      <w:r>
        <w:t>Supplementary Table S1. Complete GSEA pathway enrichment results.</w:t>
      </w:r>
    </w:p>
    <w:p w14:paraId="5CAC50EE" w14:textId="77777777" w:rsidR="008307E9" w:rsidRDefault="008307E9" w:rsidP="008307E9">
      <w:pPr>
        <w:spacing w:after="80"/>
      </w:pPr>
      <w:r>
        <w:t>Supplementary Table S2. Kaplan-Meier survival estimates by CEACAM6 expression group.</w:t>
      </w:r>
    </w:p>
    <w:p w14:paraId="59A99B1E" w14:textId="77777777" w:rsidR="008307E9" w:rsidRDefault="008307E9" w:rsidP="008307E9">
      <w:pPr>
        <w:spacing w:after="80"/>
      </w:pPr>
      <w:r>
        <w:t>Supplementary Figure S1. Log-log survival plots for proportional hazards assumption checking.</w:t>
      </w:r>
    </w:p>
    <w:p w14:paraId="5AB0B3E0" w14:textId="77777777" w:rsidR="008307E9" w:rsidRDefault="008307E9" w:rsidP="008307E9">
      <w:pPr>
        <w:spacing w:after="80"/>
      </w:pPr>
      <w:r>
        <w:t>Supplementary Figure S2. CEACAM6 expression distribution histograms by survival status.</w:t>
      </w:r>
    </w:p>
    <w:p w14:paraId="47F17A62" w14:textId="77777777" w:rsidR="008307E9" w:rsidRDefault="008307E9" w:rsidP="008307E9">
      <w:pPr>
        <w:spacing w:after="80"/>
      </w:pPr>
      <w:r>
        <w:t>Supplementary Figure S3. External validation of CEACAM6 overexpression (GSE53625).</w:t>
      </w:r>
    </w:p>
    <w:p w14:paraId="1D514888" w14:textId="77777777" w:rsidR="008B07A6" w:rsidRDefault="008B07A6"/>
    <w:sectPr w:rsidR="008B07A6" w:rsidSect="008307E9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7E9"/>
    <w:rsid w:val="00066677"/>
    <w:rsid w:val="003A4E89"/>
    <w:rsid w:val="00556784"/>
    <w:rsid w:val="008307E9"/>
    <w:rsid w:val="008B07A6"/>
    <w:rsid w:val="00987B63"/>
    <w:rsid w:val="00B57BE5"/>
    <w:rsid w:val="00D3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82CAE"/>
  <w15:chartTrackingRefBased/>
  <w15:docId w15:val="{5645F26A-79A2-4EC6-8EFE-4ACD031F7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7E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07E9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07E9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07E9"/>
    <w:pPr>
      <w:keepNext/>
      <w:keepLines/>
      <w:widowControl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07E9"/>
    <w:pPr>
      <w:keepNext/>
      <w:keepLines/>
      <w:widowControl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07E9"/>
    <w:pPr>
      <w:keepNext/>
      <w:keepLines/>
      <w:widowControl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07E9"/>
    <w:pPr>
      <w:keepNext/>
      <w:keepLines/>
      <w:widowControl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07E9"/>
    <w:pPr>
      <w:keepNext/>
      <w:keepLines/>
      <w:widowControl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07E9"/>
    <w:pPr>
      <w:keepNext/>
      <w:keepLines/>
      <w:widowControl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07E9"/>
    <w:pPr>
      <w:keepNext/>
      <w:keepLines/>
      <w:widowControl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07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07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07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07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07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07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07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07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07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07E9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30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07E9"/>
    <w:pPr>
      <w:widowControl/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307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07E9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307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07E9"/>
    <w:pPr>
      <w:widowControl/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307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07E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07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07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Maharnur</dc:creator>
  <cp:keywords/>
  <dc:description/>
  <cp:lastModifiedBy>Sachin Maharnur</cp:lastModifiedBy>
  <cp:revision>1</cp:revision>
  <dcterms:created xsi:type="dcterms:W3CDTF">2026-05-26T15:04:00Z</dcterms:created>
  <dcterms:modified xsi:type="dcterms:W3CDTF">2026-05-26T15:04:00Z</dcterms:modified>
</cp:coreProperties>
</file>