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7A" w:rsidRDefault="003D5F7A" w:rsidP="003D5F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Supplemental material</w:t>
      </w:r>
    </w:p>
    <w:p w:rsidR="003D5F7A" w:rsidRPr="00154377" w:rsidRDefault="003D5F7A" w:rsidP="003D5F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</w:pPr>
      <w:r w:rsidRPr="0015437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 xml:space="preserve">Parsimonious analysis of confounders effects on the self-perceived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influence of OPOCUS on clinical decision making</w:t>
      </w:r>
    </w:p>
    <w:p w:rsidR="003D5F7A" w:rsidRPr="00154377" w:rsidRDefault="003D5F7A" w:rsidP="003D5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5F7A" w:rsidRPr="00154377" w:rsidRDefault="003D5F7A" w:rsidP="003D5F7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154377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>Using the DAG, we identified all the unblocked paths that linked the outcome (decision-making) with the exposure (GUSI vs. OJT). Two plausible pathways through which training modality could influence decision-making ability were identified</w:t>
      </w:r>
      <w:proofErr w:type="gramStart"/>
      <w:r w:rsidRPr="00154377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>:-</w:t>
      </w:r>
      <w:proofErr w:type="gramEnd"/>
      <w:r w:rsidRPr="00154377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(1) by providing the technical know</w:t>
      </w:r>
      <w:r w:rsidRPr="00154377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154377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to identify pregnancy complications early, and (2) by increasing </w:t>
      </w:r>
      <w:r w:rsidRPr="00154377">
        <w:rPr>
          <w:rFonts w:ascii="Times New Roman" w:hAnsi="Times New Roman" w:cs="Times New Roman"/>
          <w:color w:val="000000"/>
          <w:sz w:val="24"/>
          <w:szCs w:val="24"/>
        </w:rPr>
        <w:t xml:space="preserve">HCP’s </w:t>
      </w:r>
      <w:r w:rsidRPr="00154377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confidence in the accuracy of </w:t>
      </w:r>
      <w:r w:rsidRPr="00154377">
        <w:rPr>
          <w:rFonts w:ascii="Times New Roman" w:hAnsi="Times New Roman" w:cs="Times New Roman"/>
          <w:color w:val="000000"/>
          <w:sz w:val="24"/>
          <w:szCs w:val="24"/>
        </w:rPr>
        <w:t xml:space="preserve">their </w:t>
      </w:r>
      <w:r w:rsidRPr="00154377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>obstetric assessments</w:t>
      </w:r>
      <w:r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3D5F7A" w:rsidRDefault="003D5F7A" w:rsidP="003D5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5F7A" w:rsidRDefault="003D5F7A" w:rsidP="003D5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3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87BCF8" wp14:editId="436936C2">
            <wp:extent cx="5943600" cy="28486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F7A" w:rsidRPr="00154377" w:rsidRDefault="003D5F7A" w:rsidP="003D5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Supplemental Figure 1: </w:t>
      </w:r>
      <w:r w:rsidRPr="00154377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Directed Acyclic Graph (DAG) </w:t>
      </w:r>
    </w:p>
    <w:p w:rsidR="005B1DC1" w:rsidRDefault="005B1DC1">
      <w:bookmarkStart w:id="0" w:name="_GoBack"/>
      <w:bookmarkEnd w:id="0"/>
    </w:p>
    <w:sectPr w:rsidR="005B1D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7A"/>
    <w:rsid w:val="003D5F7A"/>
    <w:rsid w:val="005B1DC1"/>
    <w:rsid w:val="009D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5F7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5F7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George Otieno</dc:creator>
  <cp:lastModifiedBy>Prof. George Otieno</cp:lastModifiedBy>
  <cp:revision>1</cp:revision>
  <dcterms:created xsi:type="dcterms:W3CDTF">2026-05-01T13:27:00Z</dcterms:created>
  <dcterms:modified xsi:type="dcterms:W3CDTF">2026-05-01T13:27:00Z</dcterms:modified>
</cp:coreProperties>
</file>