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480" w:lineRule="auto" w:before="200" w:after="120"/>
      </w:pPr>
      <w:r>
        <w:rPr>
          <w:rFonts w:ascii="Times New Roman" w:hAnsi="Times New Roman" w:eastAsia="Times New Roman"/>
          <w:b/>
          <w:sz w:val="26"/>
        </w:rPr>
        <w:t>Additional file 2. Retrospective JOA and ODI scores</w:t>
      </w:r>
    </w:p>
    <w:p>
      <w:pPr>
        <w:spacing w:line="480" w:lineRule="auto" w:after="120"/>
      </w:pPr>
      <w:r>
        <w:rPr>
          <w:rFonts w:ascii="Times New Roman" w:hAnsi="Times New Roman" w:eastAsia="Times New Roman"/>
          <w:b w:val="0"/>
          <w:i w:val="0"/>
          <w:sz w:val="22"/>
        </w:rPr>
        <w:t>These scores are supportive functional context and are not the primary outcome of the case report.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blHeader w:val="true"/>
        </w:trP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/>
                <w:sz w:val="20"/>
              </w:rPr>
              <w:t>Time point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/>
                <w:sz w:val="20"/>
              </w:rPr>
              <w:t>Date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/>
                <w:sz w:val="20"/>
              </w:rPr>
              <w:t>Clinical stage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/>
                <w:sz w:val="20"/>
              </w:rPr>
              <w:t>JOA score (0–17)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/>
                <w:sz w:val="20"/>
              </w:rPr>
              <w:t>ODI (%)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/>
                <w:sz w:val="20"/>
              </w:rPr>
              <w:t>Clinical context for retrospective scoring</w:t>
            </w:r>
          </w:p>
        </w:tc>
      </w:tr>
      <w:t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First admission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2025-01-08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Preoperative cervical stenosis with right lower-extremity/perineal numbness, sensory disturbance, hyperreflexia, and positive Hoffmann sign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11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36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Moderate cervical myelopathy pattern; sensory disturbance was prominent, with no documented severe motor weakness or sphincter dysfunction.</w:t>
            </w:r>
          </w:p>
        </w:tc>
      </w:tr>
      <w:t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Early postoperative first discharge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2025-02-16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Temporary stabilization after first postoperative admission for CSF leak/pseudomeningocele-related symptoms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12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32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Slight neurological/functional improvement compared with admission, but postoperative headache/inflammation and recovery burden remained.</w:t>
            </w:r>
          </w:p>
        </w:tc>
      </w:tr>
      <w:t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Second admission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2025-04-08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Recurrent headache, dizziness, nausea, vomiting, weakness, fever, ventricular enlargement, and persistent posterior collection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9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58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Systemic and intracranial-pressure/infectious symptoms caused substantial functional decline.</w:t>
            </w:r>
          </w:p>
        </w:tc>
      </w:tr>
      <w:t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After lumbar drainage/anti-infective treatment, before revision repair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2025-04-24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Partial improvement after lumbar drainage and anti-infective treatment, but persistent symptoms and inflammatory CSF abnormalities remained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10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50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Some response to bridging therapy, but functional status remained impaired before definitive repair.</w:t>
            </w:r>
          </w:p>
        </w:tc>
      </w:tr>
      <w:t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Second discharge after revision repair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2025-05-21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Afebrile, no headache, lumbar drainage removed, improved ambulation after dural repair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14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22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Stable clinical recovery with residual functional limitation.</w:t>
            </w:r>
          </w:p>
        </w:tc>
      </w:tr>
      <w:t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3-month follow-up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2025-08-21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No posterior cervical swelling, fever, or new neurological symptoms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14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22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Scores remained unchanged from second discharge according to follow-up assessment.</w:t>
            </w:r>
          </w:p>
        </w:tc>
      </w:tr>
      <w:tr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6-month follow-up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2025-11-21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No posterior cervical swelling, fever, or new neurological symptoms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14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22</w:t>
            </w:r>
          </w:p>
        </w:tc>
        <w:tc>
          <w:tcPr>
            <w:tcW w:type="dxa" w:w="1504"/>
            <w:vAlign w:val="top"/>
          </w:tcPr>
          <w:p>
            <w:pPr>
              <w:spacing w:line="240" w:lineRule="auto" w:after="60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Scores remained unchanged from second discharge according to follow-up assessment.</w:t>
            </w:r>
          </w:p>
        </w:tc>
      </w:tr>
    </w:tbl>
    <w:p>
      <w:pPr>
        <w:spacing w:line="480" w:lineRule="auto" w:after="120"/>
      </w:pPr>
      <w:r>
        <w:rPr>
          <w:rFonts w:ascii="Times New Roman" w:hAnsi="Times New Roman" w:eastAsia="Times New Roman"/>
          <w:b w:val="0"/>
          <w:i w:val="0"/>
          <w:sz w:val="22"/>
        </w:rPr>
        <w:t>Abbreviations: JOA, Japanese Orthopaedic Association; ODI, Oswestry Disability Index.</w:t>
      </w:r>
    </w:p>
    <w:sectPr w:rsidR="00FC693F" w:rsidRPr="0006063C" w:rsidSect="00034616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  <w:lnNumType w:countBy="1" w:restart="newPage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Page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 w:after="12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