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05FC" w:rsidRPr="0079561F" w:rsidRDefault="006605FC" w:rsidP="00ED55A9">
      <w:pPr>
        <w:pStyle w:val="BBAuthorName"/>
        <w:spacing w:line="360" w:lineRule="auto"/>
        <w:jc w:val="left"/>
        <w:rPr>
          <w:rFonts w:ascii="Times New Roman" w:hAnsi="Times New Roman"/>
          <w:i w:val="0"/>
          <w:sz w:val="28"/>
          <w:szCs w:val="28"/>
        </w:rPr>
      </w:pPr>
      <w:r w:rsidRPr="0079561F">
        <w:rPr>
          <w:rFonts w:ascii="Times New Roman" w:hAnsi="Times New Roman"/>
          <w:i w:val="0"/>
          <w:sz w:val="28"/>
          <w:szCs w:val="28"/>
        </w:rPr>
        <w:t xml:space="preserve">Source Apportionment and Characterization of </w:t>
      </w:r>
      <w:r>
        <w:rPr>
          <w:rFonts w:ascii="Times New Roman" w:hAnsi="Times New Roman"/>
          <w:i w:val="0"/>
          <w:sz w:val="28"/>
          <w:szCs w:val="28"/>
        </w:rPr>
        <w:t xml:space="preserve">Water Insoluble </w:t>
      </w:r>
      <w:r w:rsidRPr="0079561F">
        <w:rPr>
          <w:rFonts w:ascii="Times New Roman" w:hAnsi="Times New Roman"/>
          <w:i w:val="0"/>
          <w:sz w:val="28"/>
          <w:szCs w:val="28"/>
        </w:rPr>
        <w:t xml:space="preserve">Single Particulate Matters in Rain Sequences Using Particle Size Analyzer and Scanning Electron Microscopy </w:t>
      </w:r>
    </w:p>
    <w:p w:rsidR="006605FC" w:rsidRPr="0079561F" w:rsidRDefault="006605FC" w:rsidP="00ED55A9">
      <w:pPr>
        <w:pStyle w:val="TAMainText"/>
        <w:spacing w:line="360" w:lineRule="auto"/>
        <w:rPr>
          <w:rFonts w:ascii="Times New Roman" w:hAnsi="Times New Roman"/>
          <w:szCs w:val="24"/>
        </w:rPr>
      </w:pPr>
      <w:r w:rsidRPr="0079561F">
        <w:rPr>
          <w:rFonts w:ascii="Times New Roman" w:hAnsi="Times New Roman"/>
          <w:szCs w:val="24"/>
        </w:rPr>
        <w:t>Ercan Berberler</w:t>
      </w:r>
      <w:r w:rsidRPr="0079561F">
        <w:rPr>
          <w:rFonts w:ascii="Times New Roman" w:hAnsi="Times New Roman"/>
          <w:szCs w:val="24"/>
          <w:vertAlign w:val="superscript"/>
        </w:rPr>
        <w:t>a,b</w:t>
      </w:r>
      <w:r w:rsidRPr="0079561F">
        <w:rPr>
          <w:rFonts w:ascii="Times New Roman" w:hAnsi="Times New Roman"/>
          <w:szCs w:val="24"/>
        </w:rPr>
        <w:t>, Betül Tuba Gemici</w:t>
      </w:r>
      <w:r w:rsidRPr="0079561F">
        <w:rPr>
          <w:rFonts w:ascii="Times New Roman" w:hAnsi="Times New Roman"/>
          <w:szCs w:val="24"/>
          <w:vertAlign w:val="superscript"/>
        </w:rPr>
        <w:t>a</w:t>
      </w:r>
      <w:r w:rsidRPr="0079561F">
        <w:rPr>
          <w:rFonts w:ascii="Times New Roman" w:hAnsi="Times New Roman"/>
          <w:szCs w:val="24"/>
        </w:rPr>
        <w:t>, Handan Ucun Özel</w:t>
      </w:r>
      <w:r w:rsidRPr="0079561F">
        <w:rPr>
          <w:rFonts w:ascii="Times New Roman" w:hAnsi="Times New Roman"/>
          <w:szCs w:val="24"/>
          <w:vertAlign w:val="superscript"/>
        </w:rPr>
        <w:t>a</w:t>
      </w:r>
      <w:r w:rsidRPr="0079561F">
        <w:rPr>
          <w:rFonts w:ascii="Times New Roman" w:hAnsi="Times New Roman"/>
          <w:szCs w:val="24"/>
        </w:rPr>
        <w:t>, Tuğçe Demir</w:t>
      </w:r>
      <w:r w:rsidRPr="0079561F">
        <w:rPr>
          <w:rFonts w:ascii="Times New Roman" w:hAnsi="Times New Roman"/>
          <w:szCs w:val="24"/>
          <w:vertAlign w:val="superscript"/>
        </w:rPr>
        <w:t>b</w:t>
      </w:r>
      <w:r w:rsidRPr="0079561F">
        <w:rPr>
          <w:rFonts w:ascii="Times New Roman" w:hAnsi="Times New Roman"/>
          <w:szCs w:val="24"/>
        </w:rPr>
        <w:t>, Duran Karakaş</w:t>
      </w:r>
      <w:r w:rsidRPr="0079561F">
        <w:rPr>
          <w:rFonts w:ascii="Times New Roman" w:hAnsi="Times New Roman"/>
          <w:szCs w:val="24"/>
          <w:vertAlign w:val="superscript"/>
        </w:rPr>
        <w:t>b</w:t>
      </w:r>
      <w:r w:rsidRPr="0079561F">
        <w:rPr>
          <w:rFonts w:ascii="Times New Roman" w:hAnsi="Times New Roman"/>
          <w:szCs w:val="24"/>
        </w:rPr>
        <w:t>*</w:t>
      </w:r>
    </w:p>
    <w:p w:rsidR="00ED55A9" w:rsidRDefault="006605FC" w:rsidP="00ED55A9">
      <w:pPr>
        <w:pStyle w:val="BDAbstract"/>
        <w:spacing w:line="360" w:lineRule="auto"/>
        <w:rPr>
          <w:rFonts w:ascii="Times New Roman" w:hAnsi="Times New Roman"/>
          <w:szCs w:val="24"/>
        </w:rPr>
      </w:pPr>
      <w:r w:rsidRPr="006605FC">
        <w:rPr>
          <w:rFonts w:ascii="Times New Roman" w:hAnsi="Times New Roman"/>
          <w:szCs w:val="24"/>
          <w:vertAlign w:val="superscript"/>
        </w:rPr>
        <w:t>a</w:t>
      </w:r>
      <w:r w:rsidRPr="006605FC">
        <w:rPr>
          <w:rFonts w:ascii="Times New Roman" w:hAnsi="Times New Roman"/>
          <w:szCs w:val="24"/>
        </w:rPr>
        <w:t>Department of Environmental Engineering, Faculty of Engineering, Architecture and Design, Bartın University, 74100 Bartın, Turkey.</w:t>
      </w:r>
    </w:p>
    <w:p w:rsidR="006605FC" w:rsidRPr="006605FC" w:rsidRDefault="006605FC" w:rsidP="00ED55A9">
      <w:pPr>
        <w:pStyle w:val="BDAbstract"/>
        <w:spacing w:line="360" w:lineRule="auto"/>
        <w:rPr>
          <w:rFonts w:ascii="Times New Roman" w:hAnsi="Times New Roman"/>
          <w:szCs w:val="24"/>
        </w:rPr>
      </w:pPr>
      <w:r w:rsidRPr="006605FC">
        <w:rPr>
          <w:rFonts w:ascii="Times New Roman" w:hAnsi="Times New Roman"/>
          <w:szCs w:val="24"/>
          <w:vertAlign w:val="superscript"/>
        </w:rPr>
        <w:t>b</w:t>
      </w:r>
      <w:r w:rsidRPr="006605FC">
        <w:rPr>
          <w:rFonts w:ascii="Times New Roman" w:hAnsi="Times New Roman"/>
          <w:szCs w:val="24"/>
        </w:rPr>
        <w:t xml:space="preserve">Department of Environmental Engineering, Faculty of Engineering, Bolu Abant Izzet Baysal University, 14030 Bolu, Turkey. </w:t>
      </w:r>
    </w:p>
    <w:p w:rsidR="00226B76" w:rsidRDefault="00226B76" w:rsidP="00ED55A9">
      <w:pPr>
        <w:pStyle w:val="TAMainText"/>
        <w:spacing w:line="360" w:lineRule="auto"/>
      </w:pPr>
    </w:p>
    <w:p w:rsidR="00467F78" w:rsidRDefault="00467F78" w:rsidP="00ED55A9">
      <w:pPr>
        <w:pStyle w:val="TAMainText"/>
        <w:spacing w:line="360" w:lineRule="auto"/>
      </w:pPr>
      <w:r w:rsidRPr="00467F78">
        <w:rPr>
          <w:b/>
        </w:rPr>
        <w:t>Table S1.</w:t>
      </w:r>
      <w:r>
        <w:t xml:space="preserve"> Sum of measured </w:t>
      </w:r>
      <w:r w:rsidR="008E490E">
        <w:t xml:space="preserve">non-seal salt </w:t>
      </w:r>
      <w:r>
        <w:t>ionic concentrations in the rainfall event samples (</w:t>
      </w:r>
      <w:r>
        <w:rPr>
          <w:rFonts w:ascii="Times New Roman" w:hAnsi="Times New Roman"/>
        </w:rPr>
        <w:t>μ</w:t>
      </w:r>
      <w:r>
        <w:t>g/mL)</w:t>
      </w:r>
    </w:p>
    <w:tbl>
      <w:tblPr>
        <w:tblStyle w:val="TabloKlavuzu"/>
        <w:tblW w:w="84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9"/>
        <w:gridCol w:w="848"/>
        <w:gridCol w:w="847"/>
        <w:gridCol w:w="959"/>
        <w:gridCol w:w="959"/>
        <w:gridCol w:w="994"/>
        <w:gridCol w:w="850"/>
        <w:gridCol w:w="992"/>
        <w:gridCol w:w="989"/>
      </w:tblGrid>
      <w:tr w:rsidR="001A3491" w:rsidRPr="00972929" w:rsidTr="001A3491">
        <w:trPr>
          <w:trHeight w:val="300"/>
        </w:trPr>
        <w:tc>
          <w:tcPr>
            <w:tcW w:w="1049" w:type="dxa"/>
            <w:tcBorders>
              <w:top w:val="single" w:sz="4" w:space="0" w:color="auto"/>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 xml:space="preserve"> Event </w:t>
            </w:r>
          </w:p>
        </w:tc>
        <w:tc>
          <w:tcPr>
            <w:tcW w:w="848" w:type="dxa"/>
            <w:tcBorders>
              <w:top w:val="single" w:sz="4" w:space="0" w:color="auto"/>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vertAlign w:val="superscript"/>
              </w:rPr>
            </w:pPr>
            <w:r w:rsidRPr="00972929">
              <w:rPr>
                <w:rFonts w:ascii="Times New Roman" w:hAnsi="Times New Roman"/>
                <w:szCs w:val="24"/>
              </w:rPr>
              <w:t>F</w:t>
            </w:r>
            <w:r w:rsidRPr="00972929">
              <w:rPr>
                <w:rFonts w:ascii="Times New Roman" w:hAnsi="Times New Roman"/>
                <w:szCs w:val="24"/>
                <w:vertAlign w:val="superscript"/>
              </w:rPr>
              <w:t>-</w:t>
            </w:r>
          </w:p>
        </w:tc>
        <w:tc>
          <w:tcPr>
            <w:tcW w:w="847" w:type="dxa"/>
            <w:tcBorders>
              <w:top w:val="single" w:sz="4" w:space="0" w:color="auto"/>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vertAlign w:val="superscript"/>
              </w:rPr>
            </w:pPr>
            <w:r w:rsidRPr="00972929">
              <w:rPr>
                <w:rFonts w:ascii="Times New Roman" w:hAnsi="Times New Roman"/>
                <w:szCs w:val="24"/>
              </w:rPr>
              <w:t>Cl</w:t>
            </w:r>
            <w:r w:rsidRPr="00972929">
              <w:rPr>
                <w:rFonts w:ascii="Times New Roman" w:hAnsi="Times New Roman"/>
                <w:szCs w:val="24"/>
                <w:vertAlign w:val="superscript"/>
              </w:rPr>
              <w:t>-</w:t>
            </w:r>
          </w:p>
        </w:tc>
        <w:tc>
          <w:tcPr>
            <w:tcW w:w="959" w:type="dxa"/>
            <w:tcBorders>
              <w:top w:val="single" w:sz="4" w:space="0" w:color="auto"/>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NO</w:t>
            </w:r>
            <w:r w:rsidRPr="00972929">
              <w:rPr>
                <w:rFonts w:ascii="Times New Roman" w:hAnsi="Times New Roman"/>
                <w:szCs w:val="24"/>
                <w:vertAlign w:val="subscript"/>
              </w:rPr>
              <w:t>3</w:t>
            </w:r>
            <w:r w:rsidRPr="00972929">
              <w:rPr>
                <w:rFonts w:ascii="Times New Roman" w:hAnsi="Times New Roman"/>
                <w:szCs w:val="24"/>
                <w:vertAlign w:val="superscript"/>
              </w:rPr>
              <w:t>-</w:t>
            </w:r>
          </w:p>
        </w:tc>
        <w:tc>
          <w:tcPr>
            <w:tcW w:w="959" w:type="dxa"/>
            <w:tcBorders>
              <w:top w:val="single" w:sz="4" w:space="0" w:color="auto"/>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SO</w:t>
            </w:r>
            <w:r w:rsidRPr="00972929">
              <w:rPr>
                <w:rFonts w:ascii="Times New Roman" w:hAnsi="Times New Roman"/>
                <w:szCs w:val="24"/>
                <w:vertAlign w:val="subscript"/>
              </w:rPr>
              <w:t>4</w:t>
            </w:r>
            <w:r w:rsidRPr="00972929">
              <w:rPr>
                <w:rFonts w:ascii="Times New Roman" w:hAnsi="Times New Roman"/>
                <w:szCs w:val="24"/>
                <w:vertAlign w:val="superscript"/>
              </w:rPr>
              <w:t>2-</w:t>
            </w:r>
          </w:p>
        </w:tc>
        <w:tc>
          <w:tcPr>
            <w:tcW w:w="994" w:type="dxa"/>
            <w:tcBorders>
              <w:top w:val="single" w:sz="4" w:space="0" w:color="auto"/>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NH</w:t>
            </w:r>
            <w:r w:rsidRPr="00972929">
              <w:rPr>
                <w:rFonts w:ascii="Times New Roman" w:hAnsi="Times New Roman"/>
                <w:szCs w:val="24"/>
                <w:vertAlign w:val="subscript"/>
              </w:rPr>
              <w:t>4</w:t>
            </w:r>
            <w:r w:rsidRPr="00972929">
              <w:rPr>
                <w:rFonts w:ascii="Times New Roman" w:hAnsi="Times New Roman"/>
                <w:szCs w:val="24"/>
                <w:vertAlign w:val="superscript"/>
              </w:rPr>
              <w:t>+</w:t>
            </w:r>
          </w:p>
        </w:tc>
        <w:tc>
          <w:tcPr>
            <w:tcW w:w="850" w:type="dxa"/>
            <w:tcBorders>
              <w:top w:val="single" w:sz="4" w:space="0" w:color="auto"/>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vertAlign w:val="superscript"/>
              </w:rPr>
            </w:pPr>
            <w:r w:rsidRPr="00972929">
              <w:rPr>
                <w:rFonts w:ascii="Times New Roman" w:hAnsi="Times New Roman"/>
                <w:szCs w:val="24"/>
              </w:rPr>
              <w:t>K</w:t>
            </w:r>
            <w:r w:rsidRPr="00972929">
              <w:rPr>
                <w:rFonts w:ascii="Times New Roman" w:hAnsi="Times New Roman"/>
                <w:szCs w:val="24"/>
                <w:vertAlign w:val="superscript"/>
              </w:rPr>
              <w:t>+</w:t>
            </w:r>
          </w:p>
        </w:tc>
        <w:tc>
          <w:tcPr>
            <w:tcW w:w="992" w:type="dxa"/>
            <w:tcBorders>
              <w:top w:val="single" w:sz="4" w:space="0" w:color="auto"/>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Mg</w:t>
            </w:r>
            <w:r w:rsidRPr="00972929">
              <w:rPr>
                <w:rFonts w:ascii="Times New Roman" w:hAnsi="Times New Roman"/>
                <w:szCs w:val="24"/>
                <w:vertAlign w:val="superscript"/>
              </w:rPr>
              <w:t>2+</w:t>
            </w:r>
            <w:r w:rsidRPr="00972929">
              <w:rPr>
                <w:rFonts w:ascii="Times New Roman" w:hAnsi="Times New Roman"/>
                <w:szCs w:val="24"/>
              </w:rPr>
              <w:t xml:space="preserve"> </w:t>
            </w:r>
          </w:p>
        </w:tc>
        <w:tc>
          <w:tcPr>
            <w:tcW w:w="989" w:type="dxa"/>
            <w:tcBorders>
              <w:top w:val="single" w:sz="4" w:space="0" w:color="auto"/>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vertAlign w:val="superscript"/>
              </w:rPr>
            </w:pPr>
            <w:r w:rsidRPr="00972929">
              <w:rPr>
                <w:rFonts w:ascii="Times New Roman" w:hAnsi="Times New Roman"/>
                <w:szCs w:val="24"/>
              </w:rPr>
              <w:t>Ca</w:t>
            </w:r>
            <w:r w:rsidRPr="00972929">
              <w:rPr>
                <w:rFonts w:ascii="Times New Roman" w:hAnsi="Times New Roman"/>
                <w:szCs w:val="24"/>
                <w:vertAlign w:val="superscript"/>
              </w:rPr>
              <w:t>2+</w:t>
            </w:r>
          </w:p>
        </w:tc>
      </w:tr>
      <w:tr w:rsidR="001A3491" w:rsidRPr="00972929" w:rsidTr="001A3491">
        <w:trPr>
          <w:trHeight w:val="300"/>
        </w:trPr>
        <w:tc>
          <w:tcPr>
            <w:tcW w:w="1049" w:type="dxa"/>
            <w:tcBorders>
              <w:top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1</w:t>
            </w:r>
          </w:p>
        </w:tc>
        <w:tc>
          <w:tcPr>
            <w:tcW w:w="848" w:type="dxa"/>
            <w:tcBorders>
              <w:top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nd</w:t>
            </w:r>
          </w:p>
        </w:tc>
        <w:tc>
          <w:tcPr>
            <w:tcW w:w="847" w:type="dxa"/>
            <w:tcBorders>
              <w:top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4.41</w:t>
            </w:r>
          </w:p>
        </w:tc>
        <w:tc>
          <w:tcPr>
            <w:tcW w:w="959" w:type="dxa"/>
            <w:tcBorders>
              <w:top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1.44</w:t>
            </w:r>
          </w:p>
        </w:tc>
        <w:tc>
          <w:tcPr>
            <w:tcW w:w="959" w:type="dxa"/>
            <w:tcBorders>
              <w:top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2.01</w:t>
            </w:r>
          </w:p>
        </w:tc>
        <w:tc>
          <w:tcPr>
            <w:tcW w:w="994" w:type="dxa"/>
            <w:tcBorders>
              <w:top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0.19</w:t>
            </w:r>
          </w:p>
        </w:tc>
        <w:tc>
          <w:tcPr>
            <w:tcW w:w="850" w:type="dxa"/>
            <w:tcBorders>
              <w:top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0.41</w:t>
            </w:r>
          </w:p>
        </w:tc>
        <w:tc>
          <w:tcPr>
            <w:tcW w:w="992" w:type="dxa"/>
            <w:tcBorders>
              <w:top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0.47</w:t>
            </w:r>
          </w:p>
        </w:tc>
        <w:tc>
          <w:tcPr>
            <w:tcW w:w="989" w:type="dxa"/>
            <w:tcBorders>
              <w:top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0.29</w:t>
            </w:r>
          </w:p>
        </w:tc>
      </w:tr>
      <w:tr w:rsidR="001A3491" w:rsidRPr="00972929" w:rsidTr="001A3491">
        <w:trPr>
          <w:trHeight w:val="300"/>
        </w:trPr>
        <w:tc>
          <w:tcPr>
            <w:tcW w:w="104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2</w:t>
            </w:r>
          </w:p>
        </w:tc>
        <w:tc>
          <w:tcPr>
            <w:tcW w:w="848"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0.54</w:t>
            </w:r>
          </w:p>
        </w:tc>
        <w:tc>
          <w:tcPr>
            <w:tcW w:w="847"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1.96</w:t>
            </w:r>
          </w:p>
        </w:tc>
        <w:tc>
          <w:tcPr>
            <w:tcW w:w="95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3.64</w:t>
            </w:r>
          </w:p>
        </w:tc>
        <w:tc>
          <w:tcPr>
            <w:tcW w:w="95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5.79</w:t>
            </w:r>
          </w:p>
        </w:tc>
        <w:tc>
          <w:tcPr>
            <w:tcW w:w="994"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1.21</w:t>
            </w:r>
          </w:p>
        </w:tc>
        <w:tc>
          <w:tcPr>
            <w:tcW w:w="850"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0.50</w:t>
            </w:r>
          </w:p>
        </w:tc>
        <w:tc>
          <w:tcPr>
            <w:tcW w:w="992"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0.16</w:t>
            </w:r>
          </w:p>
        </w:tc>
        <w:tc>
          <w:tcPr>
            <w:tcW w:w="98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15.1</w:t>
            </w:r>
          </w:p>
        </w:tc>
      </w:tr>
      <w:tr w:rsidR="001A3491" w:rsidRPr="00972929" w:rsidTr="001A3491">
        <w:trPr>
          <w:trHeight w:val="300"/>
        </w:trPr>
        <w:tc>
          <w:tcPr>
            <w:tcW w:w="104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3</w:t>
            </w:r>
          </w:p>
        </w:tc>
        <w:tc>
          <w:tcPr>
            <w:tcW w:w="848"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nd</w:t>
            </w:r>
          </w:p>
        </w:tc>
        <w:tc>
          <w:tcPr>
            <w:tcW w:w="847"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7.21</w:t>
            </w:r>
          </w:p>
        </w:tc>
        <w:tc>
          <w:tcPr>
            <w:tcW w:w="95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5.05</w:t>
            </w:r>
          </w:p>
        </w:tc>
        <w:tc>
          <w:tcPr>
            <w:tcW w:w="95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5.67</w:t>
            </w:r>
          </w:p>
        </w:tc>
        <w:tc>
          <w:tcPr>
            <w:tcW w:w="994"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0.12</w:t>
            </w:r>
          </w:p>
        </w:tc>
        <w:tc>
          <w:tcPr>
            <w:tcW w:w="850"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0.45</w:t>
            </w:r>
          </w:p>
        </w:tc>
        <w:tc>
          <w:tcPr>
            <w:tcW w:w="992"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0.47</w:t>
            </w:r>
          </w:p>
        </w:tc>
        <w:tc>
          <w:tcPr>
            <w:tcW w:w="98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2.57</w:t>
            </w:r>
          </w:p>
        </w:tc>
      </w:tr>
      <w:tr w:rsidR="001A3491" w:rsidRPr="00972929" w:rsidTr="001A3491">
        <w:trPr>
          <w:trHeight w:val="300"/>
        </w:trPr>
        <w:tc>
          <w:tcPr>
            <w:tcW w:w="104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4</w:t>
            </w:r>
          </w:p>
        </w:tc>
        <w:tc>
          <w:tcPr>
            <w:tcW w:w="848"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nd</w:t>
            </w:r>
          </w:p>
        </w:tc>
        <w:tc>
          <w:tcPr>
            <w:tcW w:w="847"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1.64</w:t>
            </w:r>
          </w:p>
        </w:tc>
        <w:tc>
          <w:tcPr>
            <w:tcW w:w="95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3.19</w:t>
            </w:r>
          </w:p>
        </w:tc>
        <w:tc>
          <w:tcPr>
            <w:tcW w:w="95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3.14</w:t>
            </w:r>
          </w:p>
        </w:tc>
        <w:tc>
          <w:tcPr>
            <w:tcW w:w="994"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nd</w:t>
            </w:r>
          </w:p>
        </w:tc>
        <w:tc>
          <w:tcPr>
            <w:tcW w:w="850"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0.34</w:t>
            </w:r>
          </w:p>
        </w:tc>
        <w:tc>
          <w:tcPr>
            <w:tcW w:w="992"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0.08</w:t>
            </w:r>
          </w:p>
        </w:tc>
        <w:tc>
          <w:tcPr>
            <w:tcW w:w="98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0.34</w:t>
            </w:r>
          </w:p>
        </w:tc>
      </w:tr>
      <w:tr w:rsidR="001A3491" w:rsidRPr="00972929" w:rsidTr="001A3491">
        <w:trPr>
          <w:trHeight w:val="300"/>
        </w:trPr>
        <w:tc>
          <w:tcPr>
            <w:tcW w:w="104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5</w:t>
            </w:r>
          </w:p>
        </w:tc>
        <w:tc>
          <w:tcPr>
            <w:tcW w:w="848"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0.67</w:t>
            </w:r>
          </w:p>
        </w:tc>
        <w:tc>
          <w:tcPr>
            <w:tcW w:w="847"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9.35</w:t>
            </w:r>
          </w:p>
        </w:tc>
        <w:tc>
          <w:tcPr>
            <w:tcW w:w="95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15.52</w:t>
            </w:r>
          </w:p>
        </w:tc>
        <w:tc>
          <w:tcPr>
            <w:tcW w:w="95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25.42</w:t>
            </w:r>
          </w:p>
        </w:tc>
        <w:tc>
          <w:tcPr>
            <w:tcW w:w="994"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4.75</w:t>
            </w:r>
          </w:p>
        </w:tc>
        <w:tc>
          <w:tcPr>
            <w:tcW w:w="850"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1.97</w:t>
            </w:r>
          </w:p>
        </w:tc>
        <w:tc>
          <w:tcPr>
            <w:tcW w:w="992"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1.06</w:t>
            </w:r>
          </w:p>
        </w:tc>
        <w:tc>
          <w:tcPr>
            <w:tcW w:w="98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12.4</w:t>
            </w:r>
          </w:p>
        </w:tc>
      </w:tr>
      <w:tr w:rsidR="001A3491" w:rsidRPr="00972929" w:rsidTr="001A3491">
        <w:trPr>
          <w:trHeight w:val="300"/>
        </w:trPr>
        <w:tc>
          <w:tcPr>
            <w:tcW w:w="104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6</w:t>
            </w:r>
          </w:p>
        </w:tc>
        <w:tc>
          <w:tcPr>
            <w:tcW w:w="848"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nd</w:t>
            </w:r>
          </w:p>
        </w:tc>
        <w:tc>
          <w:tcPr>
            <w:tcW w:w="847"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1.11</w:t>
            </w:r>
          </w:p>
        </w:tc>
        <w:tc>
          <w:tcPr>
            <w:tcW w:w="95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4.88</w:t>
            </w:r>
          </w:p>
        </w:tc>
        <w:tc>
          <w:tcPr>
            <w:tcW w:w="95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5.01</w:t>
            </w:r>
          </w:p>
        </w:tc>
        <w:tc>
          <w:tcPr>
            <w:tcW w:w="994"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0.92</w:t>
            </w:r>
          </w:p>
        </w:tc>
        <w:tc>
          <w:tcPr>
            <w:tcW w:w="850"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0.59</w:t>
            </w:r>
          </w:p>
        </w:tc>
        <w:tc>
          <w:tcPr>
            <w:tcW w:w="992"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0.53</w:t>
            </w:r>
          </w:p>
        </w:tc>
        <w:tc>
          <w:tcPr>
            <w:tcW w:w="98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28.1</w:t>
            </w:r>
          </w:p>
        </w:tc>
      </w:tr>
      <w:tr w:rsidR="001A3491" w:rsidRPr="00972929" w:rsidTr="001A3491">
        <w:trPr>
          <w:trHeight w:val="300"/>
        </w:trPr>
        <w:tc>
          <w:tcPr>
            <w:tcW w:w="104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7</w:t>
            </w:r>
          </w:p>
        </w:tc>
        <w:tc>
          <w:tcPr>
            <w:tcW w:w="848"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nd</w:t>
            </w:r>
          </w:p>
        </w:tc>
        <w:tc>
          <w:tcPr>
            <w:tcW w:w="847"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1.91</w:t>
            </w:r>
          </w:p>
        </w:tc>
        <w:tc>
          <w:tcPr>
            <w:tcW w:w="95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6.06</w:t>
            </w:r>
          </w:p>
        </w:tc>
        <w:tc>
          <w:tcPr>
            <w:tcW w:w="95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4.94</w:t>
            </w:r>
          </w:p>
        </w:tc>
        <w:tc>
          <w:tcPr>
            <w:tcW w:w="994"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2.20</w:t>
            </w:r>
          </w:p>
        </w:tc>
        <w:tc>
          <w:tcPr>
            <w:tcW w:w="850"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1.22</w:t>
            </w:r>
          </w:p>
        </w:tc>
        <w:tc>
          <w:tcPr>
            <w:tcW w:w="992"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0.56</w:t>
            </w:r>
          </w:p>
        </w:tc>
        <w:tc>
          <w:tcPr>
            <w:tcW w:w="989" w:type="dxa"/>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17.2</w:t>
            </w:r>
          </w:p>
        </w:tc>
      </w:tr>
      <w:tr w:rsidR="001A3491" w:rsidRPr="00972929" w:rsidTr="001A3491">
        <w:trPr>
          <w:trHeight w:val="300"/>
        </w:trPr>
        <w:tc>
          <w:tcPr>
            <w:tcW w:w="1049" w:type="dxa"/>
            <w:tcBorders>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8</w:t>
            </w:r>
          </w:p>
        </w:tc>
        <w:tc>
          <w:tcPr>
            <w:tcW w:w="848" w:type="dxa"/>
            <w:tcBorders>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0.33</w:t>
            </w:r>
          </w:p>
        </w:tc>
        <w:tc>
          <w:tcPr>
            <w:tcW w:w="847" w:type="dxa"/>
            <w:tcBorders>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0.95</w:t>
            </w:r>
          </w:p>
        </w:tc>
        <w:tc>
          <w:tcPr>
            <w:tcW w:w="959" w:type="dxa"/>
            <w:tcBorders>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4.06</w:t>
            </w:r>
          </w:p>
        </w:tc>
        <w:tc>
          <w:tcPr>
            <w:tcW w:w="959" w:type="dxa"/>
            <w:tcBorders>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5.19</w:t>
            </w:r>
          </w:p>
        </w:tc>
        <w:tc>
          <w:tcPr>
            <w:tcW w:w="994" w:type="dxa"/>
            <w:tcBorders>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1.29</w:t>
            </w:r>
          </w:p>
        </w:tc>
        <w:tc>
          <w:tcPr>
            <w:tcW w:w="850" w:type="dxa"/>
            <w:tcBorders>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1.68</w:t>
            </w:r>
          </w:p>
        </w:tc>
        <w:tc>
          <w:tcPr>
            <w:tcW w:w="992" w:type="dxa"/>
            <w:tcBorders>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0.06</w:t>
            </w:r>
          </w:p>
        </w:tc>
        <w:tc>
          <w:tcPr>
            <w:tcW w:w="989" w:type="dxa"/>
            <w:tcBorders>
              <w:bottom w:val="single" w:sz="4" w:space="0" w:color="auto"/>
            </w:tcBorders>
            <w:noWrap/>
            <w:hideMark/>
          </w:tcPr>
          <w:p w:rsidR="001A3491" w:rsidRPr="00972929" w:rsidRDefault="001A3491" w:rsidP="00ED55A9">
            <w:pPr>
              <w:pStyle w:val="TAMainText"/>
              <w:spacing w:line="360" w:lineRule="auto"/>
              <w:rPr>
                <w:rFonts w:ascii="Times New Roman" w:hAnsi="Times New Roman"/>
                <w:szCs w:val="24"/>
              </w:rPr>
            </w:pPr>
            <w:r w:rsidRPr="00972929">
              <w:rPr>
                <w:rFonts w:ascii="Times New Roman" w:hAnsi="Times New Roman"/>
                <w:szCs w:val="24"/>
              </w:rPr>
              <w:t>2.05</w:t>
            </w:r>
          </w:p>
        </w:tc>
      </w:tr>
    </w:tbl>
    <w:p w:rsidR="00467F78" w:rsidRDefault="00467F78" w:rsidP="00ED55A9">
      <w:pPr>
        <w:pStyle w:val="TAMainText"/>
        <w:spacing w:line="360" w:lineRule="auto"/>
      </w:pPr>
      <w:r>
        <w:t>nd: Not detected.</w:t>
      </w:r>
    </w:p>
    <w:p w:rsidR="008E490E" w:rsidRDefault="008E490E" w:rsidP="00ED55A9">
      <w:pPr>
        <w:pStyle w:val="TAMainText"/>
        <w:spacing w:line="360" w:lineRule="auto"/>
      </w:pPr>
      <w:r>
        <w:t xml:space="preserve">*Na ion was used as a reference element for non-sea salt calculations. </w:t>
      </w:r>
    </w:p>
    <w:p w:rsidR="00467F78" w:rsidRDefault="00467F78" w:rsidP="00ED55A9">
      <w:pPr>
        <w:pStyle w:val="TAMainText"/>
        <w:spacing w:line="360" w:lineRule="auto"/>
      </w:pPr>
    </w:p>
    <w:p w:rsidR="00ED55A9" w:rsidRDefault="00ED55A9" w:rsidP="00ED55A9">
      <w:pPr>
        <w:pStyle w:val="TAMainText"/>
        <w:spacing w:line="360" w:lineRule="auto"/>
      </w:pPr>
    </w:p>
    <w:p w:rsidR="00ED55A9" w:rsidRDefault="00ED55A9" w:rsidP="00ED55A9">
      <w:pPr>
        <w:pStyle w:val="TAMainText"/>
        <w:spacing w:line="360" w:lineRule="auto"/>
      </w:pPr>
    </w:p>
    <w:p w:rsidR="00ED55A9" w:rsidRDefault="00ED55A9" w:rsidP="00ED55A9">
      <w:pPr>
        <w:pStyle w:val="TAMainText"/>
        <w:spacing w:line="360" w:lineRule="auto"/>
      </w:pPr>
    </w:p>
    <w:p w:rsidR="00ED55A9" w:rsidRDefault="00ED55A9" w:rsidP="00ED55A9">
      <w:pPr>
        <w:pStyle w:val="TAMainText"/>
        <w:spacing w:line="360" w:lineRule="auto"/>
      </w:pPr>
      <w:bookmarkStart w:id="0" w:name="_GoBack"/>
      <w:bookmarkEnd w:id="0"/>
    </w:p>
    <w:p w:rsidR="00BF0115" w:rsidRDefault="00BF0115" w:rsidP="00ED55A9">
      <w:pPr>
        <w:pStyle w:val="TAMainText"/>
        <w:spacing w:line="360" w:lineRule="auto"/>
      </w:pPr>
      <w:r w:rsidRPr="00467F78">
        <w:rPr>
          <w:b/>
        </w:rPr>
        <w:lastRenderedPageBreak/>
        <w:t>Table S</w:t>
      </w:r>
      <w:r>
        <w:rPr>
          <w:b/>
        </w:rPr>
        <w:t>2</w:t>
      </w:r>
      <w:r w:rsidRPr="00467F78">
        <w:rPr>
          <w:b/>
        </w:rPr>
        <w:t>.</w:t>
      </w:r>
      <w:r>
        <w:t xml:space="preserve"> </w:t>
      </w:r>
      <w:r w:rsidR="001A3491">
        <w:t xml:space="preserve">Concentrations of elements in the rainfall events </w:t>
      </w:r>
      <w:r>
        <w:t>(</w:t>
      </w:r>
      <w:r w:rsidR="00A40954">
        <w:rPr>
          <w:rFonts w:ascii="Times New Roman" w:hAnsi="Times New Roman"/>
        </w:rPr>
        <w:t>n</w:t>
      </w:r>
      <w:r>
        <w:t>g/mL)</w:t>
      </w:r>
    </w:p>
    <w:tbl>
      <w:tblPr>
        <w:tblW w:w="6476" w:type="dxa"/>
        <w:jc w:val="center"/>
        <w:tblCellMar>
          <w:left w:w="70" w:type="dxa"/>
          <w:right w:w="70" w:type="dxa"/>
        </w:tblCellMar>
        <w:tblLook w:val="04A0" w:firstRow="1" w:lastRow="0" w:firstColumn="1" w:lastColumn="0" w:noHBand="0" w:noVBand="1"/>
      </w:tblPr>
      <w:tblGrid>
        <w:gridCol w:w="1060"/>
        <w:gridCol w:w="1354"/>
        <w:gridCol w:w="1354"/>
        <w:gridCol w:w="1354"/>
        <w:gridCol w:w="1354"/>
      </w:tblGrid>
      <w:tr w:rsidR="00A40954" w:rsidRPr="00A40954" w:rsidTr="00972929">
        <w:trPr>
          <w:trHeight w:val="300"/>
          <w:jc w:val="center"/>
        </w:trPr>
        <w:tc>
          <w:tcPr>
            <w:tcW w:w="1060" w:type="dxa"/>
            <w:tcBorders>
              <w:top w:val="single" w:sz="4" w:space="0" w:color="auto"/>
              <w:bottom w:val="single" w:sz="4" w:space="0" w:color="auto"/>
            </w:tcBorders>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Element</w:t>
            </w:r>
          </w:p>
        </w:tc>
        <w:tc>
          <w:tcPr>
            <w:tcW w:w="1354" w:type="dxa"/>
            <w:tcBorders>
              <w:top w:val="single" w:sz="4" w:space="0" w:color="auto"/>
              <w:bottom w:val="single" w:sz="4" w:space="0" w:color="auto"/>
            </w:tcBorders>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RF Event 4</w:t>
            </w:r>
          </w:p>
        </w:tc>
        <w:tc>
          <w:tcPr>
            <w:tcW w:w="1354" w:type="dxa"/>
            <w:tcBorders>
              <w:top w:val="single" w:sz="4" w:space="0" w:color="auto"/>
              <w:bottom w:val="single" w:sz="4" w:space="0" w:color="auto"/>
            </w:tcBorders>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RF Event 5</w:t>
            </w:r>
          </w:p>
        </w:tc>
        <w:tc>
          <w:tcPr>
            <w:tcW w:w="1354" w:type="dxa"/>
            <w:tcBorders>
              <w:top w:val="single" w:sz="4" w:space="0" w:color="auto"/>
              <w:bottom w:val="single" w:sz="4" w:space="0" w:color="auto"/>
            </w:tcBorders>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RF Event 6</w:t>
            </w:r>
          </w:p>
        </w:tc>
        <w:tc>
          <w:tcPr>
            <w:tcW w:w="1354" w:type="dxa"/>
            <w:tcBorders>
              <w:top w:val="single" w:sz="4" w:space="0" w:color="auto"/>
              <w:bottom w:val="single" w:sz="4" w:space="0" w:color="auto"/>
            </w:tcBorders>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RF Event 7</w:t>
            </w:r>
          </w:p>
        </w:tc>
      </w:tr>
      <w:tr w:rsidR="00A40954" w:rsidRPr="00A40954" w:rsidTr="00972929">
        <w:trPr>
          <w:trHeight w:val="300"/>
          <w:jc w:val="center"/>
        </w:trPr>
        <w:tc>
          <w:tcPr>
            <w:tcW w:w="1060" w:type="dxa"/>
            <w:tcBorders>
              <w:top w:val="single" w:sz="4" w:space="0" w:color="auto"/>
            </w:tcBorders>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Ag</w:t>
            </w:r>
          </w:p>
        </w:tc>
        <w:tc>
          <w:tcPr>
            <w:tcW w:w="1354" w:type="dxa"/>
            <w:tcBorders>
              <w:top w:val="single" w:sz="4" w:space="0" w:color="auto"/>
            </w:tcBorders>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2.68</w:t>
            </w:r>
          </w:p>
        </w:tc>
        <w:tc>
          <w:tcPr>
            <w:tcW w:w="1354" w:type="dxa"/>
            <w:tcBorders>
              <w:top w:val="single" w:sz="4" w:space="0" w:color="auto"/>
            </w:tcBorders>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0.48</w:t>
            </w:r>
          </w:p>
        </w:tc>
        <w:tc>
          <w:tcPr>
            <w:tcW w:w="1354" w:type="dxa"/>
            <w:tcBorders>
              <w:top w:val="single" w:sz="4" w:space="0" w:color="auto"/>
            </w:tcBorders>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nd</w:t>
            </w:r>
          </w:p>
        </w:tc>
        <w:tc>
          <w:tcPr>
            <w:tcW w:w="1354" w:type="dxa"/>
            <w:tcBorders>
              <w:top w:val="single" w:sz="4" w:space="0" w:color="auto"/>
            </w:tcBorders>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0.21</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Al</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495</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1082</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489</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30.5</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As</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34.2</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43.8</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14.7</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9.08</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Ba</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5.55</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51.2</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19.0</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21.0</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Be</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nd</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nd</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nd</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nd</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Bi</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2.79</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7.24</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2.74</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2.70</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Cd</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0.80</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1.35</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0.33</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0.17</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Co</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0.13</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0.66</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0.20</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nd</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Cr</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9.45</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19.3</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11.9</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7.81</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Cs</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2.71</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9.15</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1.69</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2.48</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Cu</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5.57</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16.7</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10.6</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10.2</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Fe</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76.2</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550</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298</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62.1</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Ga</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15.8</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41.4</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12.0</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2.14</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Li</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38.7</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154</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123</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36.1</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Mg</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8220</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42700</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14700</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6320</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Mn</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2.87</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25.6</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13.5</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6.06</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Mo</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nd</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0.74</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0.71</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0.26</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Ni</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97.1</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29.3</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18.2</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10.9</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Pb</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8.88</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21.4</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7.59</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14.2</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Sb</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1.97</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1.97</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0.99</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0.14</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Se</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0.97</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2.60</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1.14</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1.16</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Sn</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6.12</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8.21</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1.64</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1.04</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Sr</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13.3</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45.8</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48.1</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55.2</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Tl</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nd</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0.26</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0.15</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0.06</w:t>
            </w:r>
          </w:p>
        </w:tc>
      </w:tr>
      <w:tr w:rsidR="00A40954" w:rsidRPr="00A40954" w:rsidTr="00972929">
        <w:trPr>
          <w:trHeight w:val="300"/>
          <w:jc w:val="center"/>
        </w:trPr>
        <w:tc>
          <w:tcPr>
            <w:tcW w:w="1060" w:type="dxa"/>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V</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44.0</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46.0</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12.9</w:t>
            </w:r>
          </w:p>
        </w:tc>
        <w:tc>
          <w:tcPr>
            <w:tcW w:w="1354" w:type="dxa"/>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3.96</w:t>
            </w:r>
          </w:p>
        </w:tc>
      </w:tr>
      <w:tr w:rsidR="00A40954" w:rsidRPr="00A40954" w:rsidTr="00972929">
        <w:trPr>
          <w:trHeight w:val="300"/>
          <w:jc w:val="center"/>
        </w:trPr>
        <w:tc>
          <w:tcPr>
            <w:tcW w:w="1060" w:type="dxa"/>
            <w:tcBorders>
              <w:bottom w:val="single" w:sz="4" w:space="0" w:color="auto"/>
            </w:tcBorders>
            <w:shd w:val="clear" w:color="auto" w:fill="auto"/>
            <w:noWrap/>
            <w:vAlign w:val="bottom"/>
            <w:hideMark/>
          </w:tcPr>
          <w:p w:rsidR="00A40954" w:rsidRPr="00A40954" w:rsidRDefault="00A40954" w:rsidP="00ED55A9">
            <w:pPr>
              <w:spacing w:after="0" w:line="360" w:lineRule="auto"/>
              <w:jc w:val="center"/>
              <w:rPr>
                <w:rFonts w:ascii="Times New Roman" w:hAnsi="Times New Roman"/>
                <w:bCs/>
                <w:color w:val="000000"/>
                <w:szCs w:val="24"/>
                <w:lang w:val="tr-TR" w:eastAsia="tr-TR"/>
              </w:rPr>
            </w:pPr>
            <w:r w:rsidRPr="00A40954">
              <w:rPr>
                <w:rFonts w:ascii="Times New Roman" w:hAnsi="Times New Roman"/>
                <w:bCs/>
                <w:color w:val="000000"/>
                <w:szCs w:val="24"/>
                <w:lang w:val="tr-TR" w:eastAsia="tr-TR"/>
              </w:rPr>
              <w:t>Zn</w:t>
            </w:r>
          </w:p>
        </w:tc>
        <w:tc>
          <w:tcPr>
            <w:tcW w:w="1354" w:type="dxa"/>
            <w:tcBorders>
              <w:bottom w:val="single" w:sz="4" w:space="0" w:color="auto"/>
            </w:tcBorders>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4.05</w:t>
            </w:r>
          </w:p>
        </w:tc>
        <w:tc>
          <w:tcPr>
            <w:tcW w:w="1354" w:type="dxa"/>
            <w:tcBorders>
              <w:bottom w:val="single" w:sz="4" w:space="0" w:color="auto"/>
            </w:tcBorders>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113.1</w:t>
            </w:r>
          </w:p>
        </w:tc>
        <w:tc>
          <w:tcPr>
            <w:tcW w:w="1354" w:type="dxa"/>
            <w:tcBorders>
              <w:bottom w:val="single" w:sz="4" w:space="0" w:color="auto"/>
            </w:tcBorders>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54.1</w:t>
            </w:r>
          </w:p>
        </w:tc>
        <w:tc>
          <w:tcPr>
            <w:tcW w:w="1354" w:type="dxa"/>
            <w:tcBorders>
              <w:bottom w:val="single" w:sz="4" w:space="0" w:color="auto"/>
            </w:tcBorders>
            <w:shd w:val="clear" w:color="auto" w:fill="auto"/>
            <w:noWrap/>
            <w:vAlign w:val="bottom"/>
            <w:hideMark/>
          </w:tcPr>
          <w:p w:rsidR="00A40954" w:rsidRPr="00A40954" w:rsidRDefault="00A40954" w:rsidP="00ED55A9">
            <w:pPr>
              <w:spacing w:after="0" w:line="360" w:lineRule="auto"/>
              <w:jc w:val="center"/>
              <w:rPr>
                <w:rFonts w:ascii="Times New Roman" w:hAnsi="Times New Roman"/>
                <w:color w:val="000000"/>
                <w:szCs w:val="24"/>
                <w:lang w:val="tr-TR" w:eastAsia="tr-TR"/>
              </w:rPr>
            </w:pPr>
            <w:r w:rsidRPr="00A40954">
              <w:rPr>
                <w:rFonts w:ascii="Times New Roman" w:hAnsi="Times New Roman"/>
                <w:color w:val="000000"/>
                <w:szCs w:val="24"/>
                <w:lang w:val="tr-TR" w:eastAsia="tr-TR"/>
              </w:rPr>
              <w:t>75.1</w:t>
            </w:r>
          </w:p>
        </w:tc>
      </w:tr>
    </w:tbl>
    <w:p w:rsidR="004949A3" w:rsidRDefault="00A40954" w:rsidP="00ED55A9">
      <w:pPr>
        <w:pStyle w:val="TAMainText"/>
        <w:spacing w:line="360" w:lineRule="auto"/>
        <w:ind w:left="1440" w:firstLine="720"/>
      </w:pPr>
      <w:r w:rsidRPr="00A40954">
        <w:t>nd: Not detected</w:t>
      </w:r>
      <w:r w:rsidR="00972929">
        <w:t>, RF: Rainfall</w:t>
      </w:r>
      <w:r w:rsidRPr="00A40954">
        <w:t>.</w:t>
      </w:r>
    </w:p>
    <w:p w:rsidR="00611189" w:rsidRDefault="00096258" w:rsidP="00ED55A9">
      <w:pPr>
        <w:pStyle w:val="TAMainText"/>
        <w:spacing w:line="360" w:lineRule="auto"/>
      </w:pPr>
      <w:r>
        <w:rPr>
          <w:noProof/>
        </w:rPr>
        <w:lastRenderedPageBreak/>
        <w:drawing>
          <wp:inline distT="0" distB="0" distL="0" distR="0" wp14:anchorId="60ABA3AA">
            <wp:extent cx="6183630" cy="3582429"/>
            <wp:effectExtent l="0" t="0" r="7620" b="0"/>
            <wp:docPr id="31" name="Resi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99826" cy="3591812"/>
                    </a:xfrm>
                    <a:prstGeom prst="rect">
                      <a:avLst/>
                    </a:prstGeom>
                    <a:noFill/>
                  </pic:spPr>
                </pic:pic>
              </a:graphicData>
            </a:graphic>
          </wp:inline>
        </w:drawing>
      </w:r>
    </w:p>
    <w:p w:rsidR="00EE7FD9" w:rsidRDefault="00EE7FD9" w:rsidP="00ED55A9">
      <w:pPr>
        <w:pStyle w:val="VAFigureCaption"/>
        <w:spacing w:line="360" w:lineRule="auto"/>
      </w:pPr>
      <w:r w:rsidRPr="00611189">
        <w:rPr>
          <w:b/>
        </w:rPr>
        <w:t>Fig</w:t>
      </w:r>
      <w:r w:rsidR="00484F87">
        <w:rPr>
          <w:b/>
        </w:rPr>
        <w:t>. S1</w:t>
      </w:r>
      <w:r w:rsidRPr="00611189">
        <w:rPr>
          <w:b/>
        </w:rPr>
        <w:t>.</w:t>
      </w:r>
      <w:r>
        <w:t xml:space="preserve"> SEM images of biological organisms </w:t>
      </w:r>
      <w:r w:rsidR="00514BF8">
        <w:t xml:space="preserve">and spores </w:t>
      </w:r>
      <w:r>
        <w:t>observed in the sequences of rainfall event</w:t>
      </w:r>
      <w:r w:rsidR="00514BF8">
        <w:t xml:space="preserve"> 1 (a, b, and d) and 8 (c, e, and f)</w:t>
      </w:r>
      <w:r>
        <w:t>. (a)</w:t>
      </w:r>
      <w:r w:rsidR="00201384">
        <w:t>-(</w:t>
      </w:r>
      <w:r>
        <w:t>b) diatom</w:t>
      </w:r>
      <w:r w:rsidR="00201384">
        <w:t>s (</w:t>
      </w:r>
      <w:r w:rsidR="00201384" w:rsidRPr="00201384">
        <w:rPr>
          <w:i/>
        </w:rPr>
        <w:t>Navicula</w:t>
      </w:r>
      <w:r w:rsidR="00201384" w:rsidRPr="00201384">
        <w:t xml:space="preserve"> species</w:t>
      </w:r>
      <w:r w:rsidR="00201384">
        <w:t>)</w:t>
      </w:r>
      <w:r>
        <w:t xml:space="preserve">, (c) </w:t>
      </w:r>
      <w:r w:rsidR="00701689">
        <w:t>a</w:t>
      </w:r>
      <w:r w:rsidR="00FB5ABB">
        <w:t xml:space="preserve"> spindle fungal</w:t>
      </w:r>
      <w:r>
        <w:t xml:space="preserve"> spore, </w:t>
      </w:r>
      <w:r w:rsidRPr="001C2435">
        <w:t>(d) w</w:t>
      </w:r>
      <w:r w:rsidR="00036930" w:rsidRPr="001C2435">
        <w:t>o</w:t>
      </w:r>
      <w:r w:rsidRPr="001C2435">
        <w:t>rm</w:t>
      </w:r>
      <w:r w:rsidR="001C2435" w:rsidRPr="001C2435">
        <w:t>-like biological organisms</w:t>
      </w:r>
      <w:r w:rsidR="006C6DD8">
        <w:t xml:space="preserve">, most probably picozoans </w:t>
      </w:r>
      <w:r w:rsidR="006C6DD8">
        <w:fldChar w:fldCharType="begin" w:fldLock="1"/>
      </w:r>
      <w:r w:rsidR="009C4F2F">
        <w:instrText>ADDIN CSL_CITATION {"citationItems":[{"id":"ITEM-1","itemData":{"DOI":"10.1126/science.1136264","ISSN":"00368075","PMID":"17218530","abstract":"Environmental sequencing has revealed unimagined diversity among eukaryotic picoplankton. A distinct picoplanktonic algal group, initially detected from 185 ribosomal DNA (rDNA) sequences, was hybridized with rRNA λ-targeted (rRNA-targeted) probes, detected by tyramide signal amplification-fluorescent in situ hybridization, and showed an organelle-like body with orange fluorescence indicative of phycobilins. Using this fluorescence signal, cells were sorted by flow cytometry and probed. Hybridized cells contained a 4′,6′- diamidino-2-phenylindole-stained organelle resembling a plastid with a nucleomorph. This suggests that they may be secondary endosymbiotic algae. Pending the isolation of living cells and their formal description, these algae have been termed picobiliphytes.","author":[{"dropping-particle":"","family":"Not","given":"Fabrice","non-dropping-particle":"","parse-names":false,"suffix":""},{"dropping-particle":"","family":"Valentin","given":"Klaus","non-dropping-particle":"","parse-names":false,"suffix":""},{"dropping-particle":"","family":"Romari","given":"Khadidja","non-dropping-particle":"","parse-names":false,"suffix":""},{"dropping-particle":"","family":"Lovejoy","given":"Connie","non-dropping-particle":"","parse-names":false,"suffix":""},{"dropping-particle":"","family":"Massana","given":"Ramon","non-dropping-particle":"","parse-names":false,"suffix":""},{"dropping-particle":"","family":"Töbe","given":"Kerstin","non-dropping-particle":"","parse-names":false,"suffix":""},{"dropping-particle":"","family":"Vaulot","given":"Daniel","non-dropping-particle":"","parse-names":false,"suffix":""},{"dropping-particle":"","family":"Medlin","given":"Linda K.","non-dropping-particle":"","parse-names":false,"suffix":""}],"container-title":"Science","id":"ITEM-1","issue":"5809","issued":{"date-parts":[["2007"]]},"page":"253-255","title":"Picobiliphytes: A marine picoplanktonic algal group with unknown affinities to other eukaryotes","type":"article-journal","volume":"315"},"uris":["http://www.mendeley.com/documents/?uuid=8f78129f-1d3b-4ab6-b2bd-e4059744a20c"]}],"mendeley":{"formattedCitation":"(Not et al., 2007)","plainTextFormattedCitation":"(Not et al., 2007)","previouslyFormattedCitation":"(Not et al., 2007)"},"properties":{"noteIndex":0},"schema":"https://github.com/citation-style-language/schema/raw/master/csl-citation.json"}</w:instrText>
      </w:r>
      <w:r w:rsidR="006C6DD8">
        <w:fldChar w:fldCharType="separate"/>
      </w:r>
      <w:r w:rsidR="006C6DD8" w:rsidRPr="006C6DD8">
        <w:rPr>
          <w:noProof/>
        </w:rPr>
        <w:t>(Not et al., 2007)</w:t>
      </w:r>
      <w:r w:rsidR="006C6DD8">
        <w:fldChar w:fldCharType="end"/>
      </w:r>
      <w:r>
        <w:t xml:space="preserve">, (e) </w:t>
      </w:r>
      <w:r w:rsidR="008A0C00">
        <w:t>hyphae/ inter-branched hyphal filaments</w:t>
      </w:r>
      <w:r w:rsidR="009C4F2F">
        <w:t xml:space="preserve"> </w:t>
      </w:r>
      <w:r w:rsidR="009C4F2F">
        <w:fldChar w:fldCharType="begin" w:fldLock="1"/>
      </w:r>
      <w:r w:rsidR="009C4F2F">
        <w:instrText>ADDIN CSL_CITATION {"citationItems":[{"id":"ITEM-1","itemData":{"DOI":"10.1038/s41598-021-92405-7","ISBN":"4159802192","ISSN":"20452322","abstract":"Microplastic (MP) is a pervasive pollutant in nature that is colonised by diverse groups of microbes, including potentially pathogenic species. Fungi have been largely neglected in this context, despite their affinity for plastics and their impact as pathogens. To unravel the role of MP as a carrier of fungal pathogens in terrestrial ecosystems and the immediate human environment, epiplastic mycobiomes from municipal plastic waste from Kenya were deciphered using ITS metabarcoding as well as a comprehensive meta-analysis, and visualised via scanning electron as well as confocal laser scanning microscopy. Metagenomic and microscopic findings provided complementary evidence that the terrestrial plastisphere is a suitable ecological niche for a variety of fungal organisms, including important animal and plant pathogens, which formed the plastisphere core mycobiome. We show that MPs serve as selective artificial microhabitats that not only attract distinct fungal communities, but also accumulate certain opportunistic human pathogens, such as cryptococcal and Phoma-like species. Therefore, MP must be regarded a persistent reservoir and potential vector for fungal pathogens in soil environments. Given the increasing amount of plastic waste in terrestrial ecosystems worldwide, this interrelation may have severe consequences for the trans-kingdom and multi-organismal epidemiology of fungal infections on a global scale.","author":[{"dropping-particle":"","family":"Gkoutselis","given":"Gerasimos","non-dropping-particle":"","parse-names":false,"suffix":""},{"dropping-particle":"","family":"Rohrbach","given":"Stephan","non-dropping-particle":"","parse-names":false,"suffix":""},{"dropping-particle":"","family":"Harjes","given":"Janno","non-dropping-particle":"","parse-names":false,"suffix":""},{"dropping-particle":"","family":"Obst","given":"Martin","non-dropping-particle":"","parse-names":false,"suffix":""},{"dropping-particle":"","family":"Brachmann","given":"Andreas","non-dropping-particle":"","parse-names":false,"suffix":""},{"dropping-particle":"","family":"Horn","given":"Marcus A.","non-dropping-particle":"","parse-names":false,"suffix":""},{"dropping-particle":"","family":"Rambold","given":"Gerhard","non-dropping-particle":"","parse-names":false,"suffix":""}],"container-title":"Scientific Reports","id":"ITEM-1","issue":"1","issued":{"date-parts":[["2021"]]},"page":"1-13","publisher":"Nature Publishing Group UK","title":"Microplastics accumulate fungal pathogens in terrestrial ecosystems","type":"article-journal","volume":"11"},"uris":["http://www.mendeley.com/documents/?uuid=87df18e6-0a0a-4631-9577-a222d9216aa8"]}],"mendeley":{"formattedCitation":"(Gkoutselis et al., 2021)","plainTextFormattedCitation":"(Gkoutselis et al., 2021)","previouslyFormattedCitation":"(Gkoutselis et al., 2021)"},"properties":{"noteIndex":0},"schema":"https://github.com/citation-style-language/schema/raw/master/csl-citation.json"}</w:instrText>
      </w:r>
      <w:r w:rsidR="009C4F2F">
        <w:fldChar w:fldCharType="separate"/>
      </w:r>
      <w:r w:rsidR="009C4F2F" w:rsidRPr="009C4F2F">
        <w:rPr>
          <w:noProof/>
        </w:rPr>
        <w:t>(Gkoutselis et al., 2021)</w:t>
      </w:r>
      <w:r w:rsidR="009C4F2F">
        <w:fldChar w:fldCharType="end"/>
      </w:r>
      <w:r>
        <w:t xml:space="preserve">, and (f) </w:t>
      </w:r>
      <w:r w:rsidR="00701689">
        <w:t>a</w:t>
      </w:r>
      <w:r>
        <w:t xml:space="preserve"> fungal spore</w:t>
      </w:r>
      <w:r w:rsidR="00701689">
        <w:t xml:space="preserve"> with a layer of strips</w:t>
      </w:r>
      <w:r>
        <w:t xml:space="preserve">. </w:t>
      </w:r>
    </w:p>
    <w:p w:rsidR="009C40CF" w:rsidRDefault="009C40CF" w:rsidP="00ED55A9">
      <w:pPr>
        <w:pStyle w:val="TAMainText"/>
        <w:spacing w:line="360" w:lineRule="auto"/>
        <w:sectPr w:rsidR="009C40CF" w:rsidSect="00734EB2">
          <w:footerReference w:type="even" r:id="rId9"/>
          <w:footerReference w:type="default" r:id="rId10"/>
          <w:type w:val="continuous"/>
          <w:pgSz w:w="12240" w:h="15840"/>
          <w:pgMar w:top="1440" w:right="1440" w:bottom="1440" w:left="1440" w:header="0" w:footer="0" w:gutter="0"/>
          <w:lnNumType w:countBy="1" w:restart="continuous"/>
          <w:cols w:space="475"/>
          <w:docGrid w:linePitch="326"/>
        </w:sectPr>
      </w:pPr>
    </w:p>
    <w:p w:rsidR="009C40CF" w:rsidRDefault="00513DF4" w:rsidP="00ED55A9">
      <w:pPr>
        <w:pStyle w:val="TAMainText"/>
        <w:spacing w:line="360" w:lineRule="auto"/>
      </w:pPr>
      <w:r>
        <w:rPr>
          <w:noProof/>
        </w:rPr>
        <w:lastRenderedPageBreak/>
        <w:drawing>
          <wp:inline distT="0" distB="0" distL="0" distR="0" wp14:anchorId="73F3BB6F">
            <wp:extent cx="7993257" cy="4433039"/>
            <wp:effectExtent l="0" t="0" r="8255" b="5715"/>
            <wp:docPr id="23" name="Resi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996663" cy="4434928"/>
                    </a:xfrm>
                    <a:prstGeom prst="rect">
                      <a:avLst/>
                    </a:prstGeom>
                    <a:noFill/>
                  </pic:spPr>
                </pic:pic>
              </a:graphicData>
            </a:graphic>
          </wp:inline>
        </w:drawing>
      </w:r>
    </w:p>
    <w:p w:rsidR="009C40CF" w:rsidRPr="002C0001" w:rsidRDefault="00E97502" w:rsidP="00ED55A9">
      <w:pPr>
        <w:pStyle w:val="TAMainText"/>
        <w:spacing w:line="360" w:lineRule="auto"/>
      </w:pPr>
      <w:r w:rsidRPr="00611189">
        <w:rPr>
          <w:b/>
        </w:rPr>
        <w:t>Fig</w:t>
      </w:r>
      <w:r>
        <w:rPr>
          <w:b/>
        </w:rPr>
        <w:t>. S2</w:t>
      </w:r>
      <w:r w:rsidRPr="00611189">
        <w:rPr>
          <w:b/>
        </w:rPr>
        <w:t>.</w:t>
      </w:r>
      <w:r>
        <w:t xml:space="preserve"> </w:t>
      </w:r>
      <w:r w:rsidR="00D34FE4">
        <w:t xml:space="preserve">SEM-EDS results and morphologies of PMs from the first sequential samples of rainfall events 5 and 8. </w:t>
      </w:r>
      <w:r w:rsidR="006055EA">
        <w:t xml:space="preserve">Numbers in the parenthesis following the elements show atomic percentages. </w:t>
      </w:r>
      <w:r w:rsidR="0070266A" w:rsidRPr="002D7F21">
        <w:t xml:space="preserve">(a) two spherical fly ash particles (8-1), (b) part of a biological microfiber (5-1), (c) irregularly shaped earth crust PM (5-1), (d) a mix of elemental sulfur </w:t>
      </w:r>
      <w:r w:rsidR="005A0ACF">
        <w:fldChar w:fldCharType="begin" w:fldLock="1"/>
      </w:r>
      <w:r w:rsidR="005A0ACF">
        <w:instrText>ADDIN CSL_CITATION {"citationItems":[{"id":"ITEM-1","itemData":{"DOI":"10.1016/j.cemconcomp.2015.12.002","ISSN":"09589465","abstract":"Sulfur polymer concrete (SPC) is a thermoplastic composite concrete consisting of chemically modified sulfur polymer and aggregates. This study focused on the characterization of a new SPC that has been developed as a sustainable construction material. It is made from industrial by-product sulfur that is modified with activated fillers of fly ash, petroleum refinery residual oil, and sand. Unlike conventional sulfur polymer cements made using dicyclopentadiene as a chemical modifier, the use of inexpensive industrial by-products enables the new SPC to cost-effectively produce sustainable, low-carbon, thermoplastic binder that can compete with conventional hydraulic cement concretes. A series of characterization analyses was conducted including thermal analysis, X-ray diffraction, and spatially-resolved X-ray absorption spectroscopy to confirm the polymerization of sulfur induced from the presence of the oil. In addition, mechanical testing, internal pore structure analysis, and scanning electron microscope studies evaluate the performance of this new SPC as a sustainable construction material with a reduced environmental impact.","author":[{"dropping-particle":"","family":"Moon","given":"Juhyuk","non-dropping-particle":"","parse-names":false,"suffix":""},{"dropping-particle":"","family":"Kalb","given":"Paul D.","non-dropping-particle":"","parse-names":false,"suffix":""},{"dropping-particle":"","family":"Milian","given":"Laurence","non-dropping-particle":"","parse-names":false,"suffix":""},{"dropping-particle":"","family":"Northrup","given":"Paul A.","non-dropping-particle":"","parse-names":false,"suffix":""}],"container-title":"Cement and Concrete Composites","id":"ITEM-1","issued":{"date-parts":[["2016"]]},"page":"20-29","publisher":"Elsevier Ltd","title":"Characterization of a sustainable sulfur polymer concrete using activated fillers","type":"article-journal","volume":"67"},"uris":["http://www.mendeley.com/documents/?uuid=3a821cc3-ba0c-446d-ac9a-6ada36b9b1fb"]}],"mendeley":{"formattedCitation":"(Moon et al., 2016)","plainTextFormattedCitation":"(Moon et al., 2016)","previouslyFormattedCitation":"(Moon et al., 2016)"},"properties":{"noteIndex":0},"schema":"https://github.com/citation-style-language/schema/raw/master/csl-citation.json"}</w:instrText>
      </w:r>
      <w:r w:rsidR="005A0ACF">
        <w:fldChar w:fldCharType="separate"/>
      </w:r>
      <w:r w:rsidR="005A0ACF" w:rsidRPr="005A0ACF">
        <w:rPr>
          <w:noProof/>
        </w:rPr>
        <w:t>(Moon et al., 2016)</w:t>
      </w:r>
      <w:r w:rsidR="005A0ACF">
        <w:fldChar w:fldCharType="end"/>
      </w:r>
      <w:r w:rsidR="0070266A" w:rsidRPr="002D7F21">
        <w:t xml:space="preserve"> and </w:t>
      </w:r>
      <w:r w:rsidR="0070266A">
        <w:t xml:space="preserve">two </w:t>
      </w:r>
      <w:r w:rsidR="0070266A" w:rsidRPr="002D7F21">
        <w:t>sulfur</w:t>
      </w:r>
      <w:r w:rsidR="0070266A">
        <w:t xml:space="preserve">-rich and an iron-rich irregularly shaped fly ash PMs </w:t>
      </w:r>
      <w:r w:rsidR="0070266A" w:rsidRPr="002D7F21">
        <w:t>(8-1), (e) Pyrite (FeS</w:t>
      </w:r>
      <w:r w:rsidR="0070266A" w:rsidRPr="0070266A">
        <w:rPr>
          <w:vertAlign w:val="subscript"/>
        </w:rPr>
        <w:t>2</w:t>
      </w:r>
      <w:r w:rsidR="0070266A" w:rsidRPr="002D7F21">
        <w:t>) (8-1), (f) an unidentified biological particle (5-1).</w:t>
      </w:r>
      <w:r w:rsidR="0070266A">
        <w:t xml:space="preserve"> </w:t>
      </w:r>
      <w:r w:rsidR="00DF014A">
        <w:t>First number in parenthesis shows the rainfall event number and the second number represents the sequence number.</w:t>
      </w:r>
    </w:p>
    <w:p w:rsidR="0065105B" w:rsidRDefault="009C1B5A" w:rsidP="00ED55A9">
      <w:pPr>
        <w:pStyle w:val="TAMainText"/>
        <w:spacing w:line="360" w:lineRule="auto"/>
      </w:pPr>
      <w:r>
        <w:rPr>
          <w:noProof/>
        </w:rPr>
        <w:lastRenderedPageBreak/>
        <w:drawing>
          <wp:inline distT="0" distB="0" distL="0" distR="0" wp14:anchorId="10EA16EC">
            <wp:extent cx="8115300" cy="4625287"/>
            <wp:effectExtent l="0" t="0" r="0" b="4445"/>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130912" cy="4634185"/>
                    </a:xfrm>
                    <a:prstGeom prst="rect">
                      <a:avLst/>
                    </a:prstGeom>
                    <a:noFill/>
                  </pic:spPr>
                </pic:pic>
              </a:graphicData>
            </a:graphic>
          </wp:inline>
        </w:drawing>
      </w:r>
    </w:p>
    <w:p w:rsidR="00AD3B59" w:rsidRDefault="00E97502" w:rsidP="00ED55A9">
      <w:pPr>
        <w:pStyle w:val="TAMainText"/>
        <w:spacing w:line="360" w:lineRule="auto"/>
      </w:pPr>
      <w:r w:rsidRPr="00611189">
        <w:rPr>
          <w:b/>
        </w:rPr>
        <w:t>Fig</w:t>
      </w:r>
      <w:r>
        <w:rPr>
          <w:b/>
        </w:rPr>
        <w:t>. S3</w:t>
      </w:r>
      <w:r w:rsidRPr="00611189">
        <w:rPr>
          <w:b/>
        </w:rPr>
        <w:t>.</w:t>
      </w:r>
      <w:r>
        <w:t xml:space="preserve"> </w:t>
      </w:r>
      <w:r w:rsidR="00D34FE4">
        <w:t xml:space="preserve">SEM-EDS results and morphologies of PMs from the first sequential samples of rainfall events 1 and 7. </w:t>
      </w:r>
      <w:r w:rsidR="006055EA">
        <w:t xml:space="preserve">Numbers in the parenthesis following the elements show atomic percentages. </w:t>
      </w:r>
      <w:r w:rsidR="009C1B5A">
        <w:t>(a) a pollen</w:t>
      </w:r>
      <w:r w:rsidR="006E4303">
        <w:t xml:space="preserve"> grain</w:t>
      </w:r>
      <w:r w:rsidR="009C1B5A">
        <w:t xml:space="preserve"> (top-left) and earth crust materials</w:t>
      </w:r>
      <w:r w:rsidR="002D7F21">
        <w:t xml:space="preserve"> (1-1)</w:t>
      </w:r>
      <w:r w:rsidR="009C1B5A">
        <w:t xml:space="preserve">, (b) </w:t>
      </w:r>
      <w:r w:rsidR="00473A95">
        <w:t xml:space="preserve">a spherule of iron oxide having a diameter of 5.2 </w:t>
      </w:r>
      <w:r w:rsidR="00473A95">
        <w:rPr>
          <w:rFonts w:ascii="Times New Roman" w:hAnsi="Times New Roman"/>
        </w:rPr>
        <w:t>µ</w:t>
      </w:r>
      <w:r w:rsidR="00473A95">
        <w:t>m</w:t>
      </w:r>
      <w:r w:rsidR="002D7F21">
        <w:t xml:space="preserve"> (7-1)</w:t>
      </w:r>
      <w:r w:rsidR="00473A95">
        <w:t>, (c) a silicate mineral of Fe, Al and Mg</w:t>
      </w:r>
      <w:r w:rsidR="002D7F21">
        <w:t xml:space="preserve"> (7-1)</w:t>
      </w:r>
      <w:r w:rsidR="00473A95">
        <w:t>, (d) a silicate mineral with similar composition in (c) and iron oxide spherules</w:t>
      </w:r>
      <w:r w:rsidR="002D7F21">
        <w:t xml:space="preserve"> (7-1)</w:t>
      </w:r>
      <w:r w:rsidR="00473A95">
        <w:t xml:space="preserve">, (e) </w:t>
      </w:r>
      <w:r w:rsidR="00DE2B98">
        <w:t>grain of a pollen</w:t>
      </w:r>
      <w:r w:rsidR="002D7F21">
        <w:t xml:space="preserve"> (7-1)</w:t>
      </w:r>
      <w:r w:rsidR="00DE2B98">
        <w:t xml:space="preserve">, (f) triangular </w:t>
      </w:r>
      <w:r w:rsidR="00AD3B59">
        <w:t>pyramidal</w:t>
      </w:r>
      <w:r w:rsidR="00DE2B98">
        <w:t xml:space="preserve"> iron oxide </w:t>
      </w:r>
      <w:r w:rsidR="00AD3B59">
        <w:t xml:space="preserve">particle </w:t>
      </w:r>
      <w:r w:rsidR="00DE2B98">
        <w:t xml:space="preserve">and an </w:t>
      </w:r>
      <w:r w:rsidR="00AD3B59">
        <w:t xml:space="preserve">spherical </w:t>
      </w:r>
      <w:r w:rsidR="00DE2B98">
        <w:t xml:space="preserve">organic </w:t>
      </w:r>
      <w:r w:rsidR="00AD3B59">
        <w:t>particle</w:t>
      </w:r>
      <w:r w:rsidR="002D7F21">
        <w:t xml:space="preserve"> (7-1)</w:t>
      </w:r>
      <w:r w:rsidR="00AD3B59">
        <w:t xml:space="preserve"> </w:t>
      </w:r>
      <w:r w:rsidR="005A0ACF">
        <w:fldChar w:fldCharType="begin" w:fldLock="1"/>
      </w:r>
      <w:r w:rsidR="00D25FC6">
        <w:instrText>ADDIN CSL_CITATION {"citationItems":[{"id":"ITEM-1","itemData":{"DOI":"10.3390/atmos10080441","ISSN":"20734433","abstract":"Residential coal combustion is one of the most significant sources of carbonaceous aerosols in the Highveld region of South Africa, significantly affecting the local and regional climate. This study investigated single coal-burning particles emitted when using different fire-ignition techniques (top-lit up-draft versus bottom-lit up-draft) and air ventilation rates (defined by the number of air holes above and below the fire grate) in selected informal braziers. Aerosol samples were collected on nucleopore filters at the Sustainable Energy Technology and Research Centre Laboratory, University of Johannesburg. The individual particles (~700) were investigated using a scanning electron microscope equipped with energy-dispersive X-ray spectroscopy (EDX). Two distinct forms of spherical organic particles (SOPs) were identified, one less oxidized than the other. The particles were further classified into electronically dark and bright. The EDX analysis showed that 70% of the dark spherical organic particles had higher (~60%) relative oxygen content than in the bright SOPs. The morphology of spherical organic particles were quantified and classified into four categories: ~50% were bare single particles; ~35% particles were aggregated and formed diffusion accretion chains; 10% had inclusions, and 5% were deformed due to impaction on filter material during sampling. This study concludes that there are two distinct kinds of coal burning spherical organic particles and that dark SOPs are less volatile than bright SOPs. The authors also show that these spherical organic particles are similar in nature and characteristics to tar balls observed in biomass combustion and that they have the potential to absorb sunlight thereby affecting the earth's radiative budget and climate. This study provides insights into the mixing states, morphology, and possible formation mechanisms of these organic particles from residential coal combustion in informal stoves.","author":[{"dropping-particle":"","family":"Makonese","given":"Tafadzwa","non-dropping-particle":"","parse-names":false,"suffix":""},{"dropping-particle":"","family":"Meyer","given":"Johan","non-dropping-particle":"","parse-names":false,"suffix":""},{"dropping-particle":"","family":"Solms","given":"Sune","non-dropping-particle":"von","parse-names":false,"suffix":""}],"container-title":"Atmosphere","id":"ITEM-1","issue":"8","issued":{"date-parts":[["2019"]]},"title":"Characteristics of spherical organic particles emitted from fixed-bed residential coal combustion","type":"article-journal","volume":"10"},"uris":["http://www.mendeley.com/documents/?uuid=36799307-98d6-4ad4-aac5-e0a0abf6a613"]}],"mendeley":{"formattedCitation":"(Makonese et al., 2019)","plainTextFormattedCitation":"(Makonese et al., 2019)","previouslyFormattedCitation":"(Makonese et al., 2019)"},"properties":{"noteIndex":0},"schema":"https://github.com/citation-style-language/schema/raw/master/csl-citation.json"}</w:instrText>
      </w:r>
      <w:r w:rsidR="005A0ACF">
        <w:fldChar w:fldCharType="separate"/>
      </w:r>
      <w:r w:rsidR="005A0ACF" w:rsidRPr="005A0ACF">
        <w:rPr>
          <w:noProof/>
        </w:rPr>
        <w:t>(Makonese et al., 2019)</w:t>
      </w:r>
      <w:r w:rsidR="005A0ACF">
        <w:fldChar w:fldCharType="end"/>
      </w:r>
      <w:r w:rsidR="00AD3B59">
        <w:t>.</w:t>
      </w:r>
    </w:p>
    <w:p w:rsidR="009E5BC2" w:rsidRDefault="009E5BC2" w:rsidP="00ED55A9">
      <w:pPr>
        <w:pStyle w:val="TAMainText"/>
        <w:spacing w:line="360" w:lineRule="auto"/>
        <w:rPr>
          <w:noProof/>
          <w:lang w:val="tr-TR" w:eastAsia="tr-TR"/>
        </w:rPr>
      </w:pPr>
      <w:r>
        <w:rPr>
          <w:noProof/>
        </w:rPr>
        <w:lastRenderedPageBreak/>
        <w:drawing>
          <wp:inline distT="0" distB="0" distL="0" distR="0" wp14:anchorId="3599206D" wp14:editId="4E7DBAC2">
            <wp:extent cx="8153400" cy="4993816"/>
            <wp:effectExtent l="0" t="0" r="0" b="0"/>
            <wp:docPr id="25" name="Resi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157129" cy="4996100"/>
                    </a:xfrm>
                    <a:prstGeom prst="rect">
                      <a:avLst/>
                    </a:prstGeom>
                    <a:noFill/>
                  </pic:spPr>
                </pic:pic>
              </a:graphicData>
            </a:graphic>
          </wp:inline>
        </w:drawing>
      </w:r>
    </w:p>
    <w:p w:rsidR="009E5BC2" w:rsidRDefault="009E5BC2" w:rsidP="00ED55A9">
      <w:pPr>
        <w:pStyle w:val="TAMainText"/>
        <w:spacing w:line="360" w:lineRule="auto"/>
        <w:rPr>
          <w:noProof/>
          <w:lang w:val="tr-TR" w:eastAsia="tr-TR"/>
        </w:rPr>
      </w:pPr>
      <w:r w:rsidRPr="009E5BC2">
        <w:rPr>
          <w:b/>
          <w:noProof/>
          <w:lang w:val="tr-TR" w:eastAsia="tr-TR"/>
        </w:rPr>
        <w:t>Fig S4</w:t>
      </w:r>
      <w:r>
        <w:rPr>
          <w:noProof/>
          <w:lang w:val="tr-TR" w:eastAsia="tr-TR"/>
        </w:rPr>
        <w:t xml:space="preserve">. Upper atmospheric backtrajectories </w:t>
      </w:r>
      <w:r w:rsidR="00BA5417">
        <w:rPr>
          <w:noProof/>
          <w:lang w:val="tr-TR" w:eastAsia="tr-TR"/>
        </w:rPr>
        <w:t xml:space="preserve">icluding embedded </w:t>
      </w:r>
      <w:r>
        <w:rPr>
          <w:noProof/>
          <w:lang w:val="tr-TR" w:eastAsia="tr-TR"/>
        </w:rPr>
        <w:t>local windrose plots for the rainfall events 5 (a) and 8 (b)</w:t>
      </w:r>
    </w:p>
    <w:p w:rsidR="009C40CF" w:rsidRDefault="0039054A" w:rsidP="00ED55A9">
      <w:pPr>
        <w:pStyle w:val="TAMainText"/>
        <w:spacing w:line="360" w:lineRule="auto"/>
      </w:pPr>
      <w:r>
        <w:rPr>
          <w:noProof/>
        </w:rPr>
        <w:lastRenderedPageBreak/>
        <w:drawing>
          <wp:inline distT="0" distB="0" distL="0" distR="0" wp14:anchorId="2F44235D">
            <wp:extent cx="8365591" cy="4785360"/>
            <wp:effectExtent l="0" t="0" r="0" b="0"/>
            <wp:docPr id="24" name="Resi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372967" cy="4789579"/>
                    </a:xfrm>
                    <a:prstGeom prst="rect">
                      <a:avLst/>
                    </a:prstGeom>
                    <a:noFill/>
                  </pic:spPr>
                </pic:pic>
              </a:graphicData>
            </a:graphic>
          </wp:inline>
        </w:drawing>
      </w:r>
    </w:p>
    <w:p w:rsidR="009C40CF" w:rsidRDefault="00E97502" w:rsidP="00ED55A9">
      <w:pPr>
        <w:pStyle w:val="TAMainText"/>
        <w:spacing w:line="360" w:lineRule="auto"/>
      </w:pPr>
      <w:r w:rsidRPr="00611189">
        <w:rPr>
          <w:b/>
        </w:rPr>
        <w:t>Fig</w:t>
      </w:r>
      <w:r>
        <w:rPr>
          <w:b/>
        </w:rPr>
        <w:t>. S</w:t>
      </w:r>
      <w:r w:rsidR="002B3D39">
        <w:rPr>
          <w:b/>
        </w:rPr>
        <w:t>5</w:t>
      </w:r>
      <w:r w:rsidRPr="00611189">
        <w:rPr>
          <w:b/>
        </w:rPr>
        <w:t>.</w:t>
      </w:r>
      <w:r>
        <w:t xml:space="preserve"> </w:t>
      </w:r>
      <w:r w:rsidR="00D34FE4">
        <w:t xml:space="preserve">SEM-EDS results and morphologies of PMs from the second sequential sample of rainfall event 8. </w:t>
      </w:r>
      <w:r w:rsidR="006055EA">
        <w:t xml:space="preserve">Numbers in the parenthesis following the elements show atomic percentages. </w:t>
      </w:r>
      <w:r w:rsidR="00AD3B59">
        <w:t xml:space="preserve">(a) </w:t>
      </w:r>
      <w:r w:rsidR="006E4303">
        <w:t>a</w:t>
      </w:r>
      <w:r w:rsidR="00046722">
        <w:t>gglomerated soot particles, (b) sulfur</w:t>
      </w:r>
      <w:r w:rsidR="002B3D39">
        <w:t>ous</w:t>
      </w:r>
      <w:r w:rsidR="00046722">
        <w:t xml:space="preserve"> alumina silicate mineral, (c) fungal spore contaminated with sulfur</w:t>
      </w:r>
      <w:r w:rsidR="002B3D39">
        <w:t>ous</w:t>
      </w:r>
      <w:r w:rsidR="00046722">
        <w:t xml:space="preserve"> alumina silicates, (d)</w:t>
      </w:r>
      <w:r w:rsidR="0002238B">
        <w:t>-(f) sulfur</w:t>
      </w:r>
      <w:r w:rsidR="002F5F52">
        <w:t>ous</w:t>
      </w:r>
      <w:r w:rsidR="0002238B">
        <w:t xml:space="preserve"> fly ash</w:t>
      </w:r>
      <w:r w:rsidR="002F5F52">
        <w:t xml:space="preserve"> PM</w:t>
      </w:r>
      <w:r w:rsidR="0002238B">
        <w:t xml:space="preserve">s </w:t>
      </w:r>
      <w:r w:rsidR="00D34FE4">
        <w:t>having</w:t>
      </w:r>
      <w:r w:rsidR="0002238B">
        <w:t xml:space="preserve"> spherical and irregular </w:t>
      </w:r>
      <w:r w:rsidR="00D34FE4">
        <w:t>morphologies</w:t>
      </w:r>
      <w:r w:rsidR="0002238B">
        <w:t>.</w:t>
      </w:r>
      <w:r w:rsidR="00046722">
        <w:t xml:space="preserve"> </w:t>
      </w:r>
    </w:p>
    <w:p w:rsidR="009C40CF" w:rsidRDefault="002B3925" w:rsidP="00ED55A9">
      <w:pPr>
        <w:pStyle w:val="TAMainText"/>
        <w:spacing w:line="360" w:lineRule="auto"/>
      </w:pPr>
      <w:r>
        <w:rPr>
          <w:noProof/>
        </w:rPr>
        <w:lastRenderedPageBreak/>
        <w:drawing>
          <wp:inline distT="0" distB="0" distL="0" distR="0" wp14:anchorId="7E317845">
            <wp:extent cx="8115300" cy="4629566"/>
            <wp:effectExtent l="0" t="0" r="0" b="0"/>
            <wp:docPr id="27" name="Resi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121567" cy="4633141"/>
                    </a:xfrm>
                    <a:prstGeom prst="rect">
                      <a:avLst/>
                    </a:prstGeom>
                    <a:noFill/>
                  </pic:spPr>
                </pic:pic>
              </a:graphicData>
            </a:graphic>
          </wp:inline>
        </w:drawing>
      </w:r>
    </w:p>
    <w:p w:rsidR="009C40CF" w:rsidRDefault="00E97502" w:rsidP="00ED55A9">
      <w:pPr>
        <w:pStyle w:val="TAMainText"/>
        <w:spacing w:line="360" w:lineRule="auto"/>
      </w:pPr>
      <w:r w:rsidRPr="00611189">
        <w:rPr>
          <w:b/>
        </w:rPr>
        <w:t>Fig</w:t>
      </w:r>
      <w:r>
        <w:rPr>
          <w:b/>
        </w:rPr>
        <w:t>. S</w:t>
      </w:r>
      <w:r w:rsidR="002B3D39">
        <w:rPr>
          <w:b/>
        </w:rPr>
        <w:t>6</w:t>
      </w:r>
      <w:r w:rsidRPr="00611189">
        <w:rPr>
          <w:b/>
        </w:rPr>
        <w:t>.</w:t>
      </w:r>
      <w:r>
        <w:t xml:space="preserve"> </w:t>
      </w:r>
      <w:r w:rsidR="00D34FE4">
        <w:t xml:space="preserve">SEM-EDS results and morphologies of PMs from the </w:t>
      </w:r>
      <w:r w:rsidR="0039356E">
        <w:t xml:space="preserve">second </w:t>
      </w:r>
      <w:r w:rsidR="00D34FE4">
        <w:t>sequential samples of rainfall events 2, 5 and 7.</w:t>
      </w:r>
      <w:r w:rsidR="006055EA">
        <w:t xml:space="preserve"> Numbers in the parenthesis following the elements show atomic percentages. </w:t>
      </w:r>
      <w:r w:rsidR="0002238B">
        <w:t>(a) fly ash, (b) a silicon fiber with an aspect ratio of 20, (c)</w:t>
      </w:r>
      <w:r w:rsidR="00293731">
        <w:t xml:space="preserve"> </w:t>
      </w:r>
      <w:r w:rsidR="00196D9A">
        <w:t>and (d)</w:t>
      </w:r>
      <w:r w:rsidR="0002238B">
        <w:t xml:space="preserve"> organic fiber</w:t>
      </w:r>
      <w:r w:rsidR="00196D9A">
        <w:t>s</w:t>
      </w:r>
      <w:r w:rsidR="0002238B">
        <w:t xml:space="preserve"> </w:t>
      </w:r>
      <w:r w:rsidR="00196D9A">
        <w:t xml:space="preserve">having </w:t>
      </w:r>
      <w:r w:rsidR="0002238B">
        <w:t>aspect ratio</w:t>
      </w:r>
      <w:r w:rsidR="00196D9A">
        <w:t>s</w:t>
      </w:r>
      <w:r w:rsidR="0002238B">
        <w:t xml:space="preserve"> of 17</w:t>
      </w:r>
      <w:r w:rsidR="00196D9A">
        <w:t xml:space="preserve"> and 21, respectively, (e) and (f) road dust particles containing both earth crust materials</w:t>
      </w:r>
      <w:r w:rsidR="00293731">
        <w:t xml:space="preserve">, spherical organic particles and a </w:t>
      </w:r>
      <w:r w:rsidR="00196D9A">
        <w:t>bird nest shaped</w:t>
      </w:r>
      <w:r w:rsidR="00293731">
        <w:t xml:space="preserve"> organic particle that might be a sintered fly ash</w:t>
      </w:r>
      <w:r w:rsidR="005A0ACF">
        <w:t xml:space="preserve"> </w:t>
      </w:r>
      <w:r w:rsidR="00D25FC6">
        <w:fldChar w:fldCharType="begin" w:fldLock="1"/>
      </w:r>
      <w:r w:rsidR="00D25FC6">
        <w:instrText>ADDIN CSL_CITATION {"citationItems":[{"id":"ITEM-1","itemData":{"ISSN":"00347752","abstract":"The mix design of geopolymers plays important role in obtaining desirable compressive strength. Optimum mix design of geopolymers can be applied for application, such as lightweight concrete. In order to determine the maximum compressive strength for lightweight concrete production, fly ash geopolymers were produced with various ratios of fly ash/alkaline activator (0.5 - 3.0), Na2SiO3 solution/ NaOH solution (0.5 - 3.0) and 12 M of NaOH solution. The geopolymer materials were mixed and cured at 70°C for 24 h and tested on 7 days. Maximum compressive strength was obtained when the ratios of fly ash/alkaline activator and Na2SiO3solution/ NaOH solution were 2.0 and 2.5, respectively. The characterization and morphology of geopolymers were performed by using X-Ray Diffraction (XRD), Fourier Transform Infrared Spectroscopy (FTIR) and Scanning Electron Microscopy (SEM). It was clearly shown that the best mix design ofgeopolymers produced denser matrix and less unreacted fly ash compared to other samples.","author":[{"dropping-particle":"","family":"Bakri","given":"Abdullah Mohd Mustafaal","non-dropping-particle":"","parse-names":false,"suffix":""},{"dropping-particle":"","family":"Kamarudin","given":"Hussin","non-dropping-particle":"","parse-names":false,"suffix":""},{"dropping-particle":"","family":"Nizar","given":"Ismail Khairul","non-dropping-particle":"","parse-names":false,"suffix":""},{"dropping-particle":"","family":"Sandu","given":"Andrei Victor","non-dropping-particle":"","parse-names":false,"suffix":""},{"dropping-particle":"","family":"Binhussain","given":"Mohamed","non-dropping-particle":"","parse-names":false,"suffix":""},{"dropping-particle":"","family":"Zarina","given":"Yahya","non-dropping-particle":"","parse-names":false,"suffix":""},{"dropping-particle":"","family":"Rafiza","given":"Abdul Razak","non-dropping-particle":"","parse-names":false,"suffix":""}],"container-title":"Revista de Chimie","id":"ITEM-1","issue":"4","issued":{"date-parts":[["2013"]]},"page":"382-387","title":"Design, processing and characterization of fly ash-based geopolymers for lightweight concrete application","type":"article-journal","volume":"64"},"uris":["http://www.mendeley.com/documents/?uuid=9c2213e2-8cd7-44bb-b8fa-50ca5db804f2"]}],"mendeley":{"formattedCitation":"(Bakri et al., 2013)","plainTextFormattedCitation":"(Bakri et al., 2013)","previouslyFormattedCitation":"(Bakri et al., 2013)"},"properties":{"noteIndex":0},"schema":"https://github.com/citation-style-language/schema/raw/master/csl-citation.json"}</w:instrText>
      </w:r>
      <w:r w:rsidR="00D25FC6">
        <w:fldChar w:fldCharType="separate"/>
      </w:r>
      <w:r w:rsidR="00D25FC6" w:rsidRPr="00D25FC6">
        <w:rPr>
          <w:noProof/>
        </w:rPr>
        <w:t>(Bakri et al., 2013)</w:t>
      </w:r>
      <w:r w:rsidR="00D25FC6">
        <w:fldChar w:fldCharType="end"/>
      </w:r>
      <w:r w:rsidR="00D25FC6">
        <w:t xml:space="preserve"> </w:t>
      </w:r>
      <w:r w:rsidR="00293731">
        <w:t>from vehicle exhaust emission</w:t>
      </w:r>
      <w:r w:rsidR="00196D9A">
        <w:t xml:space="preserve">. </w:t>
      </w:r>
    </w:p>
    <w:p w:rsidR="00855E36" w:rsidRDefault="00855E36" w:rsidP="00ED55A9">
      <w:pPr>
        <w:pStyle w:val="TAMainText"/>
        <w:spacing w:line="360" w:lineRule="auto"/>
      </w:pPr>
    </w:p>
    <w:p w:rsidR="009C40CF" w:rsidRDefault="002B3925" w:rsidP="00ED55A9">
      <w:pPr>
        <w:pStyle w:val="TAMainText"/>
        <w:spacing w:line="360" w:lineRule="auto"/>
      </w:pPr>
      <w:r>
        <w:rPr>
          <w:noProof/>
        </w:rPr>
        <w:lastRenderedPageBreak/>
        <w:drawing>
          <wp:inline distT="0" distB="0" distL="0" distR="0" wp14:anchorId="0A4B384A">
            <wp:extent cx="8172986" cy="4631672"/>
            <wp:effectExtent l="0" t="0" r="0" b="0"/>
            <wp:docPr id="38" name="Resi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178480" cy="4634785"/>
                    </a:xfrm>
                    <a:prstGeom prst="rect">
                      <a:avLst/>
                    </a:prstGeom>
                    <a:noFill/>
                  </pic:spPr>
                </pic:pic>
              </a:graphicData>
            </a:graphic>
          </wp:inline>
        </w:drawing>
      </w:r>
    </w:p>
    <w:p w:rsidR="00D12E5D" w:rsidRDefault="00D12E5D" w:rsidP="00ED55A9">
      <w:pPr>
        <w:pStyle w:val="TAMainText"/>
        <w:spacing w:line="360" w:lineRule="auto"/>
      </w:pPr>
      <w:r w:rsidRPr="00611189">
        <w:rPr>
          <w:b/>
        </w:rPr>
        <w:t>Fig</w:t>
      </w:r>
      <w:r>
        <w:rPr>
          <w:b/>
        </w:rPr>
        <w:t>. S7</w:t>
      </w:r>
      <w:r w:rsidRPr="00611189">
        <w:rPr>
          <w:b/>
        </w:rPr>
        <w:t>.</w:t>
      </w:r>
      <w:r>
        <w:t xml:space="preserve"> </w:t>
      </w:r>
      <w:r w:rsidR="00D34FE4">
        <w:t>SEM-EDS results and morphologies of PMs from the third sequential sample of rainfall event 8</w:t>
      </w:r>
      <w:r w:rsidR="00784163">
        <w:t>.</w:t>
      </w:r>
      <w:r w:rsidR="00D34FE4">
        <w:t xml:space="preserve"> </w:t>
      </w:r>
      <w:r w:rsidR="006055EA">
        <w:t xml:space="preserve">Numbers in the parenthesis following the elements show atomic percentages. </w:t>
      </w:r>
      <w:r>
        <w:t xml:space="preserve">(a) </w:t>
      </w:r>
      <w:r w:rsidR="00385A2C">
        <w:t xml:space="preserve">an unknown carbon particle with a </w:t>
      </w:r>
      <w:r w:rsidR="00784163">
        <w:t>c</w:t>
      </w:r>
      <w:r>
        <w:t>onvex pentagonal prism</w:t>
      </w:r>
      <w:r w:rsidR="00385A2C">
        <w:t xml:space="preserve"> morphology</w:t>
      </w:r>
      <w:r>
        <w:t>, (b) particles from natural iron ore, (c) sulfurous Mg-Al silicate mineral</w:t>
      </w:r>
      <w:r w:rsidR="00784163">
        <w:t xml:space="preserve"> (fly ash)</w:t>
      </w:r>
      <w:r>
        <w:t xml:space="preserve">, (d) quartz particle, (e) pristine sulfur, (f) a rectangular prism shaped quartz particle. </w:t>
      </w:r>
    </w:p>
    <w:p w:rsidR="0039356E" w:rsidRDefault="0039356E" w:rsidP="00ED55A9">
      <w:pPr>
        <w:pStyle w:val="TAMainText"/>
        <w:spacing w:line="360" w:lineRule="auto"/>
        <w:ind w:firstLine="0"/>
        <w:sectPr w:rsidR="0039356E" w:rsidSect="00734EB2">
          <w:type w:val="continuous"/>
          <w:pgSz w:w="15840" w:h="12240" w:orient="landscape"/>
          <w:pgMar w:top="1440" w:right="1440" w:bottom="1440" w:left="1440" w:header="0" w:footer="0" w:gutter="0"/>
          <w:lnNumType w:countBy="1" w:restart="continuous"/>
          <w:cols w:space="475"/>
          <w:docGrid w:linePitch="326"/>
        </w:sectPr>
      </w:pPr>
    </w:p>
    <w:p w:rsidR="009C40CF" w:rsidRDefault="00D91E10" w:rsidP="00ED55A9">
      <w:pPr>
        <w:pStyle w:val="TAMainText"/>
        <w:spacing w:line="360" w:lineRule="auto"/>
      </w:pPr>
      <w:r>
        <w:rPr>
          <w:noProof/>
        </w:rPr>
        <w:lastRenderedPageBreak/>
        <w:drawing>
          <wp:inline distT="0" distB="0" distL="0" distR="0" wp14:anchorId="14BD235F">
            <wp:extent cx="8101033" cy="4781550"/>
            <wp:effectExtent l="0" t="0" r="0" b="0"/>
            <wp:docPr id="39" name="Resi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104828" cy="4783790"/>
                    </a:xfrm>
                    <a:prstGeom prst="rect">
                      <a:avLst/>
                    </a:prstGeom>
                    <a:noFill/>
                  </pic:spPr>
                </pic:pic>
              </a:graphicData>
            </a:graphic>
          </wp:inline>
        </w:drawing>
      </w:r>
    </w:p>
    <w:p w:rsidR="009C40CF" w:rsidRDefault="00E97502" w:rsidP="00ED55A9">
      <w:pPr>
        <w:pStyle w:val="TAMainText"/>
        <w:spacing w:line="360" w:lineRule="auto"/>
      </w:pPr>
      <w:r w:rsidRPr="00611189">
        <w:rPr>
          <w:b/>
        </w:rPr>
        <w:t>Fig</w:t>
      </w:r>
      <w:r>
        <w:rPr>
          <w:b/>
        </w:rPr>
        <w:t>. S</w:t>
      </w:r>
      <w:r w:rsidR="009A65B1">
        <w:rPr>
          <w:b/>
        </w:rPr>
        <w:t>8</w:t>
      </w:r>
      <w:r w:rsidRPr="00611189">
        <w:rPr>
          <w:b/>
        </w:rPr>
        <w:t>.</w:t>
      </w:r>
      <w:r>
        <w:t xml:space="preserve"> </w:t>
      </w:r>
      <w:r w:rsidR="005C7580">
        <w:t xml:space="preserve">SEM-EDS results and morphologies of PMs from the </w:t>
      </w:r>
      <w:r w:rsidR="00CC7609">
        <w:t xml:space="preserve">fourth and </w:t>
      </w:r>
      <w:r w:rsidR="00784163">
        <w:t xml:space="preserve">the </w:t>
      </w:r>
      <w:r w:rsidR="00CC7609">
        <w:t>fifth</w:t>
      </w:r>
      <w:r w:rsidR="005C7580">
        <w:t xml:space="preserve"> sequential samples of rainfall events </w:t>
      </w:r>
      <w:r w:rsidR="00CC7609">
        <w:t>2, 4 and 7</w:t>
      </w:r>
      <w:r w:rsidR="00DF10E3">
        <w:t xml:space="preserve">. </w:t>
      </w:r>
      <w:r w:rsidR="006055EA">
        <w:t xml:space="preserve">Numbers in the parenthesis following the elements show atomic percentages. </w:t>
      </w:r>
      <w:r w:rsidR="00F009D6">
        <w:t xml:space="preserve">(a) road dust particles and a </w:t>
      </w:r>
      <w:r w:rsidR="005468CC">
        <w:t xml:space="preserve">cellulose or cotton </w:t>
      </w:r>
      <w:r w:rsidR="00F009D6">
        <w:t>fiber</w:t>
      </w:r>
      <w:r w:rsidR="00D25FC6">
        <w:t xml:space="preserve"> </w:t>
      </w:r>
      <w:r w:rsidR="00D25FC6">
        <w:fldChar w:fldCharType="begin" w:fldLock="1"/>
      </w:r>
      <w:r w:rsidR="00DA07B9">
        <w:instrText>ADDIN CSL_CITATION {"citationItems":[{"id":"ITEM-1","itemData":{"DOI":"10.1177/0040517514527379","ISSN":"17467748","abstract":"We report the detection of cellulose polymorphs, using spectroscopic and diffraction techniques, in cotton fabrics treated with commercial textile mill processes designed for better dyeing and mechanical properties. Vibrational sum frequency generation (SFG) spectroscopy analysis of cotton is known to be selective and sensitive to the crystalline cellulose portion in the sample. The SFG analysis results were compared with the results from conventional analytical techniques such as X-ray diffraction (XRD) and infrared (IR) spectroscopy. The XRD detection of a small fraction of cellulose II present in the partially-mercerized fabric was difficult, while SFG and IR analysis indicated the partial conversion of cellulose I to II without significant reduction of the cellulose crystallinity. Processing the cotton fabric with the liquid-ammonia treatment mill caused partial conversion of cellulose I to III and significant reduction of the overall crystallinity of cellulose. All XRD, SFG, and IR techniques were able to monitor this conversion. When the cotton fabric was treated with the partial mercerization process first and then the liquid-ammonia process, both cellulose II and cellulose III were produced and identified with SFG. But XRD and IR failed to detect the presence of cellulose II in the mercerized and ammonia-treated fabric. The polymorphic changes found in the SFG, XRD, and IR analyses provided insights into the physical property changes of cotton fabric after commercial mercerization and liquid-ammonia treatment processes. © 2014, SAGE Publications. All rights reserved.","author":[{"dropping-particle":"","family":"Kafle","given":"Kabindra","non-dropping-particle":"","parse-names":false,"suffix":""},{"dropping-particle":"","family":"Greeson","given":"Kenneth","non-dropping-particle":"","parse-names":false,"suffix":""},{"dropping-particle":"","family":"Lee","given":"Christopher","non-dropping-particle":"","parse-names":false,"suffix":""},{"dropping-particle":"","family":"Kim","given":"Seong H.","non-dropping-particle":"","parse-names":false,"suffix":""}],"container-title":"Textile Research Journal","id":"ITEM-1","issue":"16","issued":{"date-parts":[["2014"]]},"page":"1692-1699","title":"Cellulose polymorphs and physical properties of cotton fabrics processed with commercial textile mills for mercerization and liquid ammonia treatments","type":"article-journal","volume":"84"},"uris":["http://www.mendeley.com/documents/?uuid=e47828dd-9f79-484c-b060-ef7aa372c536"]}],"mendeley":{"formattedCitation":"(Kafle et al., 2014)","plainTextFormattedCitation":"(Kafle et al., 2014)","previouslyFormattedCitation":"(Kafle et al., 2014)"},"properties":{"noteIndex":0},"schema":"https://github.com/citation-style-language/schema/raw/master/csl-citation.json"}</w:instrText>
      </w:r>
      <w:r w:rsidR="00D25FC6">
        <w:fldChar w:fldCharType="separate"/>
      </w:r>
      <w:r w:rsidR="00D25FC6" w:rsidRPr="00D25FC6">
        <w:rPr>
          <w:noProof/>
        </w:rPr>
        <w:t>(Kafle et al., 2014)</w:t>
      </w:r>
      <w:r w:rsidR="00D25FC6">
        <w:fldChar w:fldCharType="end"/>
      </w:r>
      <w:r w:rsidR="00CC7609">
        <w:t xml:space="preserve"> (2-4)</w:t>
      </w:r>
      <w:r w:rsidR="00F009D6">
        <w:t>, (b)</w:t>
      </w:r>
      <w:r w:rsidR="00CF5B26">
        <w:t xml:space="preserve"> </w:t>
      </w:r>
      <w:r w:rsidR="00F009D6">
        <w:t>biochar particle</w:t>
      </w:r>
      <w:r w:rsidR="00CF5B26">
        <w:t xml:space="preserve"> or </w:t>
      </w:r>
      <w:r w:rsidR="00CC7609">
        <w:t xml:space="preserve">an </w:t>
      </w:r>
      <w:r w:rsidR="00CF5B26">
        <w:t xml:space="preserve">unburnt </w:t>
      </w:r>
      <w:r w:rsidR="00784163">
        <w:t>coal</w:t>
      </w:r>
      <w:r w:rsidR="00CF5B26">
        <w:t xml:space="preserve"> particle</w:t>
      </w:r>
      <w:r w:rsidR="00DA07B9">
        <w:t xml:space="preserve"> </w:t>
      </w:r>
      <w:r w:rsidR="00DA07B9">
        <w:fldChar w:fldCharType="begin" w:fldLock="1"/>
      </w:r>
      <w:r w:rsidR="00DA07B9">
        <w:instrText>ADDIN CSL_CITATION {"citationItems":[{"id":"ITEM-1","itemData":{"DOI":"10.1016/j.powtec.2019.05.037","ISSN":"1873328X","abstract":"Coal fly ash, the main industrial waste in coal-fired power plants generated during the coal combustion, usually re-utilized as raw materials in construction industry. However, a lot of unburned carbons are contained in raw fly ash, which not only decreasing the strength of fly ash concrete but also causing a huge waste of the resources. Separation of unburned carbon from fly ash is an efficient way to achieve a higher efficiency in the utilization of waste fly ash and greater economic and environmental benefits. This review highlights current methods for separating unburned carbon from fly ash, such as sieving, gravity separation, electrostatic separation, froth flotation, and oil agglomeration. The mineralogy features of unburned carbon affecting the separation efficiency are also presented. This review is closed with a brief discussion on the future research directions addressing different problems related to the recovery of unburned carbon.","author":[{"dropping-particle":"","family":"Xing","given":"Yaowen","non-dropping-particle":"","parse-names":false,"suffix":""},{"dropping-particle":"","family":"Guo","given":"Fangyu","non-dropping-particle":"","parse-names":false,"suffix":""},{"dropping-particle":"","family":"Xu","given":"Mengdi","non-dropping-particle":"","parse-names":false,"suffix":""},{"dropping-particle":"","family":"Gui","given":"Xiahui","non-dropping-particle":"","parse-names":false,"suffix":""},{"dropping-particle":"","family":"Li","given":"Haisheng","non-dropping-particle":"","parse-names":false,"suffix":""},{"dropping-particle":"","family":"Li","given":"Guosheng","non-dropping-particle":"","parse-names":false,"suffix":""},{"dropping-particle":"","family":"Xia","given":"Yangchao","non-dropping-particle":"","parse-names":false,"suffix":""},{"dropping-particle":"","family":"Han","given":"Haisheng","non-dropping-particle":"","parse-names":false,"suffix":""}],"container-title":"Powder Technology","id":"ITEM-1","issued":{"date-parts":[["2019"]]},"page":"372-384","publisher":"Elsevier B.V.","title":"Separation of unburned carbon from coal fly ash: A review","type":"article-journal","volume":"353"},"uris":["http://www.mendeley.com/documents/?uuid=ce5924a6-4e7c-4c89-bd1e-6877cc6ae921"]}],"mendeley":{"formattedCitation":"(Xing et al., 2019)","plainTextFormattedCitation":"(Xing et al., 2019)","previouslyFormattedCitation":"(Xing et al., 2019)"},"properties":{"noteIndex":0},"schema":"https://github.com/citation-style-language/schema/raw/master/csl-citation.json"}</w:instrText>
      </w:r>
      <w:r w:rsidR="00DA07B9">
        <w:fldChar w:fldCharType="separate"/>
      </w:r>
      <w:r w:rsidR="00DA07B9" w:rsidRPr="00DA07B9">
        <w:rPr>
          <w:noProof/>
        </w:rPr>
        <w:t>(Xing et al., 2019)</w:t>
      </w:r>
      <w:r w:rsidR="00DA07B9">
        <w:fldChar w:fldCharType="end"/>
      </w:r>
      <w:r w:rsidR="00CC7609">
        <w:t xml:space="preserve"> (2-5)</w:t>
      </w:r>
      <w:r w:rsidR="00F009D6">
        <w:t xml:space="preserve">, (c) partially deformed microplastic </w:t>
      </w:r>
      <w:r w:rsidR="000E3FE4">
        <w:t>fiber</w:t>
      </w:r>
      <w:r w:rsidR="00CC7609">
        <w:t xml:space="preserve"> (4-4)</w:t>
      </w:r>
      <w:r w:rsidR="00D177A1">
        <w:t xml:space="preserve">, </w:t>
      </w:r>
      <w:r w:rsidR="00F009D6">
        <w:t xml:space="preserve"> (d</w:t>
      </w:r>
      <w:r w:rsidR="000E3FE4">
        <w:t>)-(e) spherical organic particles, most probably soot particles</w:t>
      </w:r>
      <w:r w:rsidR="00CC7609">
        <w:t xml:space="preserve"> (4-4)</w:t>
      </w:r>
      <w:r w:rsidR="000E3FE4">
        <w:t>, (f) a microplastic fragment</w:t>
      </w:r>
      <w:r w:rsidR="00CC7609">
        <w:t xml:space="preserve"> (7-4)</w:t>
      </w:r>
      <w:r w:rsidR="000E3FE4">
        <w:t xml:space="preserve">. </w:t>
      </w:r>
    </w:p>
    <w:p w:rsidR="00855E36" w:rsidRDefault="00855E36" w:rsidP="00ED55A9">
      <w:pPr>
        <w:pStyle w:val="TAMainText"/>
        <w:spacing w:line="360" w:lineRule="auto"/>
      </w:pPr>
    </w:p>
    <w:p w:rsidR="009C40CF" w:rsidRDefault="00C8441D" w:rsidP="00ED55A9">
      <w:pPr>
        <w:pStyle w:val="TAMainText"/>
        <w:spacing w:line="360" w:lineRule="auto"/>
      </w:pPr>
      <w:r>
        <w:rPr>
          <w:noProof/>
        </w:rPr>
        <w:drawing>
          <wp:inline distT="0" distB="0" distL="0" distR="0" wp14:anchorId="4D0651A2">
            <wp:extent cx="8067675" cy="4611619"/>
            <wp:effectExtent l="0" t="0" r="0" b="0"/>
            <wp:docPr id="40" name="Resi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079839" cy="4618572"/>
                    </a:xfrm>
                    <a:prstGeom prst="rect">
                      <a:avLst/>
                    </a:prstGeom>
                    <a:noFill/>
                  </pic:spPr>
                </pic:pic>
              </a:graphicData>
            </a:graphic>
          </wp:inline>
        </w:drawing>
      </w:r>
    </w:p>
    <w:p w:rsidR="00661F92" w:rsidRDefault="00E97502" w:rsidP="00ED55A9">
      <w:pPr>
        <w:pStyle w:val="TAMainText"/>
        <w:spacing w:line="360" w:lineRule="auto"/>
      </w:pPr>
      <w:r w:rsidRPr="00611189">
        <w:rPr>
          <w:b/>
        </w:rPr>
        <w:t>Fig</w:t>
      </w:r>
      <w:r>
        <w:rPr>
          <w:b/>
        </w:rPr>
        <w:t>. S</w:t>
      </w:r>
      <w:r w:rsidR="009A65B1">
        <w:rPr>
          <w:b/>
        </w:rPr>
        <w:t>9</w:t>
      </w:r>
      <w:r w:rsidRPr="00611189">
        <w:rPr>
          <w:b/>
        </w:rPr>
        <w:t>.</w:t>
      </w:r>
      <w:r>
        <w:t xml:space="preserve"> </w:t>
      </w:r>
      <w:r w:rsidR="00CC7609">
        <w:t>SEM-EDS results and morphologies of PMs from the sixth, seventh and the eight</w:t>
      </w:r>
      <w:r w:rsidR="0039356E">
        <w:t>h</w:t>
      </w:r>
      <w:r w:rsidR="00CC7609">
        <w:t xml:space="preserve"> sequential samples of rainfall event 7. </w:t>
      </w:r>
      <w:r w:rsidR="006055EA">
        <w:t xml:space="preserve">Numbers in the parenthesis following the elements show atomic percentages. </w:t>
      </w:r>
      <w:r w:rsidR="00661F92">
        <w:t>(a) microplastic fiber</w:t>
      </w:r>
      <w:r w:rsidR="00CC7609">
        <w:t xml:space="preserve"> (7-6)</w:t>
      </w:r>
      <w:r w:rsidR="00661F92">
        <w:t>, (b) microplastic fibers contaminated with road dust</w:t>
      </w:r>
      <w:r w:rsidR="00CC7609">
        <w:t xml:space="preserve"> (7-6)</w:t>
      </w:r>
      <w:r w:rsidR="00661F92">
        <w:t>, (c) silicon dioxide spherule</w:t>
      </w:r>
      <w:r w:rsidR="00CC7609">
        <w:t xml:space="preserve"> (7-6)</w:t>
      </w:r>
      <w:r w:rsidR="00661F92">
        <w:t>, (d)  microplastic fragment</w:t>
      </w:r>
      <w:r w:rsidR="00866817">
        <w:t xml:space="preserve"> (7-7)</w:t>
      </w:r>
      <w:r w:rsidR="00661F92">
        <w:t>, (e) fly ash spherule</w:t>
      </w:r>
      <w:r w:rsidR="00866817">
        <w:t xml:space="preserve"> (7-7)</w:t>
      </w:r>
      <w:r w:rsidR="00661F92">
        <w:t>,  (f) spherical soot particle and a fragment of microplastic</w:t>
      </w:r>
      <w:r w:rsidR="00866817">
        <w:t xml:space="preserve"> (7-8)</w:t>
      </w:r>
      <w:r w:rsidR="00661F92">
        <w:t xml:space="preserve">. </w:t>
      </w:r>
    </w:p>
    <w:p w:rsidR="009C40CF" w:rsidRDefault="00196C3F" w:rsidP="00ED55A9">
      <w:pPr>
        <w:pStyle w:val="TAMainText"/>
        <w:spacing w:line="360" w:lineRule="auto"/>
      </w:pPr>
      <w:r>
        <w:rPr>
          <w:noProof/>
        </w:rPr>
        <w:lastRenderedPageBreak/>
        <w:drawing>
          <wp:inline distT="0" distB="0" distL="0" distR="0" wp14:anchorId="6FC5255A">
            <wp:extent cx="8134350" cy="4627409"/>
            <wp:effectExtent l="0" t="0" r="0" b="1905"/>
            <wp:docPr id="44" name="Resim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144235" cy="4633032"/>
                    </a:xfrm>
                    <a:prstGeom prst="rect">
                      <a:avLst/>
                    </a:prstGeom>
                    <a:noFill/>
                  </pic:spPr>
                </pic:pic>
              </a:graphicData>
            </a:graphic>
          </wp:inline>
        </w:drawing>
      </w:r>
    </w:p>
    <w:p w:rsidR="00BB0F8F" w:rsidRDefault="00C90E25" w:rsidP="00ED55A9">
      <w:pPr>
        <w:pStyle w:val="TAMainText"/>
        <w:spacing w:line="360" w:lineRule="auto"/>
      </w:pPr>
      <w:r w:rsidRPr="00611189">
        <w:rPr>
          <w:b/>
        </w:rPr>
        <w:t>Fig</w:t>
      </w:r>
      <w:r>
        <w:rPr>
          <w:b/>
        </w:rPr>
        <w:t>. S10</w:t>
      </w:r>
      <w:r w:rsidRPr="00611189">
        <w:rPr>
          <w:b/>
        </w:rPr>
        <w:t>.</w:t>
      </w:r>
      <w:r>
        <w:t xml:space="preserve"> </w:t>
      </w:r>
      <w:r w:rsidR="006055EA">
        <w:t xml:space="preserve">SEM-EDS results and morphologies of PMs obtained from the ninth to twelfth sequences of rainfall event 7. Numbers in the parenthesis following the elements show atomic percentages. </w:t>
      </w:r>
      <w:r>
        <w:t xml:space="preserve">(a) an oval shaped organic particle (most probably a pollen grain) and a mineral fiber of Si-Mg-Ca-Fe, (b), (d), (e) fly ash particles, (c) biochar or charcoal fragment </w:t>
      </w:r>
      <w:r w:rsidR="00DA07B9">
        <w:fldChar w:fldCharType="begin" w:fldLock="1"/>
      </w:r>
      <w:r w:rsidR="00761D13">
        <w:instrText>ADDIN CSL_CITATION {"citationItems":[{"id":"ITEM-1","itemData":{"DOI":"10.1017/qua.2018.76","ISSN":"10960287","abstract":"The Gravettian settlements of Europe are considered as an expression of human adaptation to harsh climates. In Southern Europe, however, favorable vegetation-climate conditions supported hunters-gatherer subsistence and the maintenance of their large-scale networks. This was also the case of the North-Adriatic plain and the Apennine mountain ridge in Italy. Traditionally considered lacking evidence, the northern part of the Apennine ridge has recently yielded the Early Gravettian site of Piovesello, located at 870 m a.s.l. Survey and excavation revealed lithic artifacts in primary position embedded in loamy sediments. Radiocarbon dating, anthracological and extended palynological and microcharcoal analyses have been integrated to reconstruct the palaeoecological context of this camp which was probably positioned above the timberline in an arid rocky landscape, bounding the fronts of local glaciers close to their maximum expansion at the time of Greenland Stadial (GS) 5 (32.04 - 28.9 ka cal BP). Human activity left ephemeral traces represented by lithic artefacts, charcoal, and the introduction of radiolarites from sources in proximity to the site and of chert from very far western sources. Evidence from Piovesello contributes to the reconstruction of human and vegetation ecology during Late Pleistocene glaciations and also provides hints for the historical biogeography of petrophytic plants and their orographic relics in the northern Apennine.","author":[{"dropping-particle":"","family":"Peresani","given":"Marco","non-dropping-particle":"","parse-names":false,"suffix":""},{"dropping-particle":"","family":"Ravazzi","given":"Cesare","non-dropping-particle":"","parse-names":false,"suffix":""},{"dropping-particle":"","family":"Pini","given":"Roberta","non-dropping-particle":"","parse-names":false,"suffix":""},{"dropping-particle":"","family":"Margaritora","given":"Davide","non-dropping-particle":"","parse-names":false,"suffix":""},{"dropping-particle":"","family":"Cocilova","given":"Arianna","non-dropping-particle":"","parse-names":false,"suffix":""},{"dropping-particle":"","family":"Delpiano","given":"Davide","non-dropping-particle":"","parse-names":false,"suffix":""},{"dropping-particle":"","family":"Bertola","given":"Stefano","non-dropping-particle":"","parse-names":false,"suffix":""},{"dropping-particle":"","family":"Castellano","given":"Lorenzo","non-dropping-particle":"","parse-names":false,"suffix":""},{"dropping-particle":"","family":"Fogliazza","given":"Fabio","non-dropping-particle":"","parse-names":false,"suffix":""},{"dropping-particle":"","family":"Martino","given":"Gabriele","non-dropping-particle":"","parse-names":false,"suffix":""},{"dropping-particle":"","family":"Nicosia","given":"Cristiano","non-dropping-particle":"","parse-names":false,"suffix":""},{"dropping-particle":"","family":"Simon","given":"Patrick","non-dropping-particle":"","parse-names":false,"suffix":""}],"container-title":"Quaternary Research (United States)","id":"ITEM-1","issue":"3","issued":{"date-parts":[["2018"]]},"page":"503-528","title":"Human settlement and vegetation-climate relationships in the Greenland Stadial 5 at the Piovesello site (Northern Apennines, Italy)","type":"article-journal","volume":"90"},"uris":["http://www.mendeley.com/documents/?uuid=7ff65772-592a-4108-a044-ff156d991d57"]},{"id":"ITEM-2","itemData":{"DOI":"10.1007/s00226-004-0270-4","ISSN":"00437719","author":[{"dropping-particle":"","family":"Ottosen","given":"Lisbeth M.","non-dropping-particle":"","parse-names":false,"suffix":""},{"dropping-particle":"","family":"Pedersen","given":"Anne Juul","non-dropping-particle":"","parse-names":false,"suffix":""},{"dropping-particle":"V.","family":"Christensen","given":"Iben","non-dropping-particle":"","parse-names":false,"suffix":""}],"container-title":"Wood Science and Technology","id":"ITEM-2","issue":"2","issued":{"date-parts":[["2005"]]},"page":"87-98","title":"Characterization of residues from thermal treatment of treated wood and extraction of Cu, Cr, As and Zn","type":"article-journal","volume":"39"},"uris":["http://www.mendeley.com/documents/?uuid=b0f049f5-b9db-4921-b54a-cbfaac306916"]}],"mendeley":{"formattedCitation":"(Ottosen et al., 2005; Peresani et al., 2018)","plainTextFormattedCitation":"(Ottosen et al., 2005; Peresani et al., 2018)","previouslyFormattedCitation":"(Ottosen et al., 2005; Peresani et al., 2018)"},"properties":{"noteIndex":0},"schema":"https://github.com/citation-style-language/schema/raw/master/csl-citation.json"}</w:instrText>
      </w:r>
      <w:r w:rsidR="00DA07B9">
        <w:fldChar w:fldCharType="separate"/>
      </w:r>
      <w:r w:rsidR="00DA07B9" w:rsidRPr="00DA07B9">
        <w:rPr>
          <w:noProof/>
        </w:rPr>
        <w:t>(Ottosen et al., 2005; Peresani et al., 2018)</w:t>
      </w:r>
      <w:r w:rsidR="00DA07B9">
        <w:fldChar w:fldCharType="end"/>
      </w:r>
      <w:r w:rsidR="00DA07B9">
        <w:t xml:space="preserve"> </w:t>
      </w:r>
      <w:r>
        <w:t>combined with vegetative detritus (5-9), (f) a biopolymer/chitin fragment (7-10)</w:t>
      </w:r>
      <w:r w:rsidR="00C5142A">
        <w:t>.</w:t>
      </w:r>
      <w:r>
        <w:t xml:space="preserve"> </w:t>
      </w:r>
    </w:p>
    <w:p w:rsidR="00AE3FD9" w:rsidRDefault="00AE3FD9" w:rsidP="00ED55A9">
      <w:pPr>
        <w:pStyle w:val="TAMainText"/>
        <w:spacing w:line="360" w:lineRule="auto"/>
        <w:rPr>
          <w:b/>
        </w:rPr>
      </w:pPr>
    </w:p>
    <w:p w:rsidR="00DA6D96" w:rsidRDefault="00DA6D96" w:rsidP="00ED55A9">
      <w:pPr>
        <w:pStyle w:val="TAMainText"/>
        <w:spacing w:line="360" w:lineRule="auto"/>
        <w:rPr>
          <w:b/>
          <w:noProof/>
          <w:lang w:val="tr-TR" w:eastAsia="tr-TR"/>
        </w:rPr>
      </w:pPr>
      <w:r>
        <w:rPr>
          <w:b/>
          <w:noProof/>
        </w:rPr>
        <w:lastRenderedPageBreak/>
        <w:drawing>
          <wp:inline distT="0" distB="0" distL="0" distR="0" wp14:anchorId="61DCB714">
            <wp:extent cx="8309610" cy="4883150"/>
            <wp:effectExtent l="0" t="0" r="0" b="0"/>
            <wp:docPr id="28" name="Resi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309610" cy="4883150"/>
                    </a:xfrm>
                    <a:prstGeom prst="rect">
                      <a:avLst/>
                    </a:prstGeom>
                    <a:noFill/>
                  </pic:spPr>
                </pic:pic>
              </a:graphicData>
            </a:graphic>
          </wp:inline>
        </w:drawing>
      </w:r>
    </w:p>
    <w:p w:rsidR="00DA6D96" w:rsidRDefault="00DA6D96" w:rsidP="00ED55A9">
      <w:pPr>
        <w:pStyle w:val="VAFigureCaption"/>
        <w:spacing w:line="360" w:lineRule="auto"/>
      </w:pPr>
      <w:r>
        <w:rPr>
          <w:b/>
        </w:rPr>
        <w:t>F</w:t>
      </w:r>
      <w:r w:rsidRPr="00676547">
        <w:rPr>
          <w:b/>
        </w:rPr>
        <w:t>ig</w:t>
      </w:r>
      <w:r>
        <w:rPr>
          <w:b/>
        </w:rPr>
        <w:t>.</w:t>
      </w:r>
      <w:r w:rsidRPr="00676547">
        <w:rPr>
          <w:b/>
        </w:rPr>
        <w:t xml:space="preserve"> </w:t>
      </w:r>
      <w:r>
        <w:rPr>
          <w:b/>
        </w:rPr>
        <w:t>S11</w:t>
      </w:r>
      <w:r w:rsidRPr="00676547">
        <w:rPr>
          <w:b/>
        </w:rPr>
        <w:t>.</w:t>
      </w:r>
      <w:r>
        <w:t xml:space="preserve"> Particle size distributions in the sequential samples of rainfall event 8. </w:t>
      </w:r>
    </w:p>
    <w:p w:rsidR="00DA6D96" w:rsidRDefault="00DA6D96" w:rsidP="00ED55A9">
      <w:pPr>
        <w:pStyle w:val="TAMainText"/>
        <w:spacing w:line="360" w:lineRule="auto"/>
        <w:rPr>
          <w:b/>
          <w:noProof/>
          <w:lang w:val="tr-TR" w:eastAsia="tr-TR"/>
        </w:rPr>
      </w:pPr>
      <w:r>
        <w:rPr>
          <w:b/>
          <w:noProof/>
        </w:rPr>
        <w:lastRenderedPageBreak/>
        <w:drawing>
          <wp:inline distT="0" distB="0" distL="0" distR="0" wp14:anchorId="24FEB6E1">
            <wp:extent cx="8311680" cy="4789805"/>
            <wp:effectExtent l="0" t="0" r="0" b="0"/>
            <wp:docPr id="29" name="Resi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317678" cy="4793262"/>
                    </a:xfrm>
                    <a:prstGeom prst="rect">
                      <a:avLst/>
                    </a:prstGeom>
                    <a:noFill/>
                  </pic:spPr>
                </pic:pic>
              </a:graphicData>
            </a:graphic>
          </wp:inline>
        </w:drawing>
      </w:r>
    </w:p>
    <w:p w:rsidR="00DA6D96" w:rsidRDefault="00DA6D96" w:rsidP="00ED55A9">
      <w:pPr>
        <w:pStyle w:val="TAMainText"/>
        <w:spacing w:line="360" w:lineRule="auto"/>
      </w:pPr>
      <w:r>
        <w:rPr>
          <w:b/>
        </w:rPr>
        <w:t>F</w:t>
      </w:r>
      <w:r w:rsidRPr="00676547">
        <w:rPr>
          <w:b/>
        </w:rPr>
        <w:t>ig</w:t>
      </w:r>
      <w:r>
        <w:rPr>
          <w:b/>
        </w:rPr>
        <w:t>.</w:t>
      </w:r>
      <w:r w:rsidRPr="00676547">
        <w:rPr>
          <w:b/>
        </w:rPr>
        <w:t xml:space="preserve"> </w:t>
      </w:r>
      <w:r>
        <w:rPr>
          <w:b/>
        </w:rPr>
        <w:t xml:space="preserve">S11 </w:t>
      </w:r>
      <w:r w:rsidRPr="00DA6D96">
        <w:t>(Continued)</w:t>
      </w:r>
      <w:r>
        <w:t>.</w:t>
      </w:r>
    </w:p>
    <w:p w:rsidR="00DA6D96" w:rsidRDefault="00DA6D96" w:rsidP="00ED55A9">
      <w:pPr>
        <w:pStyle w:val="TAMainText"/>
        <w:spacing w:line="360" w:lineRule="auto"/>
      </w:pPr>
    </w:p>
    <w:p w:rsidR="00DA6D96" w:rsidRDefault="00DA6D96" w:rsidP="00ED55A9">
      <w:pPr>
        <w:pStyle w:val="TAMainText"/>
        <w:spacing w:line="360" w:lineRule="auto"/>
      </w:pPr>
    </w:p>
    <w:p w:rsidR="00DA6D96" w:rsidRDefault="00DA6D96" w:rsidP="00ED55A9">
      <w:pPr>
        <w:pStyle w:val="TAMainText"/>
        <w:spacing w:line="360" w:lineRule="auto"/>
      </w:pPr>
      <w:r>
        <w:rPr>
          <w:noProof/>
        </w:rPr>
        <w:lastRenderedPageBreak/>
        <w:drawing>
          <wp:inline distT="0" distB="0" distL="0" distR="0" wp14:anchorId="5010D8C4">
            <wp:extent cx="8197971" cy="1494498"/>
            <wp:effectExtent l="0" t="0" r="0" b="0"/>
            <wp:docPr id="43" name="Resi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210075" cy="1496705"/>
                    </a:xfrm>
                    <a:prstGeom prst="rect">
                      <a:avLst/>
                    </a:prstGeom>
                    <a:noFill/>
                  </pic:spPr>
                </pic:pic>
              </a:graphicData>
            </a:graphic>
          </wp:inline>
        </w:drawing>
      </w:r>
    </w:p>
    <w:p w:rsidR="00DA6D96" w:rsidRDefault="00DA6D96" w:rsidP="00ED55A9">
      <w:pPr>
        <w:pStyle w:val="TAMainText"/>
        <w:spacing w:line="360" w:lineRule="auto"/>
      </w:pPr>
      <w:r>
        <w:rPr>
          <w:b/>
        </w:rPr>
        <w:t>F</w:t>
      </w:r>
      <w:r w:rsidRPr="00676547">
        <w:rPr>
          <w:b/>
        </w:rPr>
        <w:t>ig</w:t>
      </w:r>
      <w:r>
        <w:rPr>
          <w:b/>
        </w:rPr>
        <w:t>.</w:t>
      </w:r>
      <w:r w:rsidRPr="00676547">
        <w:rPr>
          <w:b/>
        </w:rPr>
        <w:t xml:space="preserve"> </w:t>
      </w:r>
      <w:r>
        <w:rPr>
          <w:b/>
        </w:rPr>
        <w:t xml:space="preserve">S11 </w:t>
      </w:r>
      <w:r w:rsidRPr="00DA6D96">
        <w:t>(Continued)</w:t>
      </w:r>
      <w:r>
        <w:t>.</w:t>
      </w:r>
    </w:p>
    <w:p w:rsidR="00DA6D96" w:rsidRDefault="00DA6D96" w:rsidP="00ED55A9">
      <w:pPr>
        <w:pStyle w:val="TAMainText"/>
        <w:spacing w:line="360" w:lineRule="auto"/>
      </w:pPr>
    </w:p>
    <w:p w:rsidR="00DA6D96" w:rsidRDefault="00DA6D96" w:rsidP="00ED55A9">
      <w:pPr>
        <w:pStyle w:val="TAMainText"/>
        <w:spacing w:line="360" w:lineRule="auto"/>
      </w:pPr>
    </w:p>
    <w:p w:rsidR="00DA6D96" w:rsidRDefault="00DA6D96" w:rsidP="00ED55A9">
      <w:pPr>
        <w:pStyle w:val="TAMainText"/>
        <w:spacing w:line="360" w:lineRule="auto"/>
      </w:pPr>
    </w:p>
    <w:p w:rsidR="00DA6D96" w:rsidRDefault="00DA6D96" w:rsidP="00ED55A9">
      <w:pPr>
        <w:pStyle w:val="TAMainText"/>
        <w:spacing w:line="360" w:lineRule="auto"/>
        <w:rPr>
          <w:b/>
          <w:noProof/>
          <w:lang w:val="tr-TR" w:eastAsia="tr-TR"/>
        </w:rPr>
      </w:pPr>
    </w:p>
    <w:p w:rsidR="00DA6D96" w:rsidRDefault="00DA6D96" w:rsidP="00ED55A9">
      <w:pPr>
        <w:pStyle w:val="TAMainText"/>
        <w:spacing w:line="360" w:lineRule="auto"/>
        <w:rPr>
          <w:b/>
          <w:noProof/>
          <w:lang w:val="tr-TR" w:eastAsia="tr-TR"/>
        </w:rPr>
      </w:pPr>
    </w:p>
    <w:p w:rsidR="00DA6D96" w:rsidRDefault="00DA6D96" w:rsidP="00ED55A9">
      <w:pPr>
        <w:pStyle w:val="TAMainText"/>
        <w:spacing w:line="360" w:lineRule="auto"/>
        <w:rPr>
          <w:b/>
          <w:noProof/>
          <w:lang w:val="tr-TR" w:eastAsia="tr-TR"/>
        </w:rPr>
      </w:pPr>
    </w:p>
    <w:p w:rsidR="00DA6D96" w:rsidRDefault="00DA6D96" w:rsidP="00ED55A9">
      <w:pPr>
        <w:pStyle w:val="TAMainText"/>
        <w:spacing w:line="360" w:lineRule="auto"/>
        <w:rPr>
          <w:b/>
          <w:noProof/>
          <w:lang w:val="tr-TR" w:eastAsia="tr-TR"/>
        </w:rPr>
      </w:pPr>
    </w:p>
    <w:p w:rsidR="00DA6D96" w:rsidRDefault="00DA6D96" w:rsidP="00ED55A9">
      <w:pPr>
        <w:pStyle w:val="TAMainText"/>
        <w:spacing w:line="360" w:lineRule="auto"/>
        <w:rPr>
          <w:b/>
          <w:noProof/>
          <w:lang w:val="tr-TR" w:eastAsia="tr-TR"/>
        </w:rPr>
      </w:pPr>
    </w:p>
    <w:p w:rsidR="00DA6D96" w:rsidRDefault="00DA6D96" w:rsidP="00ED55A9">
      <w:pPr>
        <w:pStyle w:val="TAMainText"/>
        <w:spacing w:line="360" w:lineRule="auto"/>
        <w:rPr>
          <w:b/>
          <w:noProof/>
          <w:lang w:val="tr-TR" w:eastAsia="tr-TR"/>
        </w:rPr>
      </w:pPr>
    </w:p>
    <w:p w:rsidR="00DA6D96" w:rsidRDefault="00DA6D96" w:rsidP="00ED55A9">
      <w:pPr>
        <w:pStyle w:val="TAMainText"/>
        <w:spacing w:line="360" w:lineRule="auto"/>
        <w:rPr>
          <w:b/>
        </w:rPr>
        <w:sectPr w:rsidR="00DA6D96" w:rsidSect="00734EB2">
          <w:type w:val="continuous"/>
          <w:pgSz w:w="15840" w:h="12240" w:orient="landscape"/>
          <w:pgMar w:top="1440" w:right="1440" w:bottom="1440" w:left="1440" w:header="0" w:footer="0" w:gutter="0"/>
          <w:lnNumType w:countBy="1" w:restart="continuous"/>
          <w:cols w:space="475"/>
          <w:docGrid w:linePitch="326"/>
        </w:sectPr>
      </w:pPr>
    </w:p>
    <w:p w:rsidR="009C40CF" w:rsidRDefault="00AE460E" w:rsidP="00ED55A9">
      <w:pPr>
        <w:pStyle w:val="Balk1"/>
        <w:spacing w:line="360" w:lineRule="auto"/>
        <w:rPr>
          <w:rFonts w:ascii="Times New Roman" w:hAnsi="Times New Roman" w:cs="Times New Roman"/>
          <w:b/>
          <w:color w:val="000000" w:themeColor="text1"/>
          <w:sz w:val="24"/>
          <w:szCs w:val="24"/>
        </w:rPr>
      </w:pPr>
      <w:r w:rsidRPr="00AE460E">
        <w:rPr>
          <w:rFonts w:ascii="Times New Roman" w:hAnsi="Times New Roman" w:cs="Times New Roman"/>
          <w:b/>
          <w:color w:val="000000" w:themeColor="text1"/>
          <w:sz w:val="24"/>
          <w:szCs w:val="24"/>
        </w:rPr>
        <w:lastRenderedPageBreak/>
        <w:t>References</w:t>
      </w:r>
    </w:p>
    <w:p w:rsidR="00AE460E" w:rsidRPr="00AE460E" w:rsidRDefault="00AE460E" w:rsidP="00ED55A9">
      <w:pPr>
        <w:widowControl w:val="0"/>
        <w:autoSpaceDE w:val="0"/>
        <w:autoSpaceDN w:val="0"/>
        <w:adjustRightInd w:val="0"/>
        <w:spacing w:line="360" w:lineRule="auto"/>
        <w:ind w:left="480" w:hanging="480"/>
        <w:rPr>
          <w:rFonts w:cs="Times"/>
          <w:noProof/>
          <w:szCs w:val="24"/>
        </w:rPr>
      </w:pPr>
      <w:r>
        <w:fldChar w:fldCharType="begin" w:fldLock="1"/>
      </w:r>
      <w:r>
        <w:instrText xml:space="preserve">ADDIN Mendeley Bibliography CSL_BIBLIOGRAPHY </w:instrText>
      </w:r>
      <w:r>
        <w:fldChar w:fldCharType="separate"/>
      </w:r>
      <w:r w:rsidRPr="00AE460E">
        <w:rPr>
          <w:rFonts w:cs="Times"/>
          <w:noProof/>
          <w:szCs w:val="24"/>
        </w:rPr>
        <w:t xml:space="preserve">Bakri A M M, Kamarudin H, Nizar I K, Sandu A V, Binhussain M, Zarina Y, &amp; Rafiza A R (2013) Design, processing and characterization of fly ash-based geopolymers for lightweight concrete application. </w:t>
      </w:r>
      <w:r w:rsidR="009F17A8" w:rsidRPr="009F17A8">
        <w:rPr>
          <w:rFonts w:cs="Times"/>
          <w:iCs/>
          <w:noProof/>
          <w:szCs w:val="24"/>
        </w:rPr>
        <w:t xml:space="preserve">Rev. Chim </w:t>
      </w:r>
      <w:r w:rsidRPr="009F17A8">
        <w:rPr>
          <w:rFonts w:cs="Times"/>
          <w:iCs/>
          <w:noProof/>
          <w:szCs w:val="24"/>
        </w:rPr>
        <w:t>64</w:t>
      </w:r>
      <w:r w:rsidRPr="00AE460E">
        <w:rPr>
          <w:rFonts w:cs="Times"/>
          <w:noProof/>
          <w:szCs w:val="24"/>
        </w:rPr>
        <w:t>(4)</w:t>
      </w:r>
      <w:r w:rsidR="009F17A8">
        <w:rPr>
          <w:rFonts w:cs="Times"/>
          <w:noProof/>
          <w:szCs w:val="24"/>
        </w:rPr>
        <w:t>:</w:t>
      </w:r>
      <w:r w:rsidRPr="00AE460E">
        <w:rPr>
          <w:rFonts w:cs="Times"/>
          <w:noProof/>
          <w:szCs w:val="24"/>
        </w:rPr>
        <w:t>382–387.</w:t>
      </w:r>
    </w:p>
    <w:p w:rsidR="00AE460E" w:rsidRPr="00AE460E" w:rsidRDefault="009F17A8" w:rsidP="00ED55A9">
      <w:pPr>
        <w:widowControl w:val="0"/>
        <w:autoSpaceDE w:val="0"/>
        <w:autoSpaceDN w:val="0"/>
        <w:adjustRightInd w:val="0"/>
        <w:spacing w:line="360" w:lineRule="auto"/>
        <w:ind w:left="480" w:hanging="480"/>
        <w:rPr>
          <w:rFonts w:cs="Times"/>
          <w:noProof/>
          <w:szCs w:val="24"/>
        </w:rPr>
      </w:pPr>
      <w:r>
        <w:rPr>
          <w:rFonts w:cs="Times"/>
          <w:noProof/>
          <w:szCs w:val="24"/>
        </w:rPr>
        <w:t>Gkoutselis</w:t>
      </w:r>
      <w:r w:rsidR="00AE460E" w:rsidRPr="00AE460E">
        <w:rPr>
          <w:rFonts w:cs="Times"/>
          <w:noProof/>
          <w:szCs w:val="24"/>
        </w:rPr>
        <w:t xml:space="preserve"> G, Rohrbach S, Harjes J, Obst M, Brachmann A, Horn M A, &amp; Rambold G (2021) Microplastics accumulate fungal pathogens in terrestrial ecosystems. </w:t>
      </w:r>
      <w:r w:rsidRPr="009F17A8">
        <w:rPr>
          <w:rFonts w:cs="Times"/>
          <w:iCs/>
          <w:noProof/>
          <w:szCs w:val="24"/>
        </w:rPr>
        <w:t xml:space="preserve">Sci Rep </w:t>
      </w:r>
      <w:r w:rsidR="00AE460E" w:rsidRPr="00AE460E">
        <w:rPr>
          <w:rFonts w:cs="Times"/>
          <w:i/>
          <w:iCs/>
          <w:noProof/>
          <w:szCs w:val="24"/>
        </w:rPr>
        <w:t>11</w:t>
      </w:r>
      <w:r w:rsidR="00AE460E" w:rsidRPr="00AE460E">
        <w:rPr>
          <w:rFonts w:cs="Times"/>
          <w:noProof/>
          <w:szCs w:val="24"/>
        </w:rPr>
        <w:t>(1)</w:t>
      </w:r>
      <w:r>
        <w:rPr>
          <w:rFonts w:cs="Times"/>
          <w:noProof/>
          <w:szCs w:val="24"/>
        </w:rPr>
        <w:t>:</w:t>
      </w:r>
      <w:r w:rsidR="00AE460E" w:rsidRPr="00AE460E">
        <w:rPr>
          <w:rFonts w:cs="Times"/>
          <w:noProof/>
          <w:szCs w:val="24"/>
        </w:rPr>
        <w:t>1–13. https://doi.org/10.1038/s41598-021-92405-7</w:t>
      </w:r>
      <w:r>
        <w:rPr>
          <w:rFonts w:cs="Times"/>
          <w:noProof/>
          <w:szCs w:val="24"/>
        </w:rPr>
        <w:t>.</w:t>
      </w:r>
    </w:p>
    <w:p w:rsidR="00AE460E" w:rsidRPr="00AE460E" w:rsidRDefault="00AE460E" w:rsidP="00ED55A9">
      <w:pPr>
        <w:widowControl w:val="0"/>
        <w:autoSpaceDE w:val="0"/>
        <w:autoSpaceDN w:val="0"/>
        <w:adjustRightInd w:val="0"/>
        <w:spacing w:line="360" w:lineRule="auto"/>
        <w:ind w:left="480" w:hanging="480"/>
        <w:rPr>
          <w:rFonts w:cs="Times"/>
          <w:noProof/>
          <w:szCs w:val="24"/>
        </w:rPr>
      </w:pPr>
      <w:r w:rsidRPr="00AE460E">
        <w:rPr>
          <w:rFonts w:cs="Times"/>
          <w:noProof/>
          <w:szCs w:val="24"/>
        </w:rPr>
        <w:t xml:space="preserve">Kafle K, Greeson K, Lee C, &amp; Kim S H (2014) Cellulose polymorphs and physical properties of cotton fabrics processed with commercial textile mills for mercerization and liquid ammonia treatments. </w:t>
      </w:r>
      <w:r w:rsidR="009F17A8" w:rsidRPr="009F17A8">
        <w:rPr>
          <w:rFonts w:cs="Times"/>
          <w:iCs/>
          <w:noProof/>
          <w:szCs w:val="24"/>
        </w:rPr>
        <w:t>Text Res J</w:t>
      </w:r>
      <w:r w:rsidRPr="009F17A8">
        <w:rPr>
          <w:rFonts w:cs="Times"/>
          <w:noProof/>
          <w:szCs w:val="24"/>
        </w:rPr>
        <w:t xml:space="preserve"> </w:t>
      </w:r>
      <w:r w:rsidRPr="009F17A8">
        <w:rPr>
          <w:rFonts w:cs="Times"/>
          <w:iCs/>
          <w:noProof/>
          <w:szCs w:val="24"/>
        </w:rPr>
        <w:t>84</w:t>
      </w:r>
      <w:r w:rsidRPr="00AE460E">
        <w:rPr>
          <w:rFonts w:cs="Times"/>
          <w:noProof/>
          <w:szCs w:val="24"/>
        </w:rPr>
        <w:t>(16)</w:t>
      </w:r>
      <w:r w:rsidR="009F17A8">
        <w:rPr>
          <w:rFonts w:cs="Times"/>
          <w:noProof/>
          <w:szCs w:val="24"/>
        </w:rPr>
        <w:t>:</w:t>
      </w:r>
      <w:r w:rsidRPr="00AE460E">
        <w:rPr>
          <w:rFonts w:cs="Times"/>
          <w:noProof/>
          <w:szCs w:val="24"/>
        </w:rPr>
        <w:t>1692–1699. https://doi.org/10.1177/0040517514527379</w:t>
      </w:r>
      <w:r w:rsidR="009F17A8">
        <w:rPr>
          <w:rFonts w:cs="Times"/>
          <w:noProof/>
          <w:szCs w:val="24"/>
        </w:rPr>
        <w:t>.</w:t>
      </w:r>
    </w:p>
    <w:p w:rsidR="00AE460E" w:rsidRPr="00AE460E" w:rsidRDefault="00AE460E" w:rsidP="00ED55A9">
      <w:pPr>
        <w:widowControl w:val="0"/>
        <w:autoSpaceDE w:val="0"/>
        <w:autoSpaceDN w:val="0"/>
        <w:adjustRightInd w:val="0"/>
        <w:spacing w:line="360" w:lineRule="auto"/>
        <w:ind w:left="480" w:hanging="480"/>
        <w:rPr>
          <w:rFonts w:cs="Times"/>
          <w:noProof/>
          <w:szCs w:val="24"/>
        </w:rPr>
      </w:pPr>
      <w:r w:rsidRPr="00AE460E">
        <w:rPr>
          <w:rFonts w:cs="Times"/>
          <w:noProof/>
          <w:szCs w:val="24"/>
        </w:rPr>
        <w:t xml:space="preserve">Makonese T, Meyer J, &amp; von Solms S (2019) Characteristics of spherical organic particles emitted from fixed-bed residential coal combustion. </w:t>
      </w:r>
      <w:r w:rsidRPr="009F17A8">
        <w:rPr>
          <w:rFonts w:cs="Times"/>
          <w:iCs/>
          <w:noProof/>
          <w:szCs w:val="24"/>
        </w:rPr>
        <w:t>Atmosphere</w:t>
      </w:r>
      <w:r w:rsidRPr="009F17A8">
        <w:rPr>
          <w:rFonts w:cs="Times"/>
          <w:noProof/>
          <w:szCs w:val="24"/>
        </w:rPr>
        <w:t xml:space="preserve"> </w:t>
      </w:r>
      <w:r w:rsidRPr="009F17A8">
        <w:rPr>
          <w:rFonts w:cs="Times"/>
          <w:iCs/>
          <w:noProof/>
          <w:szCs w:val="24"/>
        </w:rPr>
        <w:t>10</w:t>
      </w:r>
      <w:r w:rsidRPr="00AE460E">
        <w:rPr>
          <w:rFonts w:cs="Times"/>
          <w:noProof/>
          <w:szCs w:val="24"/>
        </w:rPr>
        <w:t>(8)</w:t>
      </w:r>
      <w:r w:rsidR="009F17A8">
        <w:rPr>
          <w:rFonts w:cs="Times"/>
          <w:noProof/>
          <w:szCs w:val="24"/>
        </w:rPr>
        <w:t>:</w:t>
      </w:r>
      <w:r w:rsidRPr="00AE460E">
        <w:rPr>
          <w:rFonts w:cs="Times"/>
          <w:noProof/>
          <w:szCs w:val="24"/>
        </w:rPr>
        <w:t>https://doi.org/10.3390/atmos10080441</w:t>
      </w:r>
      <w:r w:rsidR="009F17A8">
        <w:rPr>
          <w:rFonts w:cs="Times"/>
          <w:noProof/>
          <w:szCs w:val="24"/>
        </w:rPr>
        <w:t>.</w:t>
      </w:r>
    </w:p>
    <w:p w:rsidR="00AE460E" w:rsidRPr="00AE460E" w:rsidRDefault="00AE460E" w:rsidP="00ED55A9">
      <w:pPr>
        <w:widowControl w:val="0"/>
        <w:autoSpaceDE w:val="0"/>
        <w:autoSpaceDN w:val="0"/>
        <w:adjustRightInd w:val="0"/>
        <w:spacing w:line="360" w:lineRule="auto"/>
        <w:ind w:left="480" w:hanging="480"/>
        <w:rPr>
          <w:rFonts w:cs="Times"/>
          <w:noProof/>
          <w:szCs w:val="24"/>
        </w:rPr>
      </w:pPr>
      <w:r w:rsidRPr="00AE460E">
        <w:rPr>
          <w:rFonts w:cs="Times"/>
          <w:noProof/>
          <w:szCs w:val="24"/>
        </w:rPr>
        <w:t xml:space="preserve">Moon J, Kalb P D, Milian L, &amp; Northrup P A (2016) Characterization of a sustainable sulfur polymer concrete using activated fillers. </w:t>
      </w:r>
      <w:r w:rsidR="009F17A8" w:rsidRPr="009F17A8">
        <w:rPr>
          <w:rFonts w:cs="Times"/>
          <w:iCs/>
          <w:noProof/>
          <w:szCs w:val="24"/>
        </w:rPr>
        <w:t>Cem Concr Compos</w:t>
      </w:r>
      <w:r w:rsidRPr="009F17A8">
        <w:rPr>
          <w:rFonts w:cs="Times"/>
          <w:noProof/>
          <w:szCs w:val="24"/>
        </w:rPr>
        <w:t xml:space="preserve"> </w:t>
      </w:r>
      <w:r w:rsidRPr="009F17A8">
        <w:rPr>
          <w:rFonts w:cs="Times"/>
          <w:iCs/>
          <w:noProof/>
          <w:szCs w:val="24"/>
        </w:rPr>
        <w:t>67</w:t>
      </w:r>
      <w:r w:rsidR="009F17A8">
        <w:rPr>
          <w:rFonts w:cs="Times"/>
          <w:noProof/>
          <w:szCs w:val="24"/>
        </w:rPr>
        <w:t>:</w:t>
      </w:r>
      <w:r w:rsidRPr="00AE460E">
        <w:rPr>
          <w:rFonts w:cs="Times"/>
          <w:noProof/>
          <w:szCs w:val="24"/>
        </w:rPr>
        <w:t>20–29. https://doi.org/10.1016/j.cemconcomp.2015.12.002</w:t>
      </w:r>
      <w:r w:rsidR="009F17A8">
        <w:rPr>
          <w:rFonts w:cs="Times"/>
          <w:noProof/>
          <w:szCs w:val="24"/>
        </w:rPr>
        <w:t>.</w:t>
      </w:r>
    </w:p>
    <w:p w:rsidR="00AE460E" w:rsidRPr="00AE460E" w:rsidRDefault="00AE460E" w:rsidP="00ED55A9">
      <w:pPr>
        <w:widowControl w:val="0"/>
        <w:autoSpaceDE w:val="0"/>
        <w:autoSpaceDN w:val="0"/>
        <w:adjustRightInd w:val="0"/>
        <w:spacing w:line="360" w:lineRule="auto"/>
        <w:ind w:left="480" w:hanging="480"/>
        <w:rPr>
          <w:rFonts w:cs="Times"/>
          <w:noProof/>
          <w:szCs w:val="24"/>
        </w:rPr>
      </w:pPr>
      <w:r w:rsidRPr="00AE460E">
        <w:rPr>
          <w:rFonts w:cs="Times"/>
          <w:noProof/>
          <w:szCs w:val="24"/>
        </w:rPr>
        <w:t xml:space="preserve">Not F, Valentin K, Romari K, Lovejoy C, Massana R, Töbe K, Vaulot D, &amp; Medlin L K (2007) Picobiliphytes: A marine picoplanktonic algal group with unknown affinities to other eukaryotes. </w:t>
      </w:r>
      <w:r w:rsidRPr="009F17A8">
        <w:rPr>
          <w:rFonts w:cs="Times"/>
          <w:iCs/>
          <w:noProof/>
          <w:szCs w:val="24"/>
        </w:rPr>
        <w:t>Science</w:t>
      </w:r>
      <w:r w:rsidRPr="009F17A8">
        <w:rPr>
          <w:rFonts w:cs="Times"/>
          <w:noProof/>
          <w:szCs w:val="24"/>
        </w:rPr>
        <w:t xml:space="preserve">, </w:t>
      </w:r>
      <w:r w:rsidRPr="009F17A8">
        <w:rPr>
          <w:rFonts w:cs="Times"/>
          <w:iCs/>
          <w:noProof/>
          <w:szCs w:val="24"/>
        </w:rPr>
        <w:t>315</w:t>
      </w:r>
      <w:r w:rsidRPr="00AE460E">
        <w:rPr>
          <w:rFonts w:cs="Times"/>
          <w:noProof/>
          <w:szCs w:val="24"/>
        </w:rPr>
        <w:t>(5809)</w:t>
      </w:r>
      <w:r w:rsidR="009F17A8">
        <w:rPr>
          <w:rFonts w:cs="Times"/>
          <w:noProof/>
          <w:szCs w:val="24"/>
        </w:rPr>
        <w:t>:</w:t>
      </w:r>
      <w:r w:rsidRPr="00AE460E">
        <w:rPr>
          <w:rFonts w:cs="Times"/>
          <w:noProof/>
          <w:szCs w:val="24"/>
        </w:rPr>
        <w:t>253–255. https://doi.org/10.1126/science.1136264</w:t>
      </w:r>
      <w:r w:rsidR="009F17A8">
        <w:rPr>
          <w:rFonts w:cs="Times"/>
          <w:noProof/>
          <w:szCs w:val="24"/>
        </w:rPr>
        <w:t>.</w:t>
      </w:r>
    </w:p>
    <w:p w:rsidR="00AE460E" w:rsidRPr="00AE460E" w:rsidRDefault="00AE460E" w:rsidP="00ED55A9">
      <w:pPr>
        <w:widowControl w:val="0"/>
        <w:autoSpaceDE w:val="0"/>
        <w:autoSpaceDN w:val="0"/>
        <w:adjustRightInd w:val="0"/>
        <w:spacing w:line="360" w:lineRule="auto"/>
        <w:ind w:left="480" w:hanging="480"/>
        <w:rPr>
          <w:rFonts w:cs="Times"/>
          <w:noProof/>
          <w:szCs w:val="24"/>
        </w:rPr>
      </w:pPr>
      <w:r w:rsidRPr="00AE460E">
        <w:rPr>
          <w:rFonts w:cs="Times"/>
          <w:noProof/>
          <w:szCs w:val="24"/>
        </w:rPr>
        <w:t xml:space="preserve">Ottosen L M, Pedersen A J, &amp; Christensen I V (2005) Characterization of residues from thermal treatment of treated wood and extraction of Cu, Cr, As and Zn. </w:t>
      </w:r>
      <w:r w:rsidR="009F17A8" w:rsidRPr="009F17A8">
        <w:rPr>
          <w:rFonts w:cs="Times"/>
          <w:iCs/>
          <w:noProof/>
          <w:szCs w:val="24"/>
        </w:rPr>
        <w:t>Wood Sci Technol</w:t>
      </w:r>
      <w:r w:rsidRPr="009F17A8">
        <w:rPr>
          <w:rFonts w:cs="Times"/>
          <w:iCs/>
          <w:noProof/>
          <w:szCs w:val="24"/>
        </w:rPr>
        <w:t>39</w:t>
      </w:r>
      <w:r w:rsidRPr="00AE460E">
        <w:rPr>
          <w:rFonts w:cs="Times"/>
          <w:noProof/>
          <w:szCs w:val="24"/>
        </w:rPr>
        <w:t>(2)</w:t>
      </w:r>
      <w:r w:rsidR="009F17A8">
        <w:rPr>
          <w:rFonts w:cs="Times"/>
          <w:noProof/>
          <w:szCs w:val="24"/>
        </w:rPr>
        <w:t>:</w:t>
      </w:r>
      <w:r w:rsidRPr="00AE460E">
        <w:rPr>
          <w:rFonts w:cs="Times"/>
          <w:noProof/>
          <w:szCs w:val="24"/>
        </w:rPr>
        <w:t>87–98. https://doi.org/10.1007/s00226-004-0270-4</w:t>
      </w:r>
      <w:r w:rsidR="009F17A8">
        <w:rPr>
          <w:rFonts w:cs="Times"/>
          <w:noProof/>
          <w:szCs w:val="24"/>
        </w:rPr>
        <w:t>.</w:t>
      </w:r>
    </w:p>
    <w:p w:rsidR="00AE460E" w:rsidRPr="00AE460E" w:rsidRDefault="00AE460E" w:rsidP="00ED55A9">
      <w:pPr>
        <w:widowControl w:val="0"/>
        <w:autoSpaceDE w:val="0"/>
        <w:autoSpaceDN w:val="0"/>
        <w:adjustRightInd w:val="0"/>
        <w:spacing w:line="360" w:lineRule="auto"/>
        <w:ind w:left="480" w:hanging="480"/>
        <w:rPr>
          <w:rFonts w:cs="Times"/>
          <w:noProof/>
          <w:szCs w:val="24"/>
        </w:rPr>
      </w:pPr>
      <w:r w:rsidRPr="00AE460E">
        <w:rPr>
          <w:rFonts w:cs="Times"/>
          <w:noProof/>
          <w:szCs w:val="24"/>
        </w:rPr>
        <w:t>Peresani M, Ravazzi C, Pini R, Margaritora D, Cocilova A, Delpiano D, Bertola S, Castellano L, Fogliazza F, Martino G, Nicosia C</w:t>
      </w:r>
      <w:r w:rsidR="009F17A8">
        <w:rPr>
          <w:rFonts w:cs="Times"/>
          <w:noProof/>
          <w:szCs w:val="24"/>
        </w:rPr>
        <w:t>,</w:t>
      </w:r>
      <w:r w:rsidRPr="00AE460E">
        <w:rPr>
          <w:rFonts w:cs="Times"/>
          <w:noProof/>
          <w:szCs w:val="24"/>
        </w:rPr>
        <w:t xml:space="preserve"> &amp; Simon P (2018) Human settlement and vegetation-climate relationships in the Greenland Stadial 5 at the Piovesello site (Northern Apennines, Italy). </w:t>
      </w:r>
      <w:r w:rsidR="009F17A8" w:rsidRPr="009F17A8">
        <w:rPr>
          <w:rFonts w:cs="Times"/>
          <w:iCs/>
          <w:noProof/>
          <w:szCs w:val="24"/>
        </w:rPr>
        <w:t>Quat Res</w:t>
      </w:r>
      <w:r w:rsidRPr="009F17A8">
        <w:rPr>
          <w:rFonts w:cs="Times"/>
          <w:iCs/>
          <w:noProof/>
          <w:szCs w:val="24"/>
        </w:rPr>
        <w:t xml:space="preserve"> (United States)</w:t>
      </w:r>
      <w:r w:rsidRPr="009F17A8">
        <w:rPr>
          <w:rFonts w:cs="Times"/>
          <w:noProof/>
          <w:szCs w:val="24"/>
        </w:rPr>
        <w:t xml:space="preserve"> </w:t>
      </w:r>
      <w:r w:rsidRPr="009F17A8">
        <w:rPr>
          <w:rFonts w:cs="Times"/>
          <w:iCs/>
          <w:noProof/>
          <w:szCs w:val="24"/>
        </w:rPr>
        <w:t>90</w:t>
      </w:r>
      <w:r w:rsidRPr="00AE460E">
        <w:rPr>
          <w:rFonts w:cs="Times"/>
          <w:noProof/>
          <w:szCs w:val="24"/>
        </w:rPr>
        <w:t>(3)</w:t>
      </w:r>
      <w:r w:rsidR="009F17A8">
        <w:rPr>
          <w:rFonts w:cs="Times"/>
          <w:noProof/>
          <w:szCs w:val="24"/>
        </w:rPr>
        <w:t>:</w:t>
      </w:r>
      <w:r w:rsidRPr="00AE460E">
        <w:rPr>
          <w:rFonts w:cs="Times"/>
          <w:noProof/>
          <w:szCs w:val="24"/>
        </w:rPr>
        <w:t>503–528. https://doi.org/10.1017/qua.2018.76</w:t>
      </w:r>
      <w:r w:rsidR="009F17A8">
        <w:rPr>
          <w:rFonts w:cs="Times"/>
          <w:noProof/>
          <w:szCs w:val="24"/>
        </w:rPr>
        <w:t>.</w:t>
      </w:r>
    </w:p>
    <w:p w:rsidR="00AE460E" w:rsidRPr="00AE460E" w:rsidRDefault="00AE460E" w:rsidP="00ED55A9">
      <w:pPr>
        <w:widowControl w:val="0"/>
        <w:autoSpaceDE w:val="0"/>
        <w:autoSpaceDN w:val="0"/>
        <w:adjustRightInd w:val="0"/>
        <w:spacing w:line="360" w:lineRule="auto"/>
        <w:ind w:left="480" w:hanging="480"/>
        <w:rPr>
          <w:rFonts w:cs="Times"/>
          <w:noProof/>
        </w:rPr>
      </w:pPr>
      <w:r w:rsidRPr="00AE460E">
        <w:rPr>
          <w:rFonts w:cs="Times"/>
          <w:noProof/>
          <w:szCs w:val="24"/>
        </w:rPr>
        <w:t xml:space="preserve">Xing Y, Guo F, Xu M, Gui X, Li H, Li G, Xia Y, &amp; Han H (2019) Separation of unburned carbon </w:t>
      </w:r>
      <w:r w:rsidRPr="00AE460E">
        <w:rPr>
          <w:rFonts w:cs="Times"/>
          <w:noProof/>
          <w:szCs w:val="24"/>
        </w:rPr>
        <w:lastRenderedPageBreak/>
        <w:t xml:space="preserve">from coal fly ash: A review. </w:t>
      </w:r>
      <w:r w:rsidR="00734EB2" w:rsidRPr="00734EB2">
        <w:rPr>
          <w:rFonts w:cs="Times"/>
          <w:iCs/>
          <w:noProof/>
          <w:szCs w:val="24"/>
        </w:rPr>
        <w:t>Powder Technol</w:t>
      </w:r>
      <w:r w:rsidRPr="00734EB2">
        <w:rPr>
          <w:rFonts w:cs="Times"/>
          <w:noProof/>
          <w:szCs w:val="24"/>
        </w:rPr>
        <w:t xml:space="preserve"> </w:t>
      </w:r>
      <w:r w:rsidRPr="00734EB2">
        <w:rPr>
          <w:rFonts w:cs="Times"/>
          <w:iCs/>
          <w:noProof/>
          <w:szCs w:val="24"/>
        </w:rPr>
        <w:t>353</w:t>
      </w:r>
      <w:r w:rsidR="00734EB2">
        <w:rPr>
          <w:rFonts w:cs="Times"/>
          <w:noProof/>
          <w:szCs w:val="24"/>
        </w:rPr>
        <w:t>:</w:t>
      </w:r>
      <w:r w:rsidRPr="00AE460E">
        <w:rPr>
          <w:rFonts w:cs="Times"/>
          <w:noProof/>
          <w:szCs w:val="24"/>
        </w:rPr>
        <w:t>372–384. https://doi.org/10.1016/j.powtec.2019.05.037</w:t>
      </w:r>
      <w:r w:rsidR="00734EB2">
        <w:rPr>
          <w:rFonts w:cs="Times"/>
          <w:noProof/>
          <w:szCs w:val="24"/>
        </w:rPr>
        <w:t>.</w:t>
      </w:r>
    </w:p>
    <w:p w:rsidR="00AE460E" w:rsidRPr="00AE460E" w:rsidRDefault="00AE460E" w:rsidP="00ED55A9">
      <w:pPr>
        <w:spacing w:line="360" w:lineRule="auto"/>
      </w:pPr>
      <w:r>
        <w:fldChar w:fldCharType="end"/>
      </w:r>
    </w:p>
    <w:sectPr w:rsidR="00AE460E" w:rsidRPr="00AE460E" w:rsidSect="00734EB2">
      <w:type w:val="continuous"/>
      <w:pgSz w:w="12240" w:h="15840"/>
      <w:pgMar w:top="1440" w:right="1440" w:bottom="1440" w:left="1440" w:header="0" w:footer="0" w:gutter="0"/>
      <w:lnNumType w:countBy="1" w:restart="continuous"/>
      <w:cols w:space="475"/>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3132" w:rsidRDefault="008A3132">
      <w:r>
        <w:separator/>
      </w:r>
    </w:p>
  </w:endnote>
  <w:endnote w:type="continuationSeparator" w:id="0">
    <w:p w:rsidR="008A3132" w:rsidRDefault="008A31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w:altName w:val="Times New Roman"/>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4C11" w:rsidRDefault="00E84C11">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separate"/>
    </w:r>
    <w:r>
      <w:rPr>
        <w:rStyle w:val="SayfaNumaras"/>
        <w:noProof/>
      </w:rPr>
      <w:t>1</w:t>
    </w:r>
    <w:r>
      <w:rPr>
        <w:rStyle w:val="SayfaNumaras"/>
      </w:rPr>
      <w:fldChar w:fldCharType="end"/>
    </w:r>
  </w:p>
  <w:p w:rsidR="00E84C11" w:rsidRDefault="00E84C11">
    <w:pPr>
      <w:pStyle w:val="AltBilgi"/>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4C11" w:rsidRDefault="00E84C11" w:rsidP="0071576C">
    <w:pPr>
      <w:pStyle w:val="AltBilgi"/>
      <w:framePr w:wrap="around" w:vAnchor="text" w:hAnchor="page" w:x="6421" w:y="-198"/>
      <w:rPr>
        <w:rStyle w:val="SayfaNumaras"/>
      </w:rPr>
    </w:pPr>
    <w:r>
      <w:rPr>
        <w:rStyle w:val="SayfaNumaras"/>
      </w:rPr>
      <w:fldChar w:fldCharType="begin"/>
    </w:r>
    <w:r>
      <w:rPr>
        <w:rStyle w:val="SayfaNumaras"/>
      </w:rPr>
      <w:instrText xml:space="preserve">PAGE  </w:instrText>
    </w:r>
    <w:r>
      <w:rPr>
        <w:rStyle w:val="SayfaNumaras"/>
      </w:rPr>
      <w:fldChar w:fldCharType="separate"/>
    </w:r>
    <w:r w:rsidR="00EF37FB">
      <w:rPr>
        <w:rStyle w:val="SayfaNumaras"/>
        <w:noProof/>
      </w:rPr>
      <w:t>2</w:t>
    </w:r>
    <w:r>
      <w:rPr>
        <w:rStyle w:val="SayfaNumaras"/>
      </w:rPr>
      <w:fldChar w:fldCharType="end"/>
    </w:r>
  </w:p>
  <w:p w:rsidR="00E84C11" w:rsidRDefault="00E84C11">
    <w:pPr>
      <w:pStyle w:val="AltBilgi"/>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3132" w:rsidRDefault="008A3132">
      <w:r>
        <w:separator/>
      </w:r>
    </w:p>
  </w:footnote>
  <w:footnote w:type="continuationSeparator" w:id="0">
    <w:p w:rsidR="008A3132" w:rsidRDefault="008A313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647C33"/>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01202A"/>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5"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6"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7"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8"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9"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num w:numId="1">
    <w:abstractNumId w:val="8"/>
  </w:num>
  <w:num w:numId="2">
    <w:abstractNumId w:val="6"/>
  </w:num>
  <w:num w:numId="3">
    <w:abstractNumId w:val="9"/>
  </w:num>
  <w:num w:numId="4">
    <w:abstractNumId w:val="7"/>
  </w:num>
  <w:num w:numId="5">
    <w:abstractNumId w:val="5"/>
  </w:num>
  <w:num w:numId="6">
    <w:abstractNumId w:val="4"/>
  </w:num>
  <w:num w:numId="7">
    <w:abstractNumId w:val="3"/>
  </w:num>
  <w:num w:numId="8">
    <w:abstractNumId w:val="1"/>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3BDC"/>
    <w:rsid w:val="000002F2"/>
    <w:rsid w:val="00006960"/>
    <w:rsid w:val="00007F31"/>
    <w:rsid w:val="00010B79"/>
    <w:rsid w:val="00012093"/>
    <w:rsid w:val="000120DE"/>
    <w:rsid w:val="00020821"/>
    <w:rsid w:val="0002125D"/>
    <w:rsid w:val="00021420"/>
    <w:rsid w:val="0002238B"/>
    <w:rsid w:val="00032F08"/>
    <w:rsid w:val="0003454B"/>
    <w:rsid w:val="00035DDD"/>
    <w:rsid w:val="00036930"/>
    <w:rsid w:val="000410D9"/>
    <w:rsid w:val="0004288B"/>
    <w:rsid w:val="00043E48"/>
    <w:rsid w:val="00046722"/>
    <w:rsid w:val="00054F3D"/>
    <w:rsid w:val="0005660F"/>
    <w:rsid w:val="00057D33"/>
    <w:rsid w:val="000614BE"/>
    <w:rsid w:val="000702AD"/>
    <w:rsid w:val="00071DF5"/>
    <w:rsid w:val="00075F28"/>
    <w:rsid w:val="00076688"/>
    <w:rsid w:val="00082B2C"/>
    <w:rsid w:val="00091219"/>
    <w:rsid w:val="000916AB"/>
    <w:rsid w:val="000958EC"/>
    <w:rsid w:val="00096258"/>
    <w:rsid w:val="00097B89"/>
    <w:rsid w:val="000A0738"/>
    <w:rsid w:val="000A3327"/>
    <w:rsid w:val="000A5A47"/>
    <w:rsid w:val="000A63AC"/>
    <w:rsid w:val="000A6A3F"/>
    <w:rsid w:val="000B0DCB"/>
    <w:rsid w:val="000B2EEB"/>
    <w:rsid w:val="000B5610"/>
    <w:rsid w:val="000C05CC"/>
    <w:rsid w:val="000C2961"/>
    <w:rsid w:val="000C47C3"/>
    <w:rsid w:val="000D297D"/>
    <w:rsid w:val="000D36CC"/>
    <w:rsid w:val="000D50CB"/>
    <w:rsid w:val="000D5892"/>
    <w:rsid w:val="000D6E20"/>
    <w:rsid w:val="000E3FE4"/>
    <w:rsid w:val="000E60F2"/>
    <w:rsid w:val="000F10E9"/>
    <w:rsid w:val="000F6680"/>
    <w:rsid w:val="001216CC"/>
    <w:rsid w:val="0012329D"/>
    <w:rsid w:val="00124EC4"/>
    <w:rsid w:val="00130663"/>
    <w:rsid w:val="0013689E"/>
    <w:rsid w:val="00146C60"/>
    <w:rsid w:val="00147A69"/>
    <w:rsid w:val="00160DE6"/>
    <w:rsid w:val="0017051F"/>
    <w:rsid w:val="00174194"/>
    <w:rsid w:val="00174861"/>
    <w:rsid w:val="00177D06"/>
    <w:rsid w:val="00194DBE"/>
    <w:rsid w:val="00195AB1"/>
    <w:rsid w:val="00195ACA"/>
    <w:rsid w:val="00196C3F"/>
    <w:rsid w:val="00196D9A"/>
    <w:rsid w:val="001A3491"/>
    <w:rsid w:val="001A485E"/>
    <w:rsid w:val="001A7A90"/>
    <w:rsid w:val="001B158B"/>
    <w:rsid w:val="001B5711"/>
    <w:rsid w:val="001B7B43"/>
    <w:rsid w:val="001C1566"/>
    <w:rsid w:val="001C2435"/>
    <w:rsid w:val="001C4D81"/>
    <w:rsid w:val="001C7291"/>
    <w:rsid w:val="001C7B7C"/>
    <w:rsid w:val="001D05AD"/>
    <w:rsid w:val="001D540A"/>
    <w:rsid w:val="001E2AEB"/>
    <w:rsid w:val="001F72A1"/>
    <w:rsid w:val="00200328"/>
    <w:rsid w:val="00201384"/>
    <w:rsid w:val="00211C6D"/>
    <w:rsid w:val="00212B1D"/>
    <w:rsid w:val="00216232"/>
    <w:rsid w:val="002167E3"/>
    <w:rsid w:val="002173AB"/>
    <w:rsid w:val="00226B76"/>
    <w:rsid w:val="00234C08"/>
    <w:rsid w:val="00237849"/>
    <w:rsid w:val="00237F07"/>
    <w:rsid w:val="00245C8C"/>
    <w:rsid w:val="0025124C"/>
    <w:rsid w:val="00254F3F"/>
    <w:rsid w:val="00261681"/>
    <w:rsid w:val="00262BFB"/>
    <w:rsid w:val="00266B59"/>
    <w:rsid w:val="00271A02"/>
    <w:rsid w:val="002818E3"/>
    <w:rsid w:val="00293731"/>
    <w:rsid w:val="002965C9"/>
    <w:rsid w:val="002A3A71"/>
    <w:rsid w:val="002A532F"/>
    <w:rsid w:val="002A7493"/>
    <w:rsid w:val="002B092B"/>
    <w:rsid w:val="002B123A"/>
    <w:rsid w:val="002B3925"/>
    <w:rsid w:val="002B3D39"/>
    <w:rsid w:val="002B4B89"/>
    <w:rsid w:val="002B7522"/>
    <w:rsid w:val="002C0001"/>
    <w:rsid w:val="002C3431"/>
    <w:rsid w:val="002C79D4"/>
    <w:rsid w:val="002D3DA8"/>
    <w:rsid w:val="002D7F21"/>
    <w:rsid w:val="002E7DA4"/>
    <w:rsid w:val="002F3287"/>
    <w:rsid w:val="002F5380"/>
    <w:rsid w:val="002F5F52"/>
    <w:rsid w:val="003062CA"/>
    <w:rsid w:val="00307DEF"/>
    <w:rsid w:val="003127D8"/>
    <w:rsid w:val="0031373B"/>
    <w:rsid w:val="00316BE0"/>
    <w:rsid w:val="0032202A"/>
    <w:rsid w:val="00322772"/>
    <w:rsid w:val="00322C96"/>
    <w:rsid w:val="003235DF"/>
    <w:rsid w:val="00324128"/>
    <w:rsid w:val="00325BFE"/>
    <w:rsid w:val="00325FF5"/>
    <w:rsid w:val="00332A10"/>
    <w:rsid w:val="00335689"/>
    <w:rsid w:val="00336CC3"/>
    <w:rsid w:val="003503B8"/>
    <w:rsid w:val="003545BB"/>
    <w:rsid w:val="00355999"/>
    <w:rsid w:val="00361E35"/>
    <w:rsid w:val="00365CDA"/>
    <w:rsid w:val="003664E9"/>
    <w:rsid w:val="003670C5"/>
    <w:rsid w:val="003677AF"/>
    <w:rsid w:val="003679A1"/>
    <w:rsid w:val="00370132"/>
    <w:rsid w:val="00373B44"/>
    <w:rsid w:val="00373BDC"/>
    <w:rsid w:val="0038232E"/>
    <w:rsid w:val="0038468C"/>
    <w:rsid w:val="00384C8D"/>
    <w:rsid w:val="00385A2C"/>
    <w:rsid w:val="0039054A"/>
    <w:rsid w:val="00392EE6"/>
    <w:rsid w:val="0039356E"/>
    <w:rsid w:val="00394976"/>
    <w:rsid w:val="003A3EFE"/>
    <w:rsid w:val="003A42F0"/>
    <w:rsid w:val="003A45D6"/>
    <w:rsid w:val="003B0CEE"/>
    <w:rsid w:val="003B4AF3"/>
    <w:rsid w:val="003C0FF1"/>
    <w:rsid w:val="003C2BEC"/>
    <w:rsid w:val="003C4C3D"/>
    <w:rsid w:val="003C4E16"/>
    <w:rsid w:val="003C61E9"/>
    <w:rsid w:val="003D15AE"/>
    <w:rsid w:val="003D501F"/>
    <w:rsid w:val="003D66D4"/>
    <w:rsid w:val="003E1F76"/>
    <w:rsid w:val="003E35EB"/>
    <w:rsid w:val="003E6D52"/>
    <w:rsid w:val="003E7669"/>
    <w:rsid w:val="003F2DFF"/>
    <w:rsid w:val="003F58E9"/>
    <w:rsid w:val="003F7EDC"/>
    <w:rsid w:val="0040083D"/>
    <w:rsid w:val="00401B23"/>
    <w:rsid w:val="004046DD"/>
    <w:rsid w:val="0040618F"/>
    <w:rsid w:val="00411998"/>
    <w:rsid w:val="00413E6C"/>
    <w:rsid w:val="004154B4"/>
    <w:rsid w:val="00421274"/>
    <w:rsid w:val="00423BAA"/>
    <w:rsid w:val="00425D1F"/>
    <w:rsid w:val="00426EF2"/>
    <w:rsid w:val="0043587C"/>
    <w:rsid w:val="0044056F"/>
    <w:rsid w:val="00443C97"/>
    <w:rsid w:val="0044546D"/>
    <w:rsid w:val="00457A5C"/>
    <w:rsid w:val="00467F78"/>
    <w:rsid w:val="00471DE3"/>
    <w:rsid w:val="00473A95"/>
    <w:rsid w:val="00475FD2"/>
    <w:rsid w:val="00480FEA"/>
    <w:rsid w:val="0048429B"/>
    <w:rsid w:val="00484F87"/>
    <w:rsid w:val="0048774F"/>
    <w:rsid w:val="00491AAC"/>
    <w:rsid w:val="00493AF9"/>
    <w:rsid w:val="004949A3"/>
    <w:rsid w:val="004A2380"/>
    <w:rsid w:val="004B2150"/>
    <w:rsid w:val="004B2F77"/>
    <w:rsid w:val="004B7C4D"/>
    <w:rsid w:val="004C2F98"/>
    <w:rsid w:val="004C5C86"/>
    <w:rsid w:val="004E283C"/>
    <w:rsid w:val="004E5CA8"/>
    <w:rsid w:val="004E7185"/>
    <w:rsid w:val="004E73EB"/>
    <w:rsid w:val="004F1D03"/>
    <w:rsid w:val="004F5627"/>
    <w:rsid w:val="00500DA2"/>
    <w:rsid w:val="005030AB"/>
    <w:rsid w:val="00510282"/>
    <w:rsid w:val="00512714"/>
    <w:rsid w:val="005133CE"/>
    <w:rsid w:val="00513DF4"/>
    <w:rsid w:val="00514BF8"/>
    <w:rsid w:val="005310EE"/>
    <w:rsid w:val="00534E05"/>
    <w:rsid w:val="00536A08"/>
    <w:rsid w:val="005429E9"/>
    <w:rsid w:val="005468CC"/>
    <w:rsid w:val="00550155"/>
    <w:rsid w:val="00552827"/>
    <w:rsid w:val="005553EF"/>
    <w:rsid w:val="00562CA6"/>
    <w:rsid w:val="00564155"/>
    <w:rsid w:val="00564ACA"/>
    <w:rsid w:val="005667B6"/>
    <w:rsid w:val="00567BA0"/>
    <w:rsid w:val="00567E81"/>
    <w:rsid w:val="00574AF9"/>
    <w:rsid w:val="00580F27"/>
    <w:rsid w:val="0058154B"/>
    <w:rsid w:val="00581EDD"/>
    <w:rsid w:val="00587D30"/>
    <w:rsid w:val="00591A57"/>
    <w:rsid w:val="00592949"/>
    <w:rsid w:val="005A0ACF"/>
    <w:rsid w:val="005A6540"/>
    <w:rsid w:val="005B1582"/>
    <w:rsid w:val="005C31FC"/>
    <w:rsid w:val="005C7580"/>
    <w:rsid w:val="005D0C10"/>
    <w:rsid w:val="005D212D"/>
    <w:rsid w:val="005D3268"/>
    <w:rsid w:val="005D4B91"/>
    <w:rsid w:val="005E2ABE"/>
    <w:rsid w:val="005F0BC2"/>
    <w:rsid w:val="005F6614"/>
    <w:rsid w:val="005F6A72"/>
    <w:rsid w:val="006055EA"/>
    <w:rsid w:val="00611189"/>
    <w:rsid w:val="006245F2"/>
    <w:rsid w:val="00626AF4"/>
    <w:rsid w:val="00630A13"/>
    <w:rsid w:val="006455A5"/>
    <w:rsid w:val="0065105B"/>
    <w:rsid w:val="006539CA"/>
    <w:rsid w:val="00653D40"/>
    <w:rsid w:val="006605FC"/>
    <w:rsid w:val="00661514"/>
    <w:rsid w:val="00661F92"/>
    <w:rsid w:val="00664AA1"/>
    <w:rsid w:val="00670342"/>
    <w:rsid w:val="006724AB"/>
    <w:rsid w:val="006752E4"/>
    <w:rsid w:val="00676547"/>
    <w:rsid w:val="0068071A"/>
    <w:rsid w:val="00683131"/>
    <w:rsid w:val="00683F5A"/>
    <w:rsid w:val="0068743A"/>
    <w:rsid w:val="006925D1"/>
    <w:rsid w:val="00695405"/>
    <w:rsid w:val="006954CA"/>
    <w:rsid w:val="00697E7B"/>
    <w:rsid w:val="006A3E34"/>
    <w:rsid w:val="006A5418"/>
    <w:rsid w:val="006A5E9C"/>
    <w:rsid w:val="006B2581"/>
    <w:rsid w:val="006B6CBA"/>
    <w:rsid w:val="006C09B3"/>
    <w:rsid w:val="006C3A74"/>
    <w:rsid w:val="006C6793"/>
    <w:rsid w:val="006C6DD8"/>
    <w:rsid w:val="006D1464"/>
    <w:rsid w:val="006D30A7"/>
    <w:rsid w:val="006E25FD"/>
    <w:rsid w:val="006E3E99"/>
    <w:rsid w:val="006E4303"/>
    <w:rsid w:val="006E4EFA"/>
    <w:rsid w:val="006F104A"/>
    <w:rsid w:val="007000D9"/>
    <w:rsid w:val="00701689"/>
    <w:rsid w:val="0070266A"/>
    <w:rsid w:val="007026E9"/>
    <w:rsid w:val="00706E37"/>
    <w:rsid w:val="007123BC"/>
    <w:rsid w:val="00713DBA"/>
    <w:rsid w:val="007154E3"/>
    <w:rsid w:val="0071576C"/>
    <w:rsid w:val="00721A20"/>
    <w:rsid w:val="00724051"/>
    <w:rsid w:val="0072621B"/>
    <w:rsid w:val="00734EB2"/>
    <w:rsid w:val="00747701"/>
    <w:rsid w:val="00753D0F"/>
    <w:rsid w:val="007569F6"/>
    <w:rsid w:val="00761239"/>
    <w:rsid w:val="00761D13"/>
    <w:rsid w:val="007629D3"/>
    <w:rsid w:val="00762CFD"/>
    <w:rsid w:val="007703EE"/>
    <w:rsid w:val="0077408A"/>
    <w:rsid w:val="00775264"/>
    <w:rsid w:val="00783F32"/>
    <w:rsid w:val="00784163"/>
    <w:rsid w:val="00790701"/>
    <w:rsid w:val="00791C21"/>
    <w:rsid w:val="00794616"/>
    <w:rsid w:val="0079561F"/>
    <w:rsid w:val="007A11AD"/>
    <w:rsid w:val="007A1BCF"/>
    <w:rsid w:val="007B3E22"/>
    <w:rsid w:val="007C573A"/>
    <w:rsid w:val="007C6A66"/>
    <w:rsid w:val="007D48A5"/>
    <w:rsid w:val="007E3F6F"/>
    <w:rsid w:val="007E7BB1"/>
    <w:rsid w:val="007F0D70"/>
    <w:rsid w:val="007F48EF"/>
    <w:rsid w:val="007F4A80"/>
    <w:rsid w:val="008027B8"/>
    <w:rsid w:val="008047DE"/>
    <w:rsid w:val="00810321"/>
    <w:rsid w:val="00810B2C"/>
    <w:rsid w:val="0081208E"/>
    <w:rsid w:val="008127FD"/>
    <w:rsid w:val="00814634"/>
    <w:rsid w:val="0081636F"/>
    <w:rsid w:val="008220DB"/>
    <w:rsid w:val="0083028B"/>
    <w:rsid w:val="00832CE5"/>
    <w:rsid w:val="00833F5D"/>
    <w:rsid w:val="008353A9"/>
    <w:rsid w:val="008430E4"/>
    <w:rsid w:val="00843503"/>
    <w:rsid w:val="00844CDC"/>
    <w:rsid w:val="008465D1"/>
    <w:rsid w:val="008557BE"/>
    <w:rsid w:val="008559BC"/>
    <w:rsid w:val="00855E36"/>
    <w:rsid w:val="00855F64"/>
    <w:rsid w:val="00860466"/>
    <w:rsid w:val="008633FA"/>
    <w:rsid w:val="008655C0"/>
    <w:rsid w:val="00866817"/>
    <w:rsid w:val="008832AC"/>
    <w:rsid w:val="008859DE"/>
    <w:rsid w:val="008931B6"/>
    <w:rsid w:val="00895136"/>
    <w:rsid w:val="008A0C00"/>
    <w:rsid w:val="008A3132"/>
    <w:rsid w:val="008A3737"/>
    <w:rsid w:val="008A6A8A"/>
    <w:rsid w:val="008B0E95"/>
    <w:rsid w:val="008B2CFD"/>
    <w:rsid w:val="008B5BEE"/>
    <w:rsid w:val="008B6615"/>
    <w:rsid w:val="008C67C2"/>
    <w:rsid w:val="008D14B7"/>
    <w:rsid w:val="008D23FC"/>
    <w:rsid w:val="008D2CF0"/>
    <w:rsid w:val="008D2ED8"/>
    <w:rsid w:val="008D30F9"/>
    <w:rsid w:val="008D486D"/>
    <w:rsid w:val="008D4EEF"/>
    <w:rsid w:val="008D53B2"/>
    <w:rsid w:val="008E490E"/>
    <w:rsid w:val="008E4F64"/>
    <w:rsid w:val="008E7D7F"/>
    <w:rsid w:val="008F2C68"/>
    <w:rsid w:val="008F37BB"/>
    <w:rsid w:val="008F3860"/>
    <w:rsid w:val="008F3A5A"/>
    <w:rsid w:val="008F785F"/>
    <w:rsid w:val="009046F8"/>
    <w:rsid w:val="00904EE9"/>
    <w:rsid w:val="00912169"/>
    <w:rsid w:val="00914035"/>
    <w:rsid w:val="0092037A"/>
    <w:rsid w:val="009246AD"/>
    <w:rsid w:val="00930631"/>
    <w:rsid w:val="00930C26"/>
    <w:rsid w:val="00931A20"/>
    <w:rsid w:val="00933565"/>
    <w:rsid w:val="009339B2"/>
    <w:rsid w:val="00944486"/>
    <w:rsid w:val="00946917"/>
    <w:rsid w:val="00946AEC"/>
    <w:rsid w:val="0095371E"/>
    <w:rsid w:val="00964DC0"/>
    <w:rsid w:val="009651AA"/>
    <w:rsid w:val="00967ABA"/>
    <w:rsid w:val="00970DEB"/>
    <w:rsid w:val="00972929"/>
    <w:rsid w:val="009756E6"/>
    <w:rsid w:val="0097628D"/>
    <w:rsid w:val="00977468"/>
    <w:rsid w:val="00992387"/>
    <w:rsid w:val="009A302B"/>
    <w:rsid w:val="009A65B1"/>
    <w:rsid w:val="009A7198"/>
    <w:rsid w:val="009A7351"/>
    <w:rsid w:val="009B53C4"/>
    <w:rsid w:val="009B561E"/>
    <w:rsid w:val="009C14AA"/>
    <w:rsid w:val="009C1B5A"/>
    <w:rsid w:val="009C40CF"/>
    <w:rsid w:val="009C4F2F"/>
    <w:rsid w:val="009C59FA"/>
    <w:rsid w:val="009C5A93"/>
    <w:rsid w:val="009D5BC7"/>
    <w:rsid w:val="009D6894"/>
    <w:rsid w:val="009D6915"/>
    <w:rsid w:val="009E0A5C"/>
    <w:rsid w:val="009E5BC2"/>
    <w:rsid w:val="009E63E6"/>
    <w:rsid w:val="009E68E5"/>
    <w:rsid w:val="009E6BF4"/>
    <w:rsid w:val="009F17A8"/>
    <w:rsid w:val="009F2E7E"/>
    <w:rsid w:val="009F3040"/>
    <w:rsid w:val="00A02D62"/>
    <w:rsid w:val="00A0300F"/>
    <w:rsid w:val="00A111F1"/>
    <w:rsid w:val="00A14005"/>
    <w:rsid w:val="00A14D3A"/>
    <w:rsid w:val="00A201FD"/>
    <w:rsid w:val="00A20EB5"/>
    <w:rsid w:val="00A216E4"/>
    <w:rsid w:val="00A33CB0"/>
    <w:rsid w:val="00A34651"/>
    <w:rsid w:val="00A40954"/>
    <w:rsid w:val="00A4301F"/>
    <w:rsid w:val="00A4312F"/>
    <w:rsid w:val="00A4637C"/>
    <w:rsid w:val="00A464D0"/>
    <w:rsid w:val="00A5294B"/>
    <w:rsid w:val="00A70CD3"/>
    <w:rsid w:val="00A70E5F"/>
    <w:rsid w:val="00A764EF"/>
    <w:rsid w:val="00A77C46"/>
    <w:rsid w:val="00A82FDB"/>
    <w:rsid w:val="00A92D70"/>
    <w:rsid w:val="00A95373"/>
    <w:rsid w:val="00A97D92"/>
    <w:rsid w:val="00AB34C5"/>
    <w:rsid w:val="00AC53A0"/>
    <w:rsid w:val="00AD3B59"/>
    <w:rsid w:val="00AD5DB9"/>
    <w:rsid w:val="00AE0265"/>
    <w:rsid w:val="00AE3FD9"/>
    <w:rsid w:val="00AE460E"/>
    <w:rsid w:val="00AF4538"/>
    <w:rsid w:val="00AF4AE5"/>
    <w:rsid w:val="00AF4B79"/>
    <w:rsid w:val="00AF4F6D"/>
    <w:rsid w:val="00AF7F6A"/>
    <w:rsid w:val="00B05A88"/>
    <w:rsid w:val="00B1063C"/>
    <w:rsid w:val="00B22CC8"/>
    <w:rsid w:val="00B3211A"/>
    <w:rsid w:val="00B33015"/>
    <w:rsid w:val="00B34A06"/>
    <w:rsid w:val="00B3738E"/>
    <w:rsid w:val="00B44641"/>
    <w:rsid w:val="00B450A1"/>
    <w:rsid w:val="00B4678B"/>
    <w:rsid w:val="00B476C7"/>
    <w:rsid w:val="00B47A72"/>
    <w:rsid w:val="00B50BB0"/>
    <w:rsid w:val="00B54800"/>
    <w:rsid w:val="00B72469"/>
    <w:rsid w:val="00B750AF"/>
    <w:rsid w:val="00B7618D"/>
    <w:rsid w:val="00B77FEE"/>
    <w:rsid w:val="00B86831"/>
    <w:rsid w:val="00B952AF"/>
    <w:rsid w:val="00BA1229"/>
    <w:rsid w:val="00BA2943"/>
    <w:rsid w:val="00BA5417"/>
    <w:rsid w:val="00BA5E11"/>
    <w:rsid w:val="00BB0F8F"/>
    <w:rsid w:val="00BB47B2"/>
    <w:rsid w:val="00BC3ADE"/>
    <w:rsid w:val="00BD1577"/>
    <w:rsid w:val="00BD2C44"/>
    <w:rsid w:val="00BD44CA"/>
    <w:rsid w:val="00BD50FE"/>
    <w:rsid w:val="00BD7F58"/>
    <w:rsid w:val="00BE596E"/>
    <w:rsid w:val="00BF0115"/>
    <w:rsid w:val="00BF48CD"/>
    <w:rsid w:val="00C02E74"/>
    <w:rsid w:val="00C10EE0"/>
    <w:rsid w:val="00C12556"/>
    <w:rsid w:val="00C27FC0"/>
    <w:rsid w:val="00C313B7"/>
    <w:rsid w:val="00C35755"/>
    <w:rsid w:val="00C35A25"/>
    <w:rsid w:val="00C42ACC"/>
    <w:rsid w:val="00C44F82"/>
    <w:rsid w:val="00C451E0"/>
    <w:rsid w:val="00C47F60"/>
    <w:rsid w:val="00C5142A"/>
    <w:rsid w:val="00C51AE2"/>
    <w:rsid w:val="00C51C2A"/>
    <w:rsid w:val="00C559C7"/>
    <w:rsid w:val="00C61091"/>
    <w:rsid w:val="00C6170A"/>
    <w:rsid w:val="00C76254"/>
    <w:rsid w:val="00C77CC8"/>
    <w:rsid w:val="00C8441D"/>
    <w:rsid w:val="00C8737A"/>
    <w:rsid w:val="00C90E25"/>
    <w:rsid w:val="00C97B26"/>
    <w:rsid w:val="00CA5BAA"/>
    <w:rsid w:val="00CC5DC9"/>
    <w:rsid w:val="00CC7609"/>
    <w:rsid w:val="00CE3214"/>
    <w:rsid w:val="00CE3A71"/>
    <w:rsid w:val="00CF5B26"/>
    <w:rsid w:val="00D11A0C"/>
    <w:rsid w:val="00D12E5D"/>
    <w:rsid w:val="00D14AE6"/>
    <w:rsid w:val="00D15EA6"/>
    <w:rsid w:val="00D16301"/>
    <w:rsid w:val="00D16335"/>
    <w:rsid w:val="00D177A1"/>
    <w:rsid w:val="00D21367"/>
    <w:rsid w:val="00D22BD9"/>
    <w:rsid w:val="00D23FA7"/>
    <w:rsid w:val="00D25FC6"/>
    <w:rsid w:val="00D27752"/>
    <w:rsid w:val="00D318E5"/>
    <w:rsid w:val="00D32E24"/>
    <w:rsid w:val="00D345ED"/>
    <w:rsid w:val="00D34FE4"/>
    <w:rsid w:val="00D40AF8"/>
    <w:rsid w:val="00D410A0"/>
    <w:rsid w:val="00D553B3"/>
    <w:rsid w:val="00D61D31"/>
    <w:rsid w:val="00D63E74"/>
    <w:rsid w:val="00D640EC"/>
    <w:rsid w:val="00D724C6"/>
    <w:rsid w:val="00D76826"/>
    <w:rsid w:val="00D774E9"/>
    <w:rsid w:val="00D87F60"/>
    <w:rsid w:val="00D90394"/>
    <w:rsid w:val="00D91BDA"/>
    <w:rsid w:val="00D91E10"/>
    <w:rsid w:val="00D921B7"/>
    <w:rsid w:val="00D941DD"/>
    <w:rsid w:val="00D96716"/>
    <w:rsid w:val="00D96A8E"/>
    <w:rsid w:val="00DA07B9"/>
    <w:rsid w:val="00DA616B"/>
    <w:rsid w:val="00DA6BD0"/>
    <w:rsid w:val="00DA6D96"/>
    <w:rsid w:val="00DA7B91"/>
    <w:rsid w:val="00DB0F76"/>
    <w:rsid w:val="00DB6116"/>
    <w:rsid w:val="00DD5F87"/>
    <w:rsid w:val="00DD64BA"/>
    <w:rsid w:val="00DD6DBB"/>
    <w:rsid w:val="00DE14DF"/>
    <w:rsid w:val="00DE2B98"/>
    <w:rsid w:val="00DE69B4"/>
    <w:rsid w:val="00DE789A"/>
    <w:rsid w:val="00DF014A"/>
    <w:rsid w:val="00DF05C4"/>
    <w:rsid w:val="00DF10E3"/>
    <w:rsid w:val="00DF736C"/>
    <w:rsid w:val="00E00853"/>
    <w:rsid w:val="00E00C17"/>
    <w:rsid w:val="00E04007"/>
    <w:rsid w:val="00E074F2"/>
    <w:rsid w:val="00E17197"/>
    <w:rsid w:val="00E20903"/>
    <w:rsid w:val="00E2378F"/>
    <w:rsid w:val="00E23D1B"/>
    <w:rsid w:val="00E30CAC"/>
    <w:rsid w:val="00E34EB4"/>
    <w:rsid w:val="00E471F1"/>
    <w:rsid w:val="00E51254"/>
    <w:rsid w:val="00E53853"/>
    <w:rsid w:val="00E60745"/>
    <w:rsid w:val="00E62F37"/>
    <w:rsid w:val="00E656BB"/>
    <w:rsid w:val="00E72BF4"/>
    <w:rsid w:val="00E744E0"/>
    <w:rsid w:val="00E826E9"/>
    <w:rsid w:val="00E84C11"/>
    <w:rsid w:val="00E86782"/>
    <w:rsid w:val="00E91482"/>
    <w:rsid w:val="00E926CF"/>
    <w:rsid w:val="00E94318"/>
    <w:rsid w:val="00E94354"/>
    <w:rsid w:val="00E96302"/>
    <w:rsid w:val="00E97502"/>
    <w:rsid w:val="00EB4B33"/>
    <w:rsid w:val="00EB6414"/>
    <w:rsid w:val="00EC291B"/>
    <w:rsid w:val="00EC41C1"/>
    <w:rsid w:val="00EC460E"/>
    <w:rsid w:val="00EC7160"/>
    <w:rsid w:val="00ED0038"/>
    <w:rsid w:val="00ED2AB5"/>
    <w:rsid w:val="00ED4C4A"/>
    <w:rsid w:val="00ED4CF9"/>
    <w:rsid w:val="00ED55A9"/>
    <w:rsid w:val="00EE433B"/>
    <w:rsid w:val="00EE577A"/>
    <w:rsid w:val="00EE7FD9"/>
    <w:rsid w:val="00EF0E24"/>
    <w:rsid w:val="00EF37FB"/>
    <w:rsid w:val="00EF3E4C"/>
    <w:rsid w:val="00F009D6"/>
    <w:rsid w:val="00F04AED"/>
    <w:rsid w:val="00F134F5"/>
    <w:rsid w:val="00F14DF6"/>
    <w:rsid w:val="00F165FE"/>
    <w:rsid w:val="00F3749D"/>
    <w:rsid w:val="00F47B85"/>
    <w:rsid w:val="00F54BDD"/>
    <w:rsid w:val="00F5645C"/>
    <w:rsid w:val="00F669B8"/>
    <w:rsid w:val="00F66B87"/>
    <w:rsid w:val="00F72E12"/>
    <w:rsid w:val="00F76A1F"/>
    <w:rsid w:val="00F87997"/>
    <w:rsid w:val="00F9119E"/>
    <w:rsid w:val="00F92BFB"/>
    <w:rsid w:val="00F972CC"/>
    <w:rsid w:val="00FA0895"/>
    <w:rsid w:val="00FA2579"/>
    <w:rsid w:val="00FA2D03"/>
    <w:rsid w:val="00FA4092"/>
    <w:rsid w:val="00FA4F2B"/>
    <w:rsid w:val="00FB1C12"/>
    <w:rsid w:val="00FB5ABB"/>
    <w:rsid w:val="00FC3AFA"/>
    <w:rsid w:val="00FD6868"/>
    <w:rsid w:val="00FE6219"/>
    <w:rsid w:val="00FE7018"/>
    <w:rsid w:val="00FF2D4B"/>
    <w:rsid w:val="00FF6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62ED16BE"/>
  <w15:docId w15:val="{32476A92-5A1C-4828-853D-4ECD001A2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jc w:val="both"/>
    </w:pPr>
    <w:rPr>
      <w:rFonts w:ascii="Times" w:hAnsi="Times"/>
      <w:sz w:val="24"/>
    </w:rPr>
  </w:style>
  <w:style w:type="paragraph" w:styleId="Balk1">
    <w:name w:val="heading 1"/>
    <w:basedOn w:val="Normal"/>
    <w:next w:val="Normal"/>
    <w:link w:val="Balk1Char"/>
    <w:qFormat/>
    <w:rsid w:val="00C02E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zlenenKpr">
    <w:name w:val="FollowedHyperlink"/>
    <w:rPr>
      <w:color w:val="800080"/>
      <w:u w:val="single"/>
    </w:rPr>
  </w:style>
  <w:style w:type="paragraph" w:styleId="GvdeMetni">
    <w:name w:val="Body Text"/>
    <w:basedOn w:val="Normal"/>
    <w:pPr>
      <w:jc w:val="center"/>
    </w:pPr>
    <w:rPr>
      <w:b/>
      <w:sz w:val="40"/>
    </w:rPr>
  </w:style>
  <w:style w:type="paragraph" w:styleId="DipnotMetni">
    <w:name w:val="footnote text"/>
    <w:basedOn w:val="Normal"/>
    <w:next w:val="TFReferencesSection"/>
    <w:semiHidden/>
  </w:style>
  <w:style w:type="paragraph" w:customStyle="1" w:styleId="TFReferencesSection">
    <w:name w:val="TF_References_Section"/>
    <w:basedOn w:val="Normal"/>
    <w:pPr>
      <w:spacing w:line="480" w:lineRule="auto"/>
      <w:ind w:firstLine="187"/>
    </w:pPr>
  </w:style>
  <w:style w:type="paragraph" w:customStyle="1" w:styleId="TAMainText">
    <w:name w:val="TA_Main_Text"/>
    <w:basedOn w:val="Normal"/>
    <w:pPr>
      <w:spacing w:after="0" w:line="480" w:lineRule="auto"/>
      <w:ind w:firstLine="202"/>
    </w:pPr>
  </w:style>
  <w:style w:type="paragraph" w:customStyle="1" w:styleId="BATitle">
    <w:name w:val="BA_Title"/>
    <w:basedOn w:val="Normal"/>
    <w:next w:val="BBAuthorName"/>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pPr>
      <w:spacing w:after="240" w:line="480" w:lineRule="auto"/>
      <w:jc w:val="center"/>
    </w:pPr>
    <w:rPr>
      <w:i/>
    </w:rPr>
  </w:style>
  <w:style w:type="paragraph" w:customStyle="1" w:styleId="BCAuthorAddress">
    <w:name w:val="BC_Author_Address"/>
    <w:basedOn w:val="Normal"/>
    <w:next w:val="BIEmailAddress"/>
    <w:pPr>
      <w:spacing w:after="240" w:line="480" w:lineRule="auto"/>
      <w:jc w:val="center"/>
    </w:pPr>
  </w:style>
  <w:style w:type="paragraph" w:customStyle="1" w:styleId="BIEmailAddress">
    <w:name w:val="BI_Email_Address"/>
    <w:basedOn w:val="Normal"/>
    <w:next w:val="AIReceivedDate"/>
    <w:pPr>
      <w:spacing w:line="480" w:lineRule="auto"/>
    </w:pPr>
  </w:style>
  <w:style w:type="paragraph" w:customStyle="1" w:styleId="AIReceivedDate">
    <w:name w:val="AI_Received_Date"/>
    <w:basedOn w:val="Normal"/>
    <w:next w:val="BDAbstract"/>
    <w:pPr>
      <w:spacing w:after="240" w:line="480" w:lineRule="auto"/>
    </w:pPr>
    <w:rPr>
      <w:b/>
    </w:rPr>
  </w:style>
  <w:style w:type="paragraph" w:customStyle="1" w:styleId="BDAbstract">
    <w:name w:val="BD_Abstract"/>
    <w:basedOn w:val="Normal"/>
    <w:next w:val="TAMainText"/>
    <w:pPr>
      <w:spacing w:before="360" w:after="360" w:line="480" w:lineRule="auto"/>
    </w:pPr>
  </w:style>
  <w:style w:type="paragraph" w:customStyle="1" w:styleId="TDAcknowledgments">
    <w:name w:val="TD_Acknowledgments"/>
    <w:basedOn w:val="Normal"/>
    <w:next w:val="Normal"/>
    <w:pPr>
      <w:spacing w:before="200" w:line="480" w:lineRule="auto"/>
      <w:ind w:firstLine="202"/>
    </w:pPr>
  </w:style>
  <w:style w:type="paragraph" w:customStyle="1" w:styleId="TESupportingInformation">
    <w:name w:val="TE_Supporting_Information"/>
    <w:basedOn w:val="Normal"/>
    <w:next w:val="Normal"/>
    <w:pPr>
      <w:spacing w:line="480" w:lineRule="auto"/>
      <w:ind w:firstLine="187"/>
    </w:pPr>
  </w:style>
  <w:style w:type="paragraph" w:customStyle="1" w:styleId="VCSchemeTitle">
    <w:name w:val="VC_Scheme_Title"/>
    <w:basedOn w:val="Normal"/>
    <w:next w:val="Normal"/>
    <w:pPr>
      <w:spacing w:line="480" w:lineRule="auto"/>
    </w:pPr>
  </w:style>
  <w:style w:type="paragraph" w:customStyle="1" w:styleId="VDTableTitle">
    <w:name w:val="VD_Table_Title"/>
    <w:basedOn w:val="Normal"/>
    <w:next w:val="Normal"/>
    <w:pPr>
      <w:spacing w:line="480" w:lineRule="auto"/>
    </w:pPr>
  </w:style>
  <w:style w:type="paragraph" w:customStyle="1" w:styleId="VAFigureCaption">
    <w:name w:val="VA_Figure_Caption"/>
    <w:basedOn w:val="Normal"/>
    <w:next w:val="Normal"/>
    <w:pPr>
      <w:spacing w:line="480" w:lineRule="auto"/>
    </w:pPr>
  </w:style>
  <w:style w:type="paragraph" w:customStyle="1" w:styleId="VBChartTitle">
    <w:name w:val="VB_Chart_Title"/>
    <w:basedOn w:val="Normal"/>
    <w:next w:val="Normal"/>
    <w:pPr>
      <w:spacing w:line="480" w:lineRule="auto"/>
    </w:pPr>
  </w:style>
  <w:style w:type="paragraph" w:customStyle="1" w:styleId="FETableFootnote">
    <w:name w:val="FE_Table_Footnote"/>
    <w:basedOn w:val="Normal"/>
    <w:next w:val="Normal"/>
    <w:pPr>
      <w:ind w:firstLine="187"/>
    </w:pPr>
  </w:style>
  <w:style w:type="paragraph" w:customStyle="1" w:styleId="FCChartFootnote">
    <w:name w:val="FC_Chart_Footnote"/>
    <w:basedOn w:val="Normal"/>
    <w:next w:val="Normal"/>
    <w:pPr>
      <w:ind w:firstLine="187"/>
    </w:pPr>
  </w:style>
  <w:style w:type="paragraph" w:customStyle="1" w:styleId="FDSchemeFootnote">
    <w:name w:val="FD_Scheme_Footnote"/>
    <w:basedOn w:val="Normal"/>
    <w:next w:val="Normal"/>
    <w:pPr>
      <w:ind w:firstLine="187"/>
    </w:pPr>
  </w:style>
  <w:style w:type="paragraph" w:customStyle="1" w:styleId="TCTableBody">
    <w:name w:val="TC_Table_Body"/>
    <w:basedOn w:val="Normal"/>
  </w:style>
  <w:style w:type="paragraph" w:customStyle="1" w:styleId="AFTitleRunningHead">
    <w:name w:val="AF_Title_Running_Head"/>
    <w:basedOn w:val="Normal"/>
    <w:next w:val="TAMainText"/>
    <w:pPr>
      <w:spacing w:line="480" w:lineRule="auto"/>
    </w:pPr>
  </w:style>
  <w:style w:type="paragraph" w:customStyle="1" w:styleId="BEAuthorBiography">
    <w:name w:val="BE_Author_Biography"/>
    <w:basedOn w:val="Normal"/>
    <w:pPr>
      <w:spacing w:line="480" w:lineRule="auto"/>
    </w:pPr>
  </w:style>
  <w:style w:type="paragraph" w:customStyle="1" w:styleId="FACorrespondingAuthorFootnote">
    <w:name w:val="FA_Corresponding_Author_Footnote"/>
    <w:basedOn w:val="Normal"/>
    <w:next w:val="TAMainText"/>
    <w:pPr>
      <w:spacing w:line="480" w:lineRule="auto"/>
    </w:pPr>
  </w:style>
  <w:style w:type="paragraph" w:customStyle="1" w:styleId="SNSynopsisTOC">
    <w:name w:val="SN_Synopsis_TOC"/>
    <w:basedOn w:val="Normal"/>
    <w:pPr>
      <w:spacing w:line="480" w:lineRule="auto"/>
    </w:pPr>
  </w:style>
  <w:style w:type="character" w:styleId="Kpr">
    <w:name w:val="Hyperlink"/>
    <w:rPr>
      <w:color w:val="0000FF"/>
      <w:u w:val="single"/>
    </w:rPr>
  </w:style>
  <w:style w:type="paragraph" w:styleId="AltBilgi">
    <w:name w:val="footer"/>
    <w:basedOn w:val="Normal"/>
    <w:pPr>
      <w:tabs>
        <w:tab w:val="center" w:pos="4320"/>
        <w:tab w:val="right" w:pos="8640"/>
      </w:tabs>
    </w:pPr>
  </w:style>
  <w:style w:type="paragraph" w:customStyle="1" w:styleId="BGKeywords">
    <w:name w:val="BG_Keywords"/>
    <w:basedOn w:val="Normal"/>
    <w:pPr>
      <w:spacing w:line="480" w:lineRule="auto"/>
    </w:pPr>
  </w:style>
  <w:style w:type="paragraph" w:customStyle="1" w:styleId="BHBriefs">
    <w:name w:val="BH_Briefs"/>
    <w:basedOn w:val="Normal"/>
    <w:pPr>
      <w:spacing w:line="480" w:lineRule="auto"/>
    </w:pPr>
  </w:style>
  <w:style w:type="character" w:styleId="SayfaNumaras">
    <w:name w:val="page number"/>
    <w:basedOn w:val="VarsaylanParagrafYazTipi"/>
  </w:style>
  <w:style w:type="paragraph" w:styleId="BalonMetni">
    <w:name w:val="Balloon Text"/>
    <w:basedOn w:val="Normal"/>
    <w:semiHidden/>
    <w:rsid w:val="00E96302"/>
    <w:rPr>
      <w:rFonts w:ascii="Tahoma" w:hAnsi="Tahoma" w:cs="Tahoma"/>
      <w:sz w:val="16"/>
      <w:szCs w:val="16"/>
    </w:rPr>
  </w:style>
  <w:style w:type="paragraph" w:customStyle="1" w:styleId="StyleFACorrespondingAuthorFootnote7pt">
    <w:name w:val="Style FA_Corresponding_Author_Footnote + 7 pt"/>
    <w:basedOn w:val="Normal"/>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Normal"/>
    <w:link w:val="FAAuthorInfoSubtitleChar"/>
    <w:autoRedefine/>
    <w:rsid w:val="00DD6DBB"/>
    <w:pPr>
      <w:spacing w:before="120" w:after="60" w:line="480" w:lineRule="auto"/>
      <w:jc w:val="left"/>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character" w:customStyle="1" w:styleId="Balk1Char">
    <w:name w:val="Başlık 1 Char"/>
    <w:basedOn w:val="VarsaylanParagrafYazTipi"/>
    <w:link w:val="Balk1"/>
    <w:rsid w:val="00C02E74"/>
    <w:rPr>
      <w:rFonts w:asciiTheme="majorHAnsi" w:eastAsiaTheme="majorEastAsia" w:hAnsiTheme="majorHAnsi" w:cstheme="majorBidi"/>
      <w:color w:val="365F91" w:themeColor="accent1" w:themeShade="BF"/>
      <w:sz w:val="32"/>
      <w:szCs w:val="32"/>
    </w:rPr>
  </w:style>
  <w:style w:type="paragraph" w:styleId="ResimYazs">
    <w:name w:val="caption"/>
    <w:basedOn w:val="VAFigureCaption"/>
    <w:next w:val="Normal"/>
    <w:uiPriority w:val="35"/>
    <w:unhideWhenUsed/>
    <w:qFormat/>
    <w:rsid w:val="001D540A"/>
    <w:rPr>
      <w:i/>
      <w:iCs/>
      <w:color w:val="1F497D" w:themeColor="text2"/>
      <w:sz w:val="18"/>
      <w:szCs w:val="18"/>
    </w:rPr>
  </w:style>
  <w:style w:type="paragraph" w:styleId="NormalWeb">
    <w:name w:val="Normal (Web)"/>
    <w:basedOn w:val="Normal"/>
    <w:uiPriority w:val="99"/>
    <w:semiHidden/>
    <w:unhideWhenUsed/>
    <w:rsid w:val="003C61E9"/>
    <w:pPr>
      <w:spacing w:before="100" w:beforeAutospacing="1" w:after="100" w:afterAutospacing="1"/>
      <w:jc w:val="left"/>
    </w:pPr>
    <w:rPr>
      <w:rFonts w:ascii="Times New Roman" w:hAnsi="Times New Roman"/>
      <w:szCs w:val="24"/>
      <w:lang w:val="tr-TR" w:eastAsia="tr-TR"/>
    </w:rPr>
  </w:style>
  <w:style w:type="table" w:styleId="TabloKlavuzu">
    <w:name w:val="Table Grid"/>
    <w:basedOn w:val="NormalTablo"/>
    <w:uiPriority w:val="39"/>
    <w:rsid w:val="00EF0E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link w:val="AralkYokChar"/>
    <w:uiPriority w:val="1"/>
    <w:qFormat/>
    <w:rsid w:val="0058154B"/>
    <w:pPr>
      <w:jc w:val="both"/>
    </w:pPr>
    <w:rPr>
      <w:rFonts w:ascii="Times" w:hAnsi="Times"/>
      <w:sz w:val="24"/>
    </w:rPr>
  </w:style>
  <w:style w:type="character" w:customStyle="1" w:styleId="AralkYokChar">
    <w:name w:val="Aralık Yok Char"/>
    <w:basedOn w:val="VarsaylanParagrafYazTipi"/>
    <w:link w:val="AralkYok"/>
    <w:uiPriority w:val="1"/>
    <w:rsid w:val="00BD44CA"/>
    <w:rPr>
      <w:rFonts w:ascii="Times" w:hAnsi="Times"/>
      <w:sz w:val="24"/>
    </w:rPr>
  </w:style>
  <w:style w:type="paragraph" w:styleId="stBilgi">
    <w:name w:val="header"/>
    <w:basedOn w:val="Normal"/>
    <w:link w:val="stBilgiChar"/>
    <w:unhideWhenUsed/>
    <w:rsid w:val="0071576C"/>
    <w:pPr>
      <w:tabs>
        <w:tab w:val="center" w:pos="4536"/>
        <w:tab w:val="right" w:pos="9072"/>
      </w:tabs>
      <w:spacing w:after="0"/>
    </w:pPr>
  </w:style>
  <w:style w:type="character" w:customStyle="1" w:styleId="stBilgiChar">
    <w:name w:val="Üst Bilgi Char"/>
    <w:basedOn w:val="VarsaylanParagrafYazTipi"/>
    <w:link w:val="stBilgi"/>
    <w:rsid w:val="0071576C"/>
    <w:rPr>
      <w:rFonts w:ascii="Times" w:hAnsi="Times"/>
      <w:sz w:val="24"/>
    </w:rPr>
  </w:style>
  <w:style w:type="character" w:styleId="SatrNumaras">
    <w:name w:val="line number"/>
    <w:basedOn w:val="VarsaylanParagrafYazTipi"/>
    <w:semiHidden/>
    <w:unhideWhenUsed/>
    <w:rsid w:val="00855E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3785735">
      <w:bodyDiv w:val="1"/>
      <w:marLeft w:val="0"/>
      <w:marRight w:val="0"/>
      <w:marTop w:val="0"/>
      <w:marBottom w:val="0"/>
      <w:divBdr>
        <w:top w:val="none" w:sz="0" w:space="0" w:color="auto"/>
        <w:left w:val="none" w:sz="0" w:space="0" w:color="auto"/>
        <w:bottom w:val="none" w:sz="0" w:space="0" w:color="auto"/>
        <w:right w:val="none" w:sz="0" w:space="0" w:color="auto"/>
      </w:divBdr>
    </w:div>
    <w:div w:id="567305281">
      <w:bodyDiv w:val="1"/>
      <w:marLeft w:val="0"/>
      <w:marRight w:val="0"/>
      <w:marTop w:val="0"/>
      <w:marBottom w:val="0"/>
      <w:divBdr>
        <w:top w:val="none" w:sz="0" w:space="0" w:color="auto"/>
        <w:left w:val="none" w:sz="0" w:space="0" w:color="auto"/>
        <w:bottom w:val="none" w:sz="0" w:space="0" w:color="auto"/>
        <w:right w:val="none" w:sz="0" w:space="0" w:color="auto"/>
      </w:divBdr>
    </w:div>
    <w:div w:id="577830997">
      <w:bodyDiv w:val="1"/>
      <w:marLeft w:val="0"/>
      <w:marRight w:val="0"/>
      <w:marTop w:val="0"/>
      <w:marBottom w:val="0"/>
      <w:divBdr>
        <w:top w:val="none" w:sz="0" w:space="0" w:color="auto"/>
        <w:left w:val="none" w:sz="0" w:space="0" w:color="auto"/>
        <w:bottom w:val="none" w:sz="0" w:space="0" w:color="auto"/>
        <w:right w:val="none" w:sz="0" w:space="0" w:color="auto"/>
      </w:divBdr>
    </w:div>
    <w:div w:id="990715429">
      <w:bodyDiv w:val="1"/>
      <w:marLeft w:val="0"/>
      <w:marRight w:val="0"/>
      <w:marTop w:val="0"/>
      <w:marBottom w:val="0"/>
      <w:divBdr>
        <w:top w:val="none" w:sz="0" w:space="0" w:color="auto"/>
        <w:left w:val="none" w:sz="0" w:space="0" w:color="auto"/>
        <w:bottom w:val="none" w:sz="0" w:space="0" w:color="auto"/>
        <w:right w:val="none" w:sz="0" w:space="0" w:color="auto"/>
      </w:divBdr>
    </w:div>
    <w:div w:id="1195650340">
      <w:bodyDiv w:val="1"/>
      <w:marLeft w:val="0"/>
      <w:marRight w:val="0"/>
      <w:marTop w:val="0"/>
      <w:marBottom w:val="0"/>
      <w:divBdr>
        <w:top w:val="none" w:sz="0" w:space="0" w:color="auto"/>
        <w:left w:val="none" w:sz="0" w:space="0" w:color="auto"/>
        <w:bottom w:val="none" w:sz="0" w:space="0" w:color="auto"/>
        <w:right w:val="none" w:sz="0" w:space="0" w:color="auto"/>
      </w:divBdr>
    </w:div>
    <w:div w:id="1329670817">
      <w:bodyDiv w:val="1"/>
      <w:marLeft w:val="0"/>
      <w:marRight w:val="0"/>
      <w:marTop w:val="0"/>
      <w:marBottom w:val="0"/>
      <w:divBdr>
        <w:top w:val="none" w:sz="0" w:space="0" w:color="auto"/>
        <w:left w:val="none" w:sz="0" w:space="0" w:color="auto"/>
        <w:bottom w:val="none" w:sz="0" w:space="0" w:color="auto"/>
        <w:right w:val="none" w:sz="0" w:space="0" w:color="auto"/>
      </w:divBdr>
    </w:div>
    <w:div w:id="1845975765">
      <w:bodyDiv w:val="1"/>
      <w:marLeft w:val="0"/>
      <w:marRight w:val="0"/>
      <w:marTop w:val="0"/>
      <w:marBottom w:val="0"/>
      <w:divBdr>
        <w:top w:val="none" w:sz="0" w:space="0" w:color="auto"/>
        <w:left w:val="none" w:sz="0" w:space="0" w:color="auto"/>
        <w:bottom w:val="none" w:sz="0" w:space="0" w:color="auto"/>
        <w:right w:val="none" w:sz="0" w:space="0" w:color="auto"/>
      </w:divBdr>
    </w:div>
    <w:div w:id="1885629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1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urank\Downloads\acstemplate_msw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39EF68-CA33-44CB-8346-6C5EA9144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acstemplate_msw2010.dotx</Template>
  <TotalTime>0</TotalTime>
  <Pages>17</Pages>
  <Words>1370</Words>
  <Characters>31428</Characters>
  <Application>Microsoft Office Word</Application>
  <DocSecurity>0</DocSecurity>
  <Lines>261</Lines>
  <Paragraphs>65</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Template for Electronic Submission to ACS Journals</vt:lpstr>
      <vt:lpstr>Template for Electronic Submission to ACS Journals</vt:lpstr>
    </vt:vector>
  </TitlesOfParts>
  <Company>ACS</Company>
  <LinksUpToDate>false</LinksUpToDate>
  <CharactersWithSpaces>32733</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Durank</dc:creator>
  <cp:keywords/>
  <cp:lastModifiedBy>Bil</cp:lastModifiedBy>
  <cp:revision>2</cp:revision>
  <cp:lastPrinted>2008-06-11T21:33:00Z</cp:lastPrinted>
  <dcterms:created xsi:type="dcterms:W3CDTF">2021-10-06T06:52:00Z</dcterms:created>
  <dcterms:modified xsi:type="dcterms:W3CDTF">2021-10-06T06:52:00Z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ba8965b4-8096-3fe0-a2c0-1ba67450fcb2</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