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4D420" w14:textId="67C9A2C4" w:rsidR="004A351F" w:rsidRPr="006B4889" w:rsidRDefault="004A351F" w:rsidP="004E455F">
      <w:pPr>
        <w:spacing w:line="360" w:lineRule="auto"/>
        <w:jc w:val="left"/>
        <w:rPr>
          <w:b/>
          <w:sz w:val="28"/>
          <w:szCs w:val="32"/>
        </w:rPr>
      </w:pPr>
      <w:r w:rsidRPr="004A351F">
        <w:rPr>
          <w:b/>
          <w:sz w:val="28"/>
          <w:szCs w:val="32"/>
        </w:rPr>
        <w:t>Supplemental Material</w:t>
      </w:r>
    </w:p>
    <w:p w14:paraId="6E4F0041" w14:textId="3DDBC66F" w:rsidR="004A351F" w:rsidRDefault="004E455F" w:rsidP="004E455F">
      <w:pPr>
        <w:spacing w:line="360" w:lineRule="auto"/>
        <w:jc w:val="left"/>
        <w:rPr>
          <w:b/>
          <w:i/>
          <w:iCs/>
          <w:sz w:val="24"/>
          <w:szCs w:val="28"/>
        </w:rPr>
      </w:pPr>
      <w:r w:rsidRPr="004E455F">
        <w:rPr>
          <w:b/>
          <w:i/>
          <w:iCs/>
          <w:sz w:val="24"/>
          <w:szCs w:val="28"/>
        </w:rPr>
        <w:t>M</w:t>
      </w:r>
      <w:r w:rsidRPr="004E455F">
        <w:rPr>
          <w:rFonts w:hint="eastAsia"/>
          <w:b/>
          <w:i/>
          <w:iCs/>
          <w:sz w:val="24"/>
          <w:szCs w:val="28"/>
        </w:rPr>
        <w:t>ethod</w:t>
      </w:r>
      <w:r w:rsidRPr="004E455F">
        <w:rPr>
          <w:b/>
          <w:i/>
          <w:iCs/>
          <w:sz w:val="24"/>
          <w:szCs w:val="28"/>
        </w:rPr>
        <w:t>s</w:t>
      </w:r>
    </w:p>
    <w:p w14:paraId="427FB3BE" w14:textId="09587808" w:rsidR="001F655A" w:rsidRPr="001F655A" w:rsidRDefault="00682C79" w:rsidP="00385A97">
      <w:pPr>
        <w:spacing w:line="360" w:lineRule="auto"/>
        <w:ind w:firstLine="420"/>
        <w:rPr>
          <w:bCs/>
          <w:sz w:val="24"/>
          <w:szCs w:val="28"/>
        </w:rPr>
      </w:pPr>
      <w:r w:rsidRPr="00397143">
        <w:rPr>
          <w:b/>
          <w:i/>
          <w:iCs/>
          <w:sz w:val="24"/>
          <w:szCs w:val="28"/>
        </w:rPr>
        <w:t>Motion Correction</w:t>
      </w:r>
      <w:r>
        <w:rPr>
          <w:bCs/>
          <w:sz w:val="24"/>
          <w:szCs w:val="28"/>
        </w:rPr>
        <w:t xml:space="preserve">. </w:t>
      </w:r>
      <w:r w:rsidRPr="00682C79">
        <w:rPr>
          <w:bCs/>
          <w:sz w:val="24"/>
          <w:szCs w:val="28"/>
        </w:rPr>
        <w:t>The individual T1-MRI sequence was regarded as the reference volume and all subsequent scans were rigidly co-registered to native space (SPM 12, Wellcome Trust Center for Neuroimaging, UCL). All dynamic PET images were corrected for motion by rigid co-registration between each frame with the individual T1-MRI image. Within the spatial correspondence of MR sequence and PET frames, TOF-MRA to native space was performed using translation (3 parameter) followed by a rigid registration (6 parameter), and the same matrices were applied to the targeted ICA mask. The co-registration between PET frames and FLAIR images\ infarction volume was achieved by same steps. All co-registration were visually confirmed using ITK-SNAP version 3.8.</w:t>
      </w:r>
    </w:p>
    <w:p w14:paraId="381F4B67" w14:textId="0F498344" w:rsidR="001F655A" w:rsidRDefault="00385A97" w:rsidP="001F655A">
      <w:pPr>
        <w:widowControl/>
        <w:spacing w:line="360" w:lineRule="auto"/>
        <w:ind w:firstLine="420"/>
        <w:rPr>
          <w:rFonts w:cstheme="majorBidi"/>
          <w:bCs/>
          <w:sz w:val="24"/>
          <w:szCs w:val="40"/>
        </w:rPr>
      </w:pPr>
      <w:r w:rsidRPr="00397143">
        <w:rPr>
          <w:rFonts w:cstheme="majorBidi"/>
          <w:b/>
          <w:i/>
          <w:iCs/>
          <w:sz w:val="24"/>
          <w:szCs w:val="40"/>
        </w:rPr>
        <w:t>PVE</w:t>
      </w:r>
      <w:r>
        <w:rPr>
          <w:rFonts w:cstheme="majorBidi"/>
          <w:bCs/>
          <w:sz w:val="24"/>
          <w:szCs w:val="40"/>
        </w:rPr>
        <w:t xml:space="preserve">. </w:t>
      </w:r>
      <w:r w:rsidR="001F655A" w:rsidRPr="001F655A">
        <w:rPr>
          <w:rFonts w:cstheme="majorBidi"/>
          <w:bCs/>
          <w:sz w:val="24"/>
          <w:szCs w:val="40"/>
        </w:rPr>
        <w:t xml:space="preserve">A modified Mueller-Gaertner method was employed for partial volume effect (PVE) correction </w:t>
      </w:r>
      <w:r w:rsidR="001F655A" w:rsidRPr="001F655A">
        <w:rPr>
          <w:rFonts w:cstheme="majorBidi"/>
          <w:bCs/>
          <w:sz w:val="24"/>
          <w:szCs w:val="40"/>
        </w:rPr>
        <w:fldChar w:fldCharType="begin">
          <w:fldData xml:space="preserve">PEVuZE5vdGU+PENpdGU+PEF1dGhvcj5Nw7xsbGVyLUfDpHJ0bmVyPC9BdXRob3I+PFllYXI+MTk5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</w:fldData>
        </w:fldChar>
      </w:r>
      <w:r>
        <w:rPr>
          <w:rFonts w:cstheme="majorBidi"/>
          <w:bCs/>
          <w:sz w:val="24"/>
          <w:szCs w:val="40"/>
        </w:rPr>
        <w:instrText xml:space="preserve"> ADDIN EN.CITE </w:instrText>
      </w:r>
      <w:r>
        <w:rPr>
          <w:rFonts w:cstheme="majorBidi"/>
          <w:bCs/>
          <w:sz w:val="24"/>
          <w:szCs w:val="40"/>
        </w:rPr>
        <w:fldChar w:fldCharType="begin">
          <w:fldData xml:space="preserve">PEVuZE5vdGU+PENpdGU+PEF1dGhvcj5Nw7xsbGVyLUfDpHJ0bmVyPC9BdXRob3I+PFllYXI+MTk5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</w:fldData>
        </w:fldChar>
      </w:r>
      <w:r>
        <w:rPr>
          <w:rFonts w:cstheme="majorBidi"/>
          <w:bCs/>
          <w:sz w:val="24"/>
          <w:szCs w:val="40"/>
        </w:rPr>
        <w:instrText xml:space="preserve"> ADDIN EN.CITE.DATA </w:instrText>
      </w:r>
      <w:r>
        <w:rPr>
          <w:rFonts w:cstheme="majorBidi"/>
          <w:bCs/>
          <w:sz w:val="24"/>
          <w:szCs w:val="40"/>
        </w:rPr>
      </w:r>
      <w:r>
        <w:rPr>
          <w:rFonts w:cstheme="majorBidi"/>
          <w:bCs/>
          <w:sz w:val="24"/>
          <w:szCs w:val="40"/>
        </w:rPr>
        <w:fldChar w:fldCharType="end"/>
      </w:r>
      <w:r w:rsidR="001F655A" w:rsidRPr="001F655A">
        <w:rPr>
          <w:rFonts w:cstheme="majorBidi"/>
          <w:bCs/>
          <w:sz w:val="24"/>
          <w:szCs w:val="40"/>
        </w:rPr>
      </w:r>
      <w:r w:rsidR="001F655A" w:rsidRPr="001F655A">
        <w:rPr>
          <w:rFonts w:cstheme="majorBidi"/>
          <w:bCs/>
          <w:sz w:val="24"/>
          <w:szCs w:val="40"/>
        </w:rPr>
        <w:fldChar w:fldCharType="separate"/>
      </w:r>
      <w:r>
        <w:rPr>
          <w:rFonts w:cstheme="majorBidi"/>
          <w:bCs/>
          <w:noProof/>
          <w:sz w:val="24"/>
          <w:szCs w:val="40"/>
        </w:rPr>
        <w:t>(</w:t>
      </w:r>
      <w:r w:rsidRPr="00385A97">
        <w:rPr>
          <w:rFonts w:cstheme="majorBidi"/>
          <w:bCs/>
          <w:i/>
          <w:noProof/>
          <w:sz w:val="24"/>
          <w:szCs w:val="40"/>
        </w:rPr>
        <w:t>1,2</w:t>
      </w:r>
      <w:r>
        <w:rPr>
          <w:rFonts w:cstheme="majorBidi"/>
          <w:bCs/>
          <w:noProof/>
          <w:sz w:val="24"/>
          <w:szCs w:val="40"/>
        </w:rPr>
        <w:t>)</w:t>
      </w:r>
      <w:r w:rsidR="001F655A" w:rsidRPr="001F655A">
        <w:rPr>
          <w:rFonts w:cstheme="majorBidi"/>
          <w:bCs/>
          <w:sz w:val="24"/>
          <w:szCs w:val="40"/>
        </w:rPr>
        <w:fldChar w:fldCharType="end"/>
      </w:r>
      <w:r w:rsidR="001F655A" w:rsidRPr="001F655A">
        <w:rPr>
          <w:rFonts w:cstheme="majorBidi"/>
          <w:bCs/>
          <w:sz w:val="24"/>
          <w:szCs w:val="40"/>
        </w:rPr>
        <w:t>. The tracer concentration of background potentially spilled over into the ICV mask (spill-out correction) at the initial time points, and a strong radial tracer concentration gradient was determined toward the brain (spill-in correction) at the late time points. The accurate</w:t>
      </w:r>
      <w:r w:rsidR="001F655A" w:rsidRPr="001F655A">
        <w:rPr>
          <w:rFonts w:cstheme="majorBidi"/>
          <w:bCs/>
          <w:szCs w:val="32"/>
        </w:rPr>
        <w:t xml:space="preserve"> </w:t>
      </w:r>
      <w:r w:rsidR="001F655A" w:rsidRPr="001F655A">
        <w:rPr>
          <w:rFonts w:cstheme="majorBidi"/>
          <w:bCs/>
          <w:sz w:val="24"/>
          <w:szCs w:val="40"/>
        </w:rPr>
        <w:t xml:space="preserve">tracer concentration estimation of the targeted ICV mask entails the account the radial, circumferential, and temporal variabilities of the background activity surrounding the ICV mask. A 3D isotropic Gaussian function with 3 mm full width at half maximum (FWHM) was used to represent the PET/MR scanner’s point spread function. The detailed PVE correction producers were described previously </w:t>
      </w:r>
      <w:r w:rsidR="001F655A" w:rsidRPr="001F655A">
        <w:rPr>
          <w:rFonts w:cstheme="majorBidi"/>
          <w:bCs/>
          <w:sz w:val="24"/>
          <w:szCs w:val="40"/>
        </w:rPr>
        <w:fldChar w:fldCharType="begin">
          <w:fldData xml:space="preserve">PEVuZE5vdGU+PENpdGU+PEF1dGhvcj5TdW5kYXI8L0F1dGhvcj48WWVhcj4yMDE5PC9ZZWFyPjxS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</w:fldData>
        </w:fldChar>
      </w:r>
      <w:r>
        <w:rPr>
          <w:rFonts w:cstheme="majorBidi"/>
          <w:bCs/>
          <w:sz w:val="24"/>
          <w:szCs w:val="40"/>
        </w:rPr>
        <w:instrText xml:space="preserve"> ADDIN EN.CITE </w:instrText>
      </w:r>
      <w:r>
        <w:rPr>
          <w:rFonts w:cstheme="majorBidi"/>
          <w:bCs/>
          <w:sz w:val="24"/>
          <w:szCs w:val="40"/>
        </w:rPr>
        <w:fldChar w:fldCharType="begin">
          <w:fldData xml:space="preserve">PEVuZE5vdGU+PENpdGU+PEF1dGhvcj5TdW5kYXI8L0F1dGhvcj48WWVhcj4yMDE5PC9ZZWFyPjxS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</w:fldData>
        </w:fldChar>
      </w:r>
      <w:r>
        <w:rPr>
          <w:rFonts w:cstheme="majorBidi"/>
          <w:bCs/>
          <w:sz w:val="24"/>
          <w:szCs w:val="40"/>
        </w:rPr>
        <w:instrText xml:space="preserve"> ADDIN EN.CITE.DATA </w:instrText>
      </w:r>
      <w:r>
        <w:rPr>
          <w:rFonts w:cstheme="majorBidi"/>
          <w:bCs/>
          <w:sz w:val="24"/>
          <w:szCs w:val="40"/>
        </w:rPr>
      </w:r>
      <w:r>
        <w:rPr>
          <w:rFonts w:cstheme="majorBidi"/>
          <w:bCs/>
          <w:sz w:val="24"/>
          <w:szCs w:val="40"/>
        </w:rPr>
        <w:fldChar w:fldCharType="end"/>
      </w:r>
      <w:r w:rsidR="001F655A" w:rsidRPr="001F655A">
        <w:rPr>
          <w:rFonts w:cstheme="majorBidi"/>
          <w:bCs/>
          <w:sz w:val="24"/>
          <w:szCs w:val="40"/>
        </w:rPr>
      </w:r>
      <w:r w:rsidR="001F655A" w:rsidRPr="001F655A">
        <w:rPr>
          <w:rFonts w:cstheme="majorBidi"/>
          <w:bCs/>
          <w:sz w:val="24"/>
          <w:szCs w:val="40"/>
        </w:rPr>
        <w:fldChar w:fldCharType="separate"/>
      </w:r>
      <w:r>
        <w:rPr>
          <w:rFonts w:cstheme="majorBidi"/>
          <w:bCs/>
          <w:noProof/>
          <w:sz w:val="24"/>
          <w:szCs w:val="40"/>
        </w:rPr>
        <w:t>(</w:t>
      </w:r>
      <w:r w:rsidRPr="00385A97">
        <w:rPr>
          <w:rFonts w:cstheme="majorBidi"/>
          <w:bCs/>
          <w:i/>
          <w:noProof/>
          <w:sz w:val="24"/>
          <w:szCs w:val="40"/>
        </w:rPr>
        <w:t>2,3</w:t>
      </w:r>
      <w:r>
        <w:rPr>
          <w:rFonts w:cstheme="majorBidi"/>
          <w:bCs/>
          <w:noProof/>
          <w:sz w:val="24"/>
          <w:szCs w:val="40"/>
        </w:rPr>
        <w:t>)</w:t>
      </w:r>
      <w:r w:rsidR="001F655A" w:rsidRPr="001F655A">
        <w:rPr>
          <w:rFonts w:cstheme="majorBidi"/>
          <w:bCs/>
          <w:sz w:val="24"/>
          <w:szCs w:val="40"/>
        </w:rPr>
        <w:fldChar w:fldCharType="end"/>
      </w:r>
      <w:r w:rsidR="001F655A" w:rsidRPr="001F655A">
        <w:rPr>
          <w:rFonts w:cstheme="majorBidi"/>
          <w:bCs/>
          <w:sz w:val="24"/>
          <w:szCs w:val="40"/>
        </w:rPr>
        <w:t>.</w:t>
      </w:r>
    </w:p>
    <w:p w14:paraId="23B6F0CB" w14:textId="6A0231E6" w:rsidR="00CD03B6" w:rsidRPr="00CD03B6" w:rsidRDefault="00CD03B6" w:rsidP="00CD03B6">
      <w:pPr>
        <w:widowControl/>
        <w:spacing w:line="360" w:lineRule="auto"/>
        <w:ind w:firstLine="420"/>
        <w:rPr>
          <w:rFonts w:cstheme="majorBidi"/>
          <w:bCs/>
          <w:sz w:val="24"/>
          <w:szCs w:val="40"/>
        </w:rPr>
      </w:pPr>
      <w:r w:rsidRPr="00CD03B6">
        <w:rPr>
          <w:rFonts w:cstheme="majorBidi"/>
          <w:b/>
          <w:i/>
          <w:iCs/>
          <w:sz w:val="24"/>
          <w:szCs w:val="40"/>
        </w:rPr>
        <w:t>CMRGlc calculation</w:t>
      </w:r>
      <w:r>
        <w:rPr>
          <w:rFonts w:cstheme="majorBidi"/>
          <w:bCs/>
          <w:sz w:val="24"/>
          <w:szCs w:val="40"/>
        </w:rPr>
        <w:t>.</w:t>
      </w:r>
      <w:r>
        <w:rPr>
          <w:rFonts w:cstheme="majorBidi" w:hint="eastAsia"/>
          <w:bCs/>
          <w:sz w:val="24"/>
          <w:szCs w:val="40"/>
        </w:rPr>
        <w:t xml:space="preserve"> </w:t>
      </w:r>
      <w:r w:rsidRPr="00CD03B6">
        <w:rPr>
          <w:rFonts w:cstheme="majorBidi"/>
          <w:bCs/>
          <w:sz w:val="24"/>
          <w:szCs w:val="40"/>
        </w:rPr>
        <w:t xml:space="preserve">After the motion and PVE corrections, the IDIF was derived and interpolated with a step length of 1. The voxel-wise Patlak graphical analysis was employed to generate the absolute CMRGlc map by the time-activity curve (IDIF) derived from corrected PET frames </w:t>
      </w:r>
      <w:r w:rsidRPr="00CD03B6">
        <w:rPr>
          <w:rFonts w:cstheme="majorBidi"/>
          <w:bCs/>
          <w:sz w:val="24"/>
          <w:szCs w:val="40"/>
        </w:rPr>
        <w:fldChar w:fldCharType="begin"/>
      </w:r>
      <w:r w:rsidR="000C13CD">
        <w:rPr>
          <w:rFonts w:cstheme="majorBidi"/>
          <w:bCs/>
          <w:sz w:val="24"/>
          <w:szCs w:val="40"/>
        </w:rPr>
        <w:instrText xml:space="preserve"> ADDIN EN.CITE &lt;EndNote&gt;&lt;Cite&gt;&lt;Author&gt;Patlak&lt;/Author&gt;&lt;Year&gt;1985&lt;/Year&gt;&lt;RecNum&gt;709&lt;/RecNum&gt;&lt;DisplayText&gt;(&lt;style face="italic"&gt;4&lt;/style&gt;)&lt;/DisplayText&gt;&lt;record&gt;&lt;rec-number&gt;709&lt;/rec-number&gt;&lt;foreign-keys&gt;&lt;key app="EN" db-id="02tz0zz58v9wz4eeefppsps2rreaepwap2ep" timestamp="1623865926" guid="760f119f-724f-49d0-937b-8fdc2a382c1a"&gt;709&lt;/key&gt;&lt;/foreign-keys&gt;&lt;ref-type name="Journal Article"&gt;17&lt;/ref-type&gt;&lt;contributors&gt;&lt;authors&gt;&lt;author&gt;Patlak, C. S.&lt;/author&gt;&lt;author&gt;Blasberg, R. G.&lt;/author&gt;&lt;/authors&gt;&lt;/contributors&gt;&lt;titles&gt;&lt;title&gt;Graphical evaluation of blood-to-brain transfer constants from multiple-time uptake data. Generalizations&lt;/title&gt;&lt;secondary-title&gt;J Cereb Blood Flow Metab&lt;/secondary-title&gt;&lt;/titles&gt;&lt;periodical&gt;&lt;full-title&gt;J Cereb Blood Flow Metab&lt;/full-title&gt;&lt;abbr-1&gt;J. Cereb. Blood Flow Metab.&lt;/abbr-1&gt;&lt;/periodical&gt;&lt;pages&gt;584-90&lt;/pages&gt;&lt;volume&gt;5&lt;/volume&gt;&lt;number&gt;4&lt;/number&gt;&lt;edition&gt;1985/12/01&lt;/edition&gt;&lt;keywords&gt;&lt;keyword&gt;Animals&lt;/keyword&gt;&lt;keyword&gt;*Blood-Brain Barrier&lt;/keyword&gt;&lt;keyword&gt;Brain/*metabolism&lt;/keyword&gt;&lt;keyword&gt;Deoxyglucose/metabolism&lt;/keyword&gt;&lt;keyword&gt;Humans&lt;/keyword&gt;&lt;keyword&gt;Mathematics&lt;/keyword&gt;&lt;keyword&gt;Models, Cardiovascular&lt;/keyword&gt;&lt;/keywords&gt;&lt;dates&gt;&lt;year&gt;1985&lt;/year&gt;&lt;pub-dates&gt;&lt;date&gt;Dec&lt;/date&gt;&lt;/pub-dates&gt;&lt;/dates&gt;&lt;isbn&gt;0271-678X (Print)&amp;#xD;0271-678x&lt;/isbn&gt;&lt;accession-num&gt;4055928&lt;/accession-num&gt;&lt;urls&gt;&lt;/urls&gt;&lt;electronic-resource-num&gt;10.1038/jcbfm.1985.87&lt;/electronic-resource-num&gt;&lt;remote-database-provider&gt;NLM&lt;/remote-database-provider&gt;&lt;language&gt;eng&lt;/language&gt;&lt;/record&gt;&lt;/Cite&gt;&lt;/EndNote&gt;</w:instrText>
      </w:r>
      <w:r w:rsidRPr="00CD03B6">
        <w:rPr>
          <w:rFonts w:cstheme="majorBidi"/>
          <w:bCs/>
          <w:sz w:val="24"/>
          <w:szCs w:val="40"/>
        </w:rPr>
        <w:fldChar w:fldCharType="separate"/>
      </w:r>
      <w:r w:rsidR="000C13CD">
        <w:rPr>
          <w:rFonts w:cstheme="majorBidi"/>
          <w:bCs/>
          <w:noProof/>
          <w:sz w:val="24"/>
          <w:szCs w:val="40"/>
        </w:rPr>
        <w:t>(</w:t>
      </w:r>
      <w:r w:rsidR="000C13CD" w:rsidRPr="000C13CD">
        <w:rPr>
          <w:rFonts w:cstheme="majorBidi"/>
          <w:bCs/>
          <w:i/>
          <w:noProof/>
          <w:sz w:val="24"/>
          <w:szCs w:val="40"/>
        </w:rPr>
        <w:t>4</w:t>
      </w:r>
      <w:r w:rsidR="000C13CD">
        <w:rPr>
          <w:rFonts w:cstheme="majorBidi"/>
          <w:bCs/>
          <w:noProof/>
          <w:sz w:val="24"/>
          <w:szCs w:val="40"/>
        </w:rPr>
        <w:t>)</w:t>
      </w:r>
      <w:r w:rsidRPr="00CD03B6">
        <w:rPr>
          <w:rFonts w:cstheme="majorBidi"/>
          <w:bCs/>
          <w:sz w:val="24"/>
          <w:szCs w:val="40"/>
        </w:rPr>
        <w:fldChar w:fldCharType="end"/>
      </w:r>
      <w:r w:rsidRPr="00CD03B6">
        <w:rPr>
          <w:rFonts w:cstheme="majorBidi"/>
          <w:bCs/>
          <w:sz w:val="24"/>
          <w:szCs w:val="40"/>
        </w:rPr>
        <w:t>. In this analysis, a linear regression function was fitted to the Patlak graphical analysis–transformed data, including data from 25 min after injection until the end of the study (9 time points). The CMRGlc parametric images (umol/100 g/min) was then derived by the slope of the linear regression which multiplied by the individual plasma glucose level (mmol/L) and divided by the lumped constant (0.89, irreversible FDG model)</w:t>
      </w:r>
      <w:r w:rsidRPr="00CD03B6">
        <w:rPr>
          <w:rFonts w:cstheme="majorBidi"/>
          <w:bCs/>
          <w:sz w:val="24"/>
          <w:szCs w:val="40"/>
        </w:rPr>
        <w:fldChar w:fldCharType="begin"/>
      </w:r>
      <w:r w:rsidR="000C13CD">
        <w:rPr>
          <w:rFonts w:cstheme="majorBidi"/>
          <w:bCs/>
          <w:sz w:val="24"/>
          <w:szCs w:val="40"/>
        </w:rPr>
        <w:instrText xml:space="preserve"> ADDIN EN.CITE &lt;EndNote&gt;&lt;Cite&gt;&lt;Author&gt;Graham&lt;/Author&gt;&lt;Year&gt;2002&lt;/Year&gt;&lt;RecNum&gt;710&lt;/RecNum&gt;&lt;DisplayText&gt;(&lt;style face="italic"&gt;5&lt;/style&gt;)&lt;/DisplayText&gt;&lt;record&gt;&lt;rec-number&gt;710&lt;/rec-number&gt;&lt;foreign-keys&gt;&lt;key app="EN" db-id="02tz0zz58v9wz4eeefppsps2rreaepwap2ep" timestamp="1623866006" guid="6e6ddb9f-eafb-4b89-90e8-6f28e69f4d53"&gt;710&lt;/key&gt;&lt;/foreign-keys&gt;&lt;ref-type name="Journal Article"&gt;17&lt;/ref-type&gt;&lt;contributors&gt;&lt;authors&gt;&lt;author&gt;Graham, M. M.&lt;/author&gt;&lt;author&gt;Muzi, M.&lt;/author&gt;&lt;author&gt;Spence, A. M.&lt;/author&gt;&lt;author&gt;O&amp;apos;Sullivan, F.&lt;/author&gt;&lt;author&gt;Lewellen, T. K.&lt;/author&gt;&lt;author&gt;Link, J. M.&lt;/author&gt;&lt;author&gt;Krohn, K. A.&lt;/author&gt;&lt;/authors&gt;&lt;/contributors&gt;&lt;auth-address&gt;Division of Nuclear Medicine, Department of Radiology, University of Iowa, Iowa City, Iowa 52242, USA. michael-m-graham@uiowa.edu&lt;/auth-address&gt;&lt;titles&gt;&lt;title&gt;The FDG lumped constant in normal human brain&lt;/title&gt;&lt;secondary-title&gt;J Nucl Med&lt;/secondary-title&gt;&lt;/titles&gt;&lt;periodical&gt;&lt;full-title&gt;J Nucl Med&lt;/full-title&gt;&lt;/periodical&gt;&lt;pages&gt;1157-66&lt;/pages&gt;&lt;volume&gt;43&lt;/volume&gt;&lt;number&gt;9&lt;/number&gt;&lt;edition&gt;2002/09/07&lt;/edition&gt;&lt;keywords&gt;&lt;keyword&gt;Adult&lt;/keyword&gt;&lt;keyword&gt;Brain/*diagnostic imaging/metabolism&lt;/keyword&gt;&lt;keyword&gt;Carbon Radioisotopes&lt;/keyword&gt;&lt;keyword&gt;Female&lt;/keyword&gt;&lt;keyword&gt;*Fluorodeoxyglucose F18&lt;/keyword&gt;&lt;keyword&gt;Glucose/*metabolism&lt;/keyword&gt;&lt;keyword&gt;Humans&lt;/keyword&gt;&lt;keyword&gt;Image Processing, Computer-Assisted&lt;/keyword&gt;&lt;keyword&gt;Magnetic Resonance Imaging&lt;/keyword&gt;&lt;keyword&gt;Male&lt;/keyword&gt;&lt;keyword&gt;Middle Aged&lt;/keyword&gt;&lt;keyword&gt;Radiopharmaceuticals&lt;/keyword&gt;&lt;keyword&gt;Reference Values&lt;/keyword&gt;&lt;keyword&gt;*Tomography, Emission-Computed&lt;/keyword&gt;&lt;/keywords&gt;&lt;dates&gt;&lt;year&gt;2002&lt;/year&gt;&lt;pub-dates&gt;&lt;date&gt;Sep&lt;/date&gt;&lt;/pub-dates&gt;&lt;/dates&gt;&lt;isbn&gt;0161-5505 (Print)&amp;#xD;0161-5505&lt;/isbn&gt;&lt;accession-num&gt;12215553&lt;/accession-num&gt;&lt;urls&gt;&lt;/urls&gt;&lt;remote-database-provider&gt;NLM&lt;/remote-database-provider&gt;&lt;language&gt;eng&lt;/language&gt;&lt;/record&gt;&lt;/Cite&gt;&lt;/EndNote&gt;</w:instrText>
      </w:r>
      <w:r w:rsidRPr="00CD03B6">
        <w:rPr>
          <w:rFonts w:cstheme="majorBidi"/>
          <w:bCs/>
          <w:sz w:val="24"/>
          <w:szCs w:val="40"/>
        </w:rPr>
        <w:fldChar w:fldCharType="separate"/>
      </w:r>
      <w:r w:rsidR="000C13CD">
        <w:rPr>
          <w:rFonts w:cstheme="majorBidi"/>
          <w:bCs/>
          <w:noProof/>
          <w:sz w:val="24"/>
          <w:szCs w:val="40"/>
        </w:rPr>
        <w:t>(</w:t>
      </w:r>
      <w:r w:rsidR="000C13CD" w:rsidRPr="000C13CD">
        <w:rPr>
          <w:rFonts w:cstheme="majorBidi"/>
          <w:bCs/>
          <w:i/>
          <w:noProof/>
          <w:sz w:val="24"/>
          <w:szCs w:val="40"/>
        </w:rPr>
        <w:t>5</w:t>
      </w:r>
      <w:r w:rsidR="000C13CD">
        <w:rPr>
          <w:rFonts w:cstheme="majorBidi"/>
          <w:bCs/>
          <w:noProof/>
          <w:sz w:val="24"/>
          <w:szCs w:val="40"/>
        </w:rPr>
        <w:t>)</w:t>
      </w:r>
      <w:r w:rsidRPr="00CD03B6">
        <w:rPr>
          <w:rFonts w:cstheme="majorBidi"/>
          <w:bCs/>
          <w:sz w:val="24"/>
          <w:szCs w:val="40"/>
        </w:rPr>
        <w:fldChar w:fldCharType="end"/>
      </w:r>
      <w:r w:rsidRPr="00CD03B6">
        <w:rPr>
          <w:rFonts w:cstheme="majorBidi"/>
          <w:bCs/>
          <w:sz w:val="24"/>
          <w:szCs w:val="40"/>
        </w:rPr>
        <w:t>. All quantification analysis were performed in the MATLAB 2016b platform.</w:t>
      </w:r>
    </w:p>
    <w:p w14:paraId="7167A940" w14:textId="513F7DB2" w:rsidR="001F655A" w:rsidRDefault="004370B1" w:rsidP="00565975">
      <w:pPr>
        <w:widowControl/>
        <w:spacing w:line="360" w:lineRule="auto"/>
        <w:ind w:firstLine="420"/>
        <w:rPr>
          <w:rFonts w:cstheme="majorBidi"/>
          <w:bCs/>
          <w:sz w:val="24"/>
          <w:szCs w:val="40"/>
        </w:rPr>
      </w:pPr>
      <w:r w:rsidRPr="004370B1">
        <w:rPr>
          <w:rFonts w:cstheme="majorBidi" w:hint="eastAsia"/>
          <w:b/>
          <w:i/>
          <w:iCs/>
          <w:sz w:val="24"/>
          <w:szCs w:val="40"/>
        </w:rPr>
        <w:t>S</w:t>
      </w:r>
      <w:r w:rsidRPr="004370B1">
        <w:rPr>
          <w:rFonts w:cstheme="majorBidi"/>
          <w:b/>
          <w:i/>
          <w:iCs/>
          <w:sz w:val="24"/>
          <w:szCs w:val="40"/>
        </w:rPr>
        <w:t>UVR calculation</w:t>
      </w:r>
      <w:r>
        <w:rPr>
          <w:rFonts w:cstheme="majorBidi"/>
          <w:bCs/>
          <w:sz w:val="24"/>
          <w:szCs w:val="40"/>
        </w:rPr>
        <w:t xml:space="preserve">. </w:t>
      </w:r>
      <w:r w:rsidRPr="004370B1">
        <w:rPr>
          <w:rFonts w:cstheme="majorBidi"/>
          <w:bCs/>
          <w:sz w:val="24"/>
          <w:szCs w:val="40"/>
        </w:rPr>
        <w:t xml:space="preserve">For the assessment of the potential of noninvasive quantification modeling, an alternative approach was performed that involved calculating the ratio of the average activity </w:t>
      </w:r>
      <w:r w:rsidRPr="004370B1">
        <w:rPr>
          <w:rFonts w:cstheme="majorBidi"/>
          <w:bCs/>
          <w:sz w:val="24"/>
          <w:szCs w:val="40"/>
        </w:rPr>
        <w:lastRenderedPageBreak/>
        <w:t>concentration in the VOI to that in a reference region. The static PET frame and T1-MRI image were first co-registered with rigid-body intermodal registration. The T1-MRI sequence was segmented into gray matter (GM), white matter (WM), and cerebrospinal fluid (CSF) probability maps. The transformation matrix derived from standard SPM T1-MRI segmentation was used to transfer the whole cerebellum mask from the standard Montreal Neurological Institute (MNI) space to native PET space. The SUVR map was obtained by count normalizing each voxel’s intensity to the mean activity concentration in a reference region (whole cerebellum).</w:t>
      </w:r>
    </w:p>
    <w:p w14:paraId="5096574D" w14:textId="32A0118B" w:rsidR="00565975" w:rsidRPr="00565975" w:rsidRDefault="00565975" w:rsidP="00565975">
      <w:pPr>
        <w:widowControl/>
        <w:spacing w:line="360" w:lineRule="auto"/>
        <w:rPr>
          <w:rFonts w:cstheme="majorBidi"/>
          <w:bCs/>
          <w:sz w:val="24"/>
          <w:szCs w:val="24"/>
        </w:rPr>
      </w:pPr>
    </w:p>
    <w:p w14:paraId="6531C896" w14:textId="01DE967A" w:rsidR="00565975" w:rsidRPr="00565975" w:rsidRDefault="00565975" w:rsidP="00565975">
      <w:pPr>
        <w:widowControl/>
        <w:spacing w:line="360" w:lineRule="auto"/>
        <w:jc w:val="center"/>
        <w:rPr>
          <w:bCs/>
          <w:sz w:val="24"/>
          <w:szCs w:val="24"/>
        </w:rPr>
      </w:pPr>
      <w:r w:rsidRPr="00565975">
        <w:rPr>
          <w:b/>
          <w:sz w:val="24"/>
          <w:szCs w:val="24"/>
        </w:rPr>
        <w:t>Table S1</w:t>
      </w:r>
      <w:r w:rsidRPr="00565975">
        <w:rPr>
          <w:bCs/>
          <w:sz w:val="24"/>
          <w:szCs w:val="24"/>
        </w:rPr>
        <w:t>. The diagnostic performances</w:t>
      </w:r>
      <w:r w:rsidR="00135E90">
        <w:rPr>
          <w:bCs/>
          <w:sz w:val="24"/>
          <w:szCs w:val="24"/>
        </w:rPr>
        <w:t xml:space="preserve"> (area of curve, AUC)</w:t>
      </w:r>
      <w:r w:rsidRPr="00565975">
        <w:rPr>
          <w:bCs/>
          <w:sz w:val="24"/>
          <w:szCs w:val="24"/>
        </w:rPr>
        <w:t xml:space="preserve"> of quantitative values.</w:t>
      </w:r>
    </w:p>
    <w:tbl>
      <w:tblPr>
        <w:tblStyle w:val="a8"/>
        <w:tblW w:w="10317"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157"/>
        <w:gridCol w:w="1715"/>
        <w:gridCol w:w="1715"/>
        <w:gridCol w:w="1150"/>
        <w:gridCol w:w="1715"/>
        <w:gridCol w:w="1715"/>
        <w:gridCol w:w="1150"/>
      </w:tblGrid>
      <w:tr w:rsidR="00565975" w:rsidRPr="00565975" w14:paraId="774456EF" w14:textId="77777777" w:rsidTr="00565975">
        <w:trPr>
          <w:trHeight w:val="142"/>
          <w:jc w:val="center"/>
        </w:trPr>
        <w:tc>
          <w:tcPr>
            <w:tcW w:w="1157" w:type="dxa"/>
            <w:vMerge w:val="restart"/>
            <w:tcBorders>
              <w:top w:val="single" w:sz="8" w:space="0" w:color="auto"/>
            </w:tcBorders>
            <w:vAlign w:val="center"/>
          </w:tcPr>
          <w:p w14:paraId="41E8FE6E" w14:textId="77777777" w:rsidR="00565975" w:rsidRPr="00565975" w:rsidRDefault="00565975" w:rsidP="00565975">
            <w:pPr>
              <w:widowControl/>
              <w:spacing w:line="360" w:lineRule="auto"/>
              <w:jc w:val="center"/>
              <w:rPr>
                <w:sz w:val="24"/>
                <w:szCs w:val="24"/>
              </w:rPr>
            </w:pPr>
          </w:p>
        </w:tc>
        <w:tc>
          <w:tcPr>
            <w:tcW w:w="4580" w:type="dxa"/>
            <w:gridSpan w:val="3"/>
            <w:tcBorders>
              <w:top w:val="single" w:sz="8" w:space="0" w:color="auto"/>
              <w:bottom w:val="single" w:sz="6" w:space="0" w:color="auto"/>
            </w:tcBorders>
            <w:vAlign w:val="center"/>
          </w:tcPr>
          <w:p w14:paraId="227596EF" w14:textId="77777777" w:rsidR="00565975" w:rsidRPr="00565975" w:rsidRDefault="00565975" w:rsidP="00565975">
            <w:pPr>
              <w:widowControl/>
              <w:spacing w:line="360" w:lineRule="auto"/>
              <w:jc w:val="center"/>
              <w:rPr>
                <w:sz w:val="24"/>
                <w:szCs w:val="24"/>
              </w:rPr>
            </w:pPr>
            <w:r w:rsidRPr="00565975">
              <w:rPr>
                <w:rFonts w:hint="eastAsia"/>
                <w:sz w:val="24"/>
                <w:szCs w:val="24"/>
              </w:rPr>
              <w:t>H</w:t>
            </w:r>
            <w:r w:rsidRPr="00565975">
              <w:rPr>
                <w:sz w:val="24"/>
                <w:szCs w:val="24"/>
              </w:rPr>
              <w:t>C-preoperative</w:t>
            </w:r>
          </w:p>
        </w:tc>
        <w:tc>
          <w:tcPr>
            <w:tcW w:w="4580" w:type="dxa"/>
            <w:gridSpan w:val="3"/>
            <w:tcBorders>
              <w:top w:val="single" w:sz="8" w:space="0" w:color="auto"/>
              <w:bottom w:val="single" w:sz="6" w:space="0" w:color="auto"/>
            </w:tcBorders>
            <w:vAlign w:val="center"/>
          </w:tcPr>
          <w:p w14:paraId="142C018E" w14:textId="77777777" w:rsidR="00565975" w:rsidRPr="00565975" w:rsidRDefault="00565975" w:rsidP="00565975">
            <w:pPr>
              <w:widowControl/>
              <w:spacing w:line="360" w:lineRule="auto"/>
              <w:jc w:val="center"/>
              <w:rPr>
                <w:sz w:val="24"/>
                <w:szCs w:val="24"/>
              </w:rPr>
            </w:pPr>
            <w:r w:rsidRPr="00565975">
              <w:rPr>
                <w:rFonts w:hint="eastAsia"/>
                <w:sz w:val="24"/>
                <w:szCs w:val="24"/>
              </w:rPr>
              <w:t>H</w:t>
            </w:r>
            <w:r w:rsidRPr="00565975">
              <w:rPr>
                <w:sz w:val="24"/>
                <w:szCs w:val="24"/>
              </w:rPr>
              <w:t>C-postoperative</w:t>
            </w:r>
          </w:p>
        </w:tc>
      </w:tr>
      <w:tr w:rsidR="00565975" w:rsidRPr="00565975" w14:paraId="42C89E69" w14:textId="77777777" w:rsidTr="00565975">
        <w:trPr>
          <w:trHeight w:val="142"/>
          <w:jc w:val="center"/>
        </w:trPr>
        <w:tc>
          <w:tcPr>
            <w:tcW w:w="1157" w:type="dxa"/>
            <w:vMerge/>
            <w:tcBorders>
              <w:bottom w:val="single" w:sz="6" w:space="0" w:color="auto"/>
            </w:tcBorders>
            <w:vAlign w:val="center"/>
          </w:tcPr>
          <w:p w14:paraId="13C8116D" w14:textId="77777777" w:rsidR="00565975" w:rsidRPr="00565975" w:rsidRDefault="00565975" w:rsidP="00565975">
            <w:pPr>
              <w:widowControl/>
              <w:spacing w:line="360" w:lineRule="auto"/>
              <w:jc w:val="center"/>
              <w:rPr>
                <w:sz w:val="24"/>
                <w:szCs w:val="24"/>
              </w:rPr>
            </w:pPr>
          </w:p>
        </w:tc>
        <w:tc>
          <w:tcPr>
            <w:tcW w:w="1715" w:type="dxa"/>
            <w:tcBorders>
              <w:top w:val="single" w:sz="6" w:space="0" w:color="auto"/>
              <w:bottom w:val="single" w:sz="6" w:space="0" w:color="auto"/>
            </w:tcBorders>
            <w:vAlign w:val="center"/>
          </w:tcPr>
          <w:p w14:paraId="7D514D26" w14:textId="77777777" w:rsidR="00565975" w:rsidRPr="00565975" w:rsidRDefault="00565975" w:rsidP="00565975">
            <w:pPr>
              <w:widowControl/>
              <w:spacing w:line="360" w:lineRule="auto"/>
              <w:jc w:val="center"/>
              <w:rPr>
                <w:sz w:val="24"/>
                <w:szCs w:val="24"/>
              </w:rPr>
            </w:pPr>
            <w:r w:rsidRPr="00565975">
              <w:rPr>
                <w:rFonts w:hint="eastAsia"/>
                <w:sz w:val="24"/>
                <w:szCs w:val="24"/>
              </w:rPr>
              <w:t>C</w:t>
            </w:r>
            <w:r w:rsidRPr="00565975">
              <w:rPr>
                <w:sz w:val="24"/>
                <w:szCs w:val="24"/>
              </w:rPr>
              <w:t>MRGlc</w:t>
            </w:r>
          </w:p>
        </w:tc>
        <w:tc>
          <w:tcPr>
            <w:tcW w:w="1715" w:type="dxa"/>
            <w:tcBorders>
              <w:top w:val="single" w:sz="6" w:space="0" w:color="auto"/>
              <w:bottom w:val="single" w:sz="6" w:space="0" w:color="auto"/>
            </w:tcBorders>
            <w:vAlign w:val="center"/>
          </w:tcPr>
          <w:p w14:paraId="3309A0BE" w14:textId="77777777" w:rsidR="00565975" w:rsidRPr="00565975" w:rsidRDefault="00565975" w:rsidP="00565975">
            <w:pPr>
              <w:widowControl/>
              <w:spacing w:line="360" w:lineRule="auto"/>
              <w:jc w:val="center"/>
              <w:rPr>
                <w:sz w:val="24"/>
                <w:szCs w:val="24"/>
              </w:rPr>
            </w:pPr>
            <w:r w:rsidRPr="00565975">
              <w:rPr>
                <w:rFonts w:hint="eastAsia"/>
                <w:sz w:val="24"/>
                <w:szCs w:val="24"/>
              </w:rPr>
              <w:t>S</w:t>
            </w:r>
            <w:r w:rsidRPr="00565975">
              <w:rPr>
                <w:sz w:val="24"/>
                <w:szCs w:val="24"/>
              </w:rPr>
              <w:t>UVR</w:t>
            </w:r>
          </w:p>
        </w:tc>
        <w:tc>
          <w:tcPr>
            <w:tcW w:w="1150" w:type="dxa"/>
            <w:tcBorders>
              <w:top w:val="single" w:sz="6" w:space="0" w:color="auto"/>
              <w:bottom w:val="single" w:sz="6" w:space="0" w:color="auto"/>
            </w:tcBorders>
            <w:vAlign w:val="center"/>
          </w:tcPr>
          <w:p w14:paraId="13686F45" w14:textId="77777777" w:rsidR="00565975" w:rsidRPr="00565975" w:rsidRDefault="00565975" w:rsidP="00565975">
            <w:pPr>
              <w:widowControl/>
              <w:spacing w:line="360" w:lineRule="auto"/>
              <w:jc w:val="center"/>
              <w:rPr>
                <w:i/>
                <w:iCs/>
                <w:sz w:val="24"/>
                <w:szCs w:val="24"/>
              </w:rPr>
            </w:pPr>
            <w:r w:rsidRPr="00565975">
              <w:rPr>
                <w:rFonts w:hint="eastAsia"/>
                <w:i/>
                <w:iCs/>
                <w:sz w:val="24"/>
                <w:szCs w:val="24"/>
              </w:rPr>
              <w:t>P</w:t>
            </w:r>
          </w:p>
        </w:tc>
        <w:tc>
          <w:tcPr>
            <w:tcW w:w="1715" w:type="dxa"/>
            <w:tcBorders>
              <w:top w:val="single" w:sz="6" w:space="0" w:color="auto"/>
              <w:bottom w:val="single" w:sz="6" w:space="0" w:color="auto"/>
            </w:tcBorders>
            <w:vAlign w:val="center"/>
          </w:tcPr>
          <w:p w14:paraId="2881602B" w14:textId="77777777" w:rsidR="00565975" w:rsidRPr="00565975" w:rsidRDefault="00565975" w:rsidP="00565975">
            <w:pPr>
              <w:widowControl/>
              <w:spacing w:line="360" w:lineRule="auto"/>
              <w:jc w:val="center"/>
              <w:rPr>
                <w:sz w:val="24"/>
                <w:szCs w:val="24"/>
              </w:rPr>
            </w:pPr>
            <w:r w:rsidRPr="00565975">
              <w:rPr>
                <w:rFonts w:hint="eastAsia"/>
                <w:sz w:val="24"/>
                <w:szCs w:val="24"/>
              </w:rPr>
              <w:t>C</w:t>
            </w:r>
            <w:r w:rsidRPr="00565975">
              <w:rPr>
                <w:sz w:val="24"/>
                <w:szCs w:val="24"/>
              </w:rPr>
              <w:t>MRGlc</w:t>
            </w:r>
          </w:p>
        </w:tc>
        <w:tc>
          <w:tcPr>
            <w:tcW w:w="1715" w:type="dxa"/>
            <w:tcBorders>
              <w:top w:val="single" w:sz="6" w:space="0" w:color="auto"/>
              <w:bottom w:val="single" w:sz="6" w:space="0" w:color="auto"/>
            </w:tcBorders>
            <w:vAlign w:val="center"/>
          </w:tcPr>
          <w:p w14:paraId="06530AA5" w14:textId="77777777" w:rsidR="00565975" w:rsidRPr="00565975" w:rsidRDefault="00565975" w:rsidP="00565975">
            <w:pPr>
              <w:widowControl/>
              <w:spacing w:line="360" w:lineRule="auto"/>
              <w:jc w:val="center"/>
              <w:rPr>
                <w:sz w:val="24"/>
                <w:szCs w:val="24"/>
              </w:rPr>
            </w:pPr>
            <w:r w:rsidRPr="00565975">
              <w:rPr>
                <w:rFonts w:hint="eastAsia"/>
                <w:sz w:val="24"/>
                <w:szCs w:val="24"/>
              </w:rPr>
              <w:t>S</w:t>
            </w:r>
            <w:r w:rsidRPr="00565975">
              <w:rPr>
                <w:sz w:val="24"/>
                <w:szCs w:val="24"/>
              </w:rPr>
              <w:t>UVR</w:t>
            </w:r>
          </w:p>
        </w:tc>
        <w:tc>
          <w:tcPr>
            <w:tcW w:w="1150" w:type="dxa"/>
            <w:tcBorders>
              <w:top w:val="single" w:sz="6" w:space="0" w:color="auto"/>
              <w:bottom w:val="single" w:sz="6" w:space="0" w:color="auto"/>
            </w:tcBorders>
            <w:vAlign w:val="center"/>
          </w:tcPr>
          <w:p w14:paraId="3ACC182F" w14:textId="77777777" w:rsidR="00565975" w:rsidRPr="00565975" w:rsidRDefault="00565975" w:rsidP="00565975">
            <w:pPr>
              <w:widowControl/>
              <w:spacing w:line="360" w:lineRule="auto"/>
              <w:jc w:val="center"/>
              <w:rPr>
                <w:i/>
                <w:iCs/>
                <w:sz w:val="24"/>
                <w:szCs w:val="24"/>
              </w:rPr>
            </w:pPr>
            <w:r w:rsidRPr="00565975">
              <w:rPr>
                <w:rFonts w:hint="eastAsia"/>
                <w:i/>
                <w:iCs/>
                <w:sz w:val="24"/>
                <w:szCs w:val="24"/>
              </w:rPr>
              <w:t>P</w:t>
            </w:r>
          </w:p>
        </w:tc>
      </w:tr>
      <w:tr w:rsidR="00565975" w:rsidRPr="00565975" w14:paraId="008327C0" w14:textId="77777777" w:rsidTr="00565975">
        <w:trPr>
          <w:trHeight w:val="137"/>
          <w:jc w:val="center"/>
        </w:trPr>
        <w:tc>
          <w:tcPr>
            <w:tcW w:w="1157" w:type="dxa"/>
            <w:tcBorders>
              <w:top w:val="single" w:sz="6" w:space="0" w:color="auto"/>
            </w:tcBorders>
            <w:vAlign w:val="center"/>
          </w:tcPr>
          <w:p w14:paraId="25720C18" w14:textId="77777777" w:rsidR="00565975" w:rsidRPr="00565975" w:rsidRDefault="00565975" w:rsidP="00565975">
            <w:pPr>
              <w:widowControl/>
              <w:spacing w:line="360" w:lineRule="auto"/>
              <w:rPr>
                <w:sz w:val="24"/>
                <w:szCs w:val="24"/>
              </w:rPr>
            </w:pPr>
            <w:r w:rsidRPr="00565975">
              <w:rPr>
                <w:rFonts w:hint="eastAsia"/>
                <w:sz w:val="24"/>
                <w:szCs w:val="24"/>
              </w:rPr>
              <w:t>M</w:t>
            </w:r>
            <w:r w:rsidRPr="00565975">
              <w:rPr>
                <w:sz w:val="24"/>
                <w:szCs w:val="24"/>
              </w:rPr>
              <w:t>CA</w:t>
            </w:r>
          </w:p>
        </w:tc>
        <w:tc>
          <w:tcPr>
            <w:tcW w:w="1715" w:type="dxa"/>
            <w:tcBorders>
              <w:top w:val="single" w:sz="6" w:space="0" w:color="auto"/>
            </w:tcBorders>
            <w:vAlign w:val="center"/>
          </w:tcPr>
          <w:p w14:paraId="2346C86A"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.966±0.02</w:t>
            </w:r>
          </w:p>
        </w:tc>
        <w:tc>
          <w:tcPr>
            <w:tcW w:w="1715" w:type="dxa"/>
            <w:tcBorders>
              <w:top w:val="single" w:sz="6" w:space="0" w:color="auto"/>
            </w:tcBorders>
            <w:vAlign w:val="center"/>
          </w:tcPr>
          <w:p w14:paraId="6D836039"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.826±0.06</w:t>
            </w:r>
          </w:p>
        </w:tc>
        <w:tc>
          <w:tcPr>
            <w:tcW w:w="1150" w:type="dxa"/>
            <w:tcBorders>
              <w:top w:val="single" w:sz="6" w:space="0" w:color="auto"/>
            </w:tcBorders>
            <w:vAlign w:val="center"/>
          </w:tcPr>
          <w:p w14:paraId="640F631D"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.037</w:t>
            </w:r>
          </w:p>
        </w:tc>
        <w:tc>
          <w:tcPr>
            <w:tcW w:w="1715" w:type="dxa"/>
            <w:tcBorders>
              <w:top w:val="single" w:sz="6" w:space="0" w:color="auto"/>
            </w:tcBorders>
            <w:vAlign w:val="center"/>
          </w:tcPr>
          <w:p w14:paraId="3D5A4BD7"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.911±0.04</w:t>
            </w:r>
          </w:p>
        </w:tc>
        <w:tc>
          <w:tcPr>
            <w:tcW w:w="1715" w:type="dxa"/>
            <w:tcBorders>
              <w:top w:val="single" w:sz="6" w:space="0" w:color="auto"/>
            </w:tcBorders>
            <w:vAlign w:val="center"/>
          </w:tcPr>
          <w:p w14:paraId="4C1C5E0E"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.775±0.07</w:t>
            </w:r>
          </w:p>
        </w:tc>
        <w:tc>
          <w:tcPr>
            <w:tcW w:w="1150" w:type="dxa"/>
            <w:tcBorders>
              <w:top w:val="single" w:sz="6" w:space="0" w:color="auto"/>
            </w:tcBorders>
            <w:vAlign w:val="center"/>
          </w:tcPr>
          <w:p w14:paraId="77512EF3"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.04</w:t>
            </w:r>
          </w:p>
        </w:tc>
      </w:tr>
      <w:tr w:rsidR="00565975" w:rsidRPr="00565975" w14:paraId="213FB798" w14:textId="77777777" w:rsidTr="00565975">
        <w:trPr>
          <w:trHeight w:val="142"/>
          <w:jc w:val="center"/>
        </w:trPr>
        <w:tc>
          <w:tcPr>
            <w:tcW w:w="1157" w:type="dxa"/>
            <w:vAlign w:val="center"/>
          </w:tcPr>
          <w:p w14:paraId="4298B3D0" w14:textId="77777777" w:rsidR="00565975" w:rsidRPr="00565975" w:rsidRDefault="00565975" w:rsidP="00565975">
            <w:pPr>
              <w:widowControl/>
              <w:spacing w:line="360" w:lineRule="auto"/>
              <w:rPr>
                <w:sz w:val="24"/>
                <w:szCs w:val="24"/>
              </w:rPr>
            </w:pPr>
            <w:r w:rsidRPr="00565975">
              <w:rPr>
                <w:rFonts w:hint="eastAsia"/>
                <w:sz w:val="24"/>
                <w:szCs w:val="24"/>
              </w:rPr>
              <w:t>P</w:t>
            </w:r>
            <w:r w:rsidRPr="00565975">
              <w:rPr>
                <w:sz w:val="24"/>
                <w:szCs w:val="24"/>
              </w:rPr>
              <w:t>CA</w:t>
            </w:r>
          </w:p>
        </w:tc>
        <w:tc>
          <w:tcPr>
            <w:tcW w:w="1715" w:type="dxa"/>
            <w:vAlign w:val="center"/>
          </w:tcPr>
          <w:p w14:paraId="7736FBD7"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.966±0.02</w:t>
            </w:r>
          </w:p>
        </w:tc>
        <w:tc>
          <w:tcPr>
            <w:tcW w:w="1715" w:type="dxa"/>
            <w:vAlign w:val="center"/>
          </w:tcPr>
          <w:p w14:paraId="13686523"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.697±0.08</w:t>
            </w:r>
          </w:p>
        </w:tc>
        <w:tc>
          <w:tcPr>
            <w:tcW w:w="1150" w:type="dxa"/>
            <w:vAlign w:val="center"/>
          </w:tcPr>
          <w:p w14:paraId="26FCB746"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.001</w:t>
            </w:r>
          </w:p>
        </w:tc>
        <w:tc>
          <w:tcPr>
            <w:tcW w:w="1715" w:type="dxa"/>
            <w:vAlign w:val="center"/>
          </w:tcPr>
          <w:p w14:paraId="480FBDD0"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.954±0.02</w:t>
            </w:r>
          </w:p>
        </w:tc>
        <w:tc>
          <w:tcPr>
            <w:tcW w:w="1715" w:type="dxa"/>
            <w:vAlign w:val="center"/>
          </w:tcPr>
          <w:p w14:paraId="1EF1B60C"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.851±0.06</w:t>
            </w:r>
          </w:p>
        </w:tc>
        <w:tc>
          <w:tcPr>
            <w:tcW w:w="1150" w:type="dxa"/>
            <w:vAlign w:val="center"/>
          </w:tcPr>
          <w:p w14:paraId="39E1A9E6"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.09</w:t>
            </w:r>
          </w:p>
        </w:tc>
      </w:tr>
      <w:tr w:rsidR="00565975" w:rsidRPr="00565975" w14:paraId="42ED0EB6" w14:textId="77777777" w:rsidTr="00565975">
        <w:trPr>
          <w:trHeight w:val="142"/>
          <w:jc w:val="center"/>
        </w:trPr>
        <w:tc>
          <w:tcPr>
            <w:tcW w:w="1157" w:type="dxa"/>
            <w:vAlign w:val="center"/>
          </w:tcPr>
          <w:p w14:paraId="2473104C" w14:textId="77777777" w:rsidR="00565975" w:rsidRPr="00565975" w:rsidRDefault="00565975" w:rsidP="00565975">
            <w:pPr>
              <w:widowControl/>
              <w:spacing w:line="360" w:lineRule="auto"/>
              <w:rPr>
                <w:sz w:val="24"/>
                <w:szCs w:val="24"/>
              </w:rPr>
            </w:pPr>
            <w:r w:rsidRPr="00565975">
              <w:rPr>
                <w:rFonts w:hint="eastAsia"/>
                <w:sz w:val="24"/>
                <w:szCs w:val="24"/>
              </w:rPr>
              <w:t>A</w:t>
            </w:r>
            <w:r w:rsidRPr="00565975">
              <w:rPr>
                <w:sz w:val="24"/>
                <w:szCs w:val="24"/>
              </w:rPr>
              <w:t>CA</w:t>
            </w:r>
          </w:p>
        </w:tc>
        <w:tc>
          <w:tcPr>
            <w:tcW w:w="1715" w:type="dxa"/>
            <w:vAlign w:val="center"/>
          </w:tcPr>
          <w:p w14:paraId="6D44F16C"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.938±0.03</w:t>
            </w:r>
          </w:p>
        </w:tc>
        <w:tc>
          <w:tcPr>
            <w:tcW w:w="1715" w:type="dxa"/>
            <w:vAlign w:val="center"/>
          </w:tcPr>
          <w:p w14:paraId="08EEB6D2"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.714±0.08</w:t>
            </w:r>
          </w:p>
        </w:tc>
        <w:tc>
          <w:tcPr>
            <w:tcW w:w="1150" w:type="dxa"/>
            <w:vAlign w:val="center"/>
          </w:tcPr>
          <w:p w14:paraId="48E8500F"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.005</w:t>
            </w:r>
          </w:p>
        </w:tc>
        <w:tc>
          <w:tcPr>
            <w:tcW w:w="1715" w:type="dxa"/>
            <w:vAlign w:val="center"/>
          </w:tcPr>
          <w:p w14:paraId="13542B04"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.901±0.05</w:t>
            </w:r>
          </w:p>
        </w:tc>
        <w:tc>
          <w:tcPr>
            <w:tcW w:w="1715" w:type="dxa"/>
            <w:vAlign w:val="center"/>
          </w:tcPr>
          <w:p w14:paraId="1F02EA95"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.677±0.08</w:t>
            </w:r>
          </w:p>
        </w:tc>
        <w:tc>
          <w:tcPr>
            <w:tcW w:w="1150" w:type="dxa"/>
            <w:vAlign w:val="center"/>
          </w:tcPr>
          <w:p w14:paraId="4DEE1D76"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.006</w:t>
            </w:r>
          </w:p>
        </w:tc>
      </w:tr>
      <w:tr w:rsidR="00565975" w:rsidRPr="00565975" w14:paraId="53C9078C" w14:textId="77777777" w:rsidTr="00565975">
        <w:trPr>
          <w:trHeight w:val="142"/>
          <w:jc w:val="center"/>
        </w:trPr>
        <w:tc>
          <w:tcPr>
            <w:tcW w:w="1157" w:type="dxa"/>
            <w:vAlign w:val="center"/>
          </w:tcPr>
          <w:p w14:paraId="1B5A239A" w14:textId="77777777" w:rsidR="00565975" w:rsidRPr="00565975" w:rsidRDefault="00565975" w:rsidP="00565975">
            <w:pPr>
              <w:widowControl/>
              <w:spacing w:line="360" w:lineRule="auto"/>
              <w:rPr>
                <w:sz w:val="24"/>
                <w:szCs w:val="24"/>
              </w:rPr>
            </w:pPr>
            <w:r w:rsidRPr="00565975">
              <w:rPr>
                <w:rFonts w:hint="eastAsia"/>
                <w:sz w:val="24"/>
                <w:szCs w:val="24"/>
              </w:rPr>
              <w:t>B</w:t>
            </w:r>
            <w:r w:rsidRPr="00565975">
              <w:rPr>
                <w:sz w:val="24"/>
                <w:szCs w:val="24"/>
              </w:rPr>
              <w:t>A</w:t>
            </w:r>
          </w:p>
        </w:tc>
        <w:tc>
          <w:tcPr>
            <w:tcW w:w="1715" w:type="dxa"/>
            <w:vAlign w:val="center"/>
          </w:tcPr>
          <w:p w14:paraId="6C14895C"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.966±0.02</w:t>
            </w:r>
          </w:p>
        </w:tc>
        <w:tc>
          <w:tcPr>
            <w:tcW w:w="1715" w:type="dxa"/>
            <w:vAlign w:val="center"/>
          </w:tcPr>
          <w:p w14:paraId="6AE67406"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.779±0.07</w:t>
            </w:r>
          </w:p>
        </w:tc>
        <w:tc>
          <w:tcPr>
            <w:tcW w:w="1150" w:type="dxa"/>
            <w:vAlign w:val="center"/>
          </w:tcPr>
          <w:p w14:paraId="25FDEFB6"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.019</w:t>
            </w:r>
          </w:p>
        </w:tc>
        <w:tc>
          <w:tcPr>
            <w:tcW w:w="1715" w:type="dxa"/>
            <w:vAlign w:val="center"/>
          </w:tcPr>
          <w:p w14:paraId="19E1D164"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.923±0.04</w:t>
            </w:r>
          </w:p>
        </w:tc>
        <w:tc>
          <w:tcPr>
            <w:tcW w:w="1715" w:type="dxa"/>
            <w:vAlign w:val="center"/>
          </w:tcPr>
          <w:p w14:paraId="072AAC9E"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.692±0.08</w:t>
            </w:r>
          </w:p>
        </w:tc>
        <w:tc>
          <w:tcPr>
            <w:tcW w:w="1150" w:type="dxa"/>
            <w:vAlign w:val="center"/>
          </w:tcPr>
          <w:p w14:paraId="0B2CE139"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.028</w:t>
            </w:r>
          </w:p>
        </w:tc>
      </w:tr>
      <w:tr w:rsidR="00565975" w:rsidRPr="00565975" w14:paraId="6B9781B2" w14:textId="77777777" w:rsidTr="00565975">
        <w:trPr>
          <w:trHeight w:val="142"/>
          <w:jc w:val="center"/>
        </w:trPr>
        <w:tc>
          <w:tcPr>
            <w:tcW w:w="1157" w:type="dxa"/>
            <w:vAlign w:val="center"/>
          </w:tcPr>
          <w:p w14:paraId="62335668" w14:textId="77777777" w:rsidR="00565975" w:rsidRPr="00565975" w:rsidRDefault="00565975" w:rsidP="00565975">
            <w:pPr>
              <w:widowControl/>
              <w:spacing w:line="360" w:lineRule="auto"/>
              <w:rPr>
                <w:sz w:val="24"/>
                <w:szCs w:val="24"/>
              </w:rPr>
            </w:pPr>
            <w:r w:rsidRPr="00565975">
              <w:rPr>
                <w:rFonts w:hint="eastAsia"/>
                <w:sz w:val="24"/>
                <w:szCs w:val="24"/>
              </w:rPr>
              <w:t>C</w:t>
            </w:r>
            <w:r w:rsidRPr="00565975">
              <w:rPr>
                <w:sz w:val="24"/>
                <w:szCs w:val="24"/>
              </w:rPr>
              <w:t>A</w:t>
            </w:r>
          </w:p>
        </w:tc>
        <w:tc>
          <w:tcPr>
            <w:tcW w:w="1715" w:type="dxa"/>
            <w:vAlign w:val="center"/>
          </w:tcPr>
          <w:p w14:paraId="6686B7BC"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.923±0.04</w:t>
            </w:r>
          </w:p>
        </w:tc>
        <w:tc>
          <w:tcPr>
            <w:tcW w:w="1715" w:type="dxa"/>
            <w:vAlign w:val="center"/>
          </w:tcPr>
          <w:p w14:paraId="59438CF9"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.743±0.07</w:t>
            </w:r>
          </w:p>
        </w:tc>
        <w:tc>
          <w:tcPr>
            <w:tcW w:w="1150" w:type="dxa"/>
            <w:vAlign w:val="center"/>
          </w:tcPr>
          <w:p w14:paraId="0F8418F5"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.046</w:t>
            </w:r>
          </w:p>
        </w:tc>
        <w:tc>
          <w:tcPr>
            <w:tcW w:w="1715" w:type="dxa"/>
            <w:vAlign w:val="center"/>
          </w:tcPr>
          <w:p w14:paraId="59BE2314"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.820±0.07</w:t>
            </w:r>
          </w:p>
        </w:tc>
        <w:tc>
          <w:tcPr>
            <w:tcW w:w="1715" w:type="dxa"/>
            <w:vAlign w:val="center"/>
          </w:tcPr>
          <w:p w14:paraId="6E549951"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.828±0.06</w:t>
            </w:r>
          </w:p>
        </w:tc>
        <w:tc>
          <w:tcPr>
            <w:tcW w:w="1150" w:type="dxa"/>
            <w:vAlign w:val="center"/>
          </w:tcPr>
          <w:p w14:paraId="3E8ABD93" w14:textId="77777777" w:rsidR="00565975" w:rsidRPr="00565975" w:rsidRDefault="00565975" w:rsidP="00565975">
            <w:pPr>
              <w:widowControl/>
              <w:spacing w:line="360" w:lineRule="auto"/>
              <w:jc w:val="center"/>
              <w:rPr>
                <w:sz w:val="24"/>
                <w:szCs w:val="24"/>
              </w:rPr>
            </w:pPr>
            <w:r w:rsidRPr="00565975">
              <w:rPr>
                <w:rFonts w:hint="eastAsia"/>
                <w:sz w:val="24"/>
                <w:szCs w:val="24"/>
              </w:rPr>
              <w:t>0</w:t>
            </w:r>
            <w:r w:rsidRPr="00565975">
              <w:rPr>
                <w:sz w:val="24"/>
                <w:szCs w:val="24"/>
              </w:rPr>
              <w:t>.93</w:t>
            </w:r>
          </w:p>
        </w:tc>
      </w:tr>
    </w:tbl>
    <w:p w14:paraId="2E578CF1" w14:textId="77777777" w:rsidR="00565975" w:rsidRPr="00565975" w:rsidRDefault="00565975" w:rsidP="00565975">
      <w:pPr>
        <w:widowControl/>
        <w:spacing w:line="360" w:lineRule="auto"/>
        <w:rPr>
          <w:bCs/>
          <w:sz w:val="24"/>
          <w:szCs w:val="24"/>
        </w:rPr>
      </w:pPr>
      <w:r w:rsidRPr="00565975">
        <w:rPr>
          <w:rFonts w:hint="eastAsia"/>
          <w:bCs/>
          <w:i/>
          <w:iCs/>
          <w:sz w:val="24"/>
          <w:szCs w:val="24"/>
        </w:rPr>
        <w:t>P</w:t>
      </w:r>
      <w:r w:rsidRPr="00565975">
        <w:rPr>
          <w:bCs/>
          <w:sz w:val="24"/>
          <w:szCs w:val="24"/>
        </w:rPr>
        <w:t xml:space="preserve"> value was derived from DeLong et al test.</w:t>
      </w:r>
    </w:p>
    <w:p w14:paraId="41CDE2E7" w14:textId="77777777" w:rsidR="00565975" w:rsidRPr="00565975" w:rsidRDefault="00565975" w:rsidP="00565975">
      <w:pPr>
        <w:widowControl/>
        <w:spacing w:line="360" w:lineRule="auto"/>
        <w:rPr>
          <w:rFonts w:cstheme="majorBidi"/>
          <w:bCs/>
          <w:sz w:val="24"/>
          <w:szCs w:val="40"/>
        </w:rPr>
      </w:pPr>
    </w:p>
    <w:p w14:paraId="5BEDF2BB" w14:textId="5285CDD1" w:rsidR="004E455F" w:rsidRDefault="004E455F" w:rsidP="004E455F">
      <w:pPr>
        <w:widowControl/>
        <w:jc w:val="left"/>
        <w:rPr>
          <w:b/>
        </w:rPr>
      </w:pPr>
      <w:r>
        <w:rPr>
          <w:b/>
        </w:rPr>
        <w:br w:type="page"/>
      </w:r>
    </w:p>
    <w:p w14:paraId="461BB846" w14:textId="509EFB73" w:rsidR="00135E90" w:rsidRPr="00135E90" w:rsidRDefault="00135E90" w:rsidP="00903B4B">
      <w:pPr>
        <w:spacing w:line="360" w:lineRule="auto"/>
        <w:rPr>
          <w:bCs/>
          <w:sz w:val="24"/>
          <w:szCs w:val="24"/>
        </w:rPr>
      </w:pPr>
      <w:r w:rsidRPr="004A351F">
        <w:rPr>
          <w:rFonts w:hint="eastAsia"/>
          <w:b/>
          <w:sz w:val="24"/>
          <w:szCs w:val="24"/>
        </w:rPr>
        <w:lastRenderedPageBreak/>
        <w:t>F</w:t>
      </w:r>
      <w:r w:rsidRPr="004A351F">
        <w:rPr>
          <w:b/>
          <w:sz w:val="24"/>
          <w:szCs w:val="24"/>
        </w:rPr>
        <w:t>igure S1</w:t>
      </w:r>
      <w:r w:rsidRPr="004A351F">
        <w:rPr>
          <w:bCs/>
          <w:sz w:val="24"/>
          <w:szCs w:val="24"/>
        </w:rPr>
        <w:t>.</w:t>
      </w:r>
      <w:r w:rsidRPr="006B4889">
        <w:rPr>
          <w:bCs/>
          <w:sz w:val="24"/>
          <w:szCs w:val="24"/>
        </w:rPr>
        <w:t xml:space="preserve"> </w:t>
      </w:r>
      <w:r w:rsidRPr="004A351F">
        <w:rPr>
          <w:bCs/>
          <w:sz w:val="24"/>
          <w:szCs w:val="24"/>
        </w:rPr>
        <w:t>The</w:t>
      </w:r>
      <w:r w:rsidR="009862DC">
        <w:rPr>
          <w:bCs/>
          <w:sz w:val="24"/>
          <w:szCs w:val="24"/>
        </w:rPr>
        <w:t xml:space="preserve"> </w:t>
      </w:r>
      <w:r w:rsidR="009862DC" w:rsidRPr="009862DC">
        <w:rPr>
          <w:bCs/>
          <w:sz w:val="24"/>
          <w:szCs w:val="24"/>
        </w:rPr>
        <w:t>PET/MR data acquisition</w:t>
      </w:r>
      <w:r w:rsidRPr="004A351F">
        <w:rPr>
          <w:bCs/>
          <w:sz w:val="24"/>
          <w:szCs w:val="24"/>
        </w:rPr>
        <w:t>.</w:t>
      </w:r>
    </w:p>
    <w:p w14:paraId="4713430F" w14:textId="754729CE" w:rsidR="00135E90" w:rsidRDefault="00135E90" w:rsidP="00903B4B">
      <w:pPr>
        <w:spacing w:line="360" w:lineRule="auto"/>
        <w:rPr>
          <w:b/>
          <w:sz w:val="24"/>
          <w:szCs w:val="24"/>
        </w:rPr>
      </w:pPr>
      <w:r>
        <w:rPr>
          <w:noProof/>
        </w:rPr>
        <w:drawing>
          <wp:inline distT="0" distB="0" distL="0" distR="0" wp14:anchorId="18D99D66" wp14:editId="49F27389">
            <wp:extent cx="6288247" cy="1482436"/>
            <wp:effectExtent l="0" t="0" r="0" b="3810"/>
            <wp:docPr id="2" name="图片 2" descr="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日程表&#10;&#10;描述已自动生成"/>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5720" cy="1491270"/>
                    </a:xfrm>
                    <a:prstGeom prst="rect">
                      <a:avLst/>
                    </a:prstGeom>
                    <a:noFill/>
                    <a:ln>
                      <a:noFill/>
                    </a:ln>
                  </pic:spPr>
                </pic:pic>
              </a:graphicData>
            </a:graphic>
          </wp:inline>
        </w:drawing>
      </w:r>
    </w:p>
    <w:p w14:paraId="6507237A" w14:textId="353010CF" w:rsidR="00E1557C" w:rsidRPr="004A351F" w:rsidRDefault="006C76C1" w:rsidP="00903B4B">
      <w:pPr>
        <w:spacing w:line="360" w:lineRule="auto"/>
        <w:rPr>
          <w:bCs/>
          <w:sz w:val="24"/>
          <w:szCs w:val="24"/>
        </w:rPr>
      </w:pPr>
      <w:r w:rsidRPr="004A351F">
        <w:rPr>
          <w:rFonts w:hint="eastAsia"/>
          <w:b/>
          <w:sz w:val="24"/>
          <w:szCs w:val="24"/>
        </w:rPr>
        <w:t>F</w:t>
      </w:r>
      <w:r w:rsidRPr="004A351F">
        <w:rPr>
          <w:b/>
          <w:sz w:val="24"/>
          <w:szCs w:val="24"/>
        </w:rPr>
        <w:t>igure S</w:t>
      </w:r>
      <w:r w:rsidR="009862DC">
        <w:rPr>
          <w:b/>
          <w:sz w:val="24"/>
          <w:szCs w:val="24"/>
        </w:rPr>
        <w:t>2</w:t>
      </w:r>
      <w:r w:rsidRPr="004A351F">
        <w:rPr>
          <w:bCs/>
          <w:sz w:val="24"/>
          <w:szCs w:val="24"/>
        </w:rPr>
        <w:t>.</w:t>
      </w:r>
      <w:r w:rsidR="006B4889" w:rsidRPr="006B4889">
        <w:rPr>
          <w:bCs/>
          <w:sz w:val="24"/>
          <w:szCs w:val="24"/>
        </w:rPr>
        <w:t xml:space="preserve"> </w:t>
      </w:r>
      <w:r w:rsidR="006B4889" w:rsidRPr="004A351F">
        <w:rPr>
          <w:bCs/>
          <w:sz w:val="24"/>
          <w:szCs w:val="24"/>
        </w:rPr>
        <w:t>The supratentorial cerebral arterial territories were overlapped on T1-MRI image at the Montreal Neurological Institute space.</w:t>
      </w:r>
    </w:p>
    <w:p w14:paraId="22BA9589" w14:textId="77777777" w:rsidR="004A351F" w:rsidRPr="004A351F" w:rsidRDefault="004A351F" w:rsidP="006C76C1">
      <w:pPr>
        <w:jc w:val="center"/>
        <w:rPr>
          <w:bCs/>
        </w:rPr>
      </w:pPr>
      <w:r w:rsidRPr="004A351F">
        <w:rPr>
          <w:bCs/>
          <w:noProof/>
        </w:rPr>
        <w:drawing>
          <wp:inline distT="0" distB="0" distL="0" distR="0" wp14:anchorId="2062F6FE" wp14:editId="246EC707">
            <wp:extent cx="6137564" cy="4841709"/>
            <wp:effectExtent l="0" t="0" r="0" b="0"/>
            <wp:docPr id="3" name="图片 3" descr="一群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一群卡通人物&#10;&#10;低可信度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14861" cy="4902686"/>
                    </a:xfrm>
                    <a:prstGeom prst="rect">
                      <a:avLst/>
                    </a:prstGeom>
                    <a:noFill/>
                    <a:ln>
                      <a:noFill/>
                    </a:ln>
                  </pic:spPr>
                </pic:pic>
              </a:graphicData>
            </a:graphic>
          </wp:inline>
        </w:drawing>
      </w:r>
    </w:p>
    <w:p w14:paraId="171F6F65" w14:textId="2FB9C6D5" w:rsidR="004A351F" w:rsidRDefault="004A351F" w:rsidP="004A351F">
      <w:pPr>
        <w:rPr>
          <w:b/>
        </w:rPr>
      </w:pPr>
    </w:p>
    <w:p w14:paraId="050DB4A5" w14:textId="79D7DA8E" w:rsidR="00514C4B" w:rsidRDefault="00514C4B">
      <w:pPr>
        <w:widowControl/>
        <w:jc w:val="left"/>
        <w:rPr>
          <w:b/>
        </w:rPr>
      </w:pPr>
      <w:r>
        <w:rPr>
          <w:b/>
        </w:rPr>
        <w:br w:type="page"/>
      </w:r>
    </w:p>
    <w:p w14:paraId="68E877C3" w14:textId="27DF0FC3" w:rsidR="00514C4B" w:rsidRPr="004A351F" w:rsidRDefault="00514C4B" w:rsidP="00903B4B">
      <w:pPr>
        <w:spacing w:line="360" w:lineRule="auto"/>
        <w:rPr>
          <w:b/>
        </w:rPr>
      </w:pPr>
      <w:r w:rsidRPr="004A351F">
        <w:rPr>
          <w:rFonts w:hint="eastAsia"/>
          <w:b/>
          <w:sz w:val="24"/>
          <w:szCs w:val="28"/>
        </w:rPr>
        <w:lastRenderedPageBreak/>
        <w:t>F</w:t>
      </w:r>
      <w:r w:rsidRPr="004A351F">
        <w:rPr>
          <w:b/>
          <w:sz w:val="24"/>
          <w:szCs w:val="28"/>
        </w:rPr>
        <w:t>igure S</w:t>
      </w:r>
      <w:r w:rsidR="009862DC">
        <w:rPr>
          <w:b/>
          <w:sz w:val="24"/>
          <w:szCs w:val="28"/>
        </w:rPr>
        <w:t>3</w:t>
      </w:r>
      <w:r w:rsidRPr="004A351F">
        <w:rPr>
          <w:bCs/>
          <w:sz w:val="24"/>
          <w:szCs w:val="28"/>
        </w:rPr>
        <w:t>. The bilateral (left) and unilateral (right) petrous ICA masks derived from a representative healthy control (M, 60 y) and a ICVD patient (M, 43 y).</w:t>
      </w:r>
    </w:p>
    <w:p w14:paraId="130BD1C1" w14:textId="7320B0ED" w:rsidR="00903B4B" w:rsidRDefault="004A351F" w:rsidP="00AE2658">
      <w:pPr>
        <w:jc w:val="center"/>
        <w:rPr>
          <w:bCs/>
        </w:rPr>
      </w:pPr>
      <w:r w:rsidRPr="004A351F">
        <w:rPr>
          <w:bCs/>
          <w:noProof/>
        </w:rPr>
        <w:drawing>
          <wp:inline distT="0" distB="0" distL="0" distR="0" wp14:anchorId="10F1057B" wp14:editId="0807DEEE">
            <wp:extent cx="3206611" cy="3460750"/>
            <wp:effectExtent l="0" t="0" r="0" b="6350"/>
            <wp:docPr id="8" name="图片 8" descr="图片包含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包含 日历&#10;&#10;描述已自动生成"/>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4312" cy="3490647"/>
                    </a:xfrm>
                    <a:prstGeom prst="rect">
                      <a:avLst/>
                    </a:prstGeom>
                    <a:noFill/>
                    <a:ln>
                      <a:noFill/>
                    </a:ln>
                  </pic:spPr>
                </pic:pic>
              </a:graphicData>
            </a:graphic>
          </wp:inline>
        </w:drawing>
      </w:r>
    </w:p>
    <w:p w14:paraId="483064B7" w14:textId="03949AA0" w:rsidR="00AE2658" w:rsidRDefault="00AE2658" w:rsidP="00AE2658">
      <w:pPr>
        <w:jc w:val="center"/>
        <w:rPr>
          <w:bCs/>
        </w:rPr>
      </w:pPr>
    </w:p>
    <w:p w14:paraId="76FC8CF1" w14:textId="77777777" w:rsidR="00AE2658" w:rsidRDefault="00AE2658" w:rsidP="00AE2658">
      <w:pPr>
        <w:jc w:val="center"/>
        <w:rPr>
          <w:bCs/>
        </w:rPr>
      </w:pPr>
    </w:p>
    <w:p w14:paraId="469AEA0F" w14:textId="600A32AA" w:rsidR="00903B4B" w:rsidRPr="00220BCC" w:rsidRDefault="00903B4B" w:rsidP="00220BCC">
      <w:pPr>
        <w:spacing w:line="360" w:lineRule="auto"/>
        <w:rPr>
          <w:bCs/>
          <w:sz w:val="24"/>
          <w:szCs w:val="28"/>
        </w:rPr>
      </w:pPr>
      <w:r w:rsidRPr="004A351F">
        <w:rPr>
          <w:rFonts w:hint="eastAsia"/>
          <w:b/>
          <w:sz w:val="24"/>
          <w:szCs w:val="28"/>
        </w:rPr>
        <w:t>F</w:t>
      </w:r>
      <w:r w:rsidRPr="004A351F">
        <w:rPr>
          <w:b/>
          <w:sz w:val="24"/>
          <w:szCs w:val="28"/>
        </w:rPr>
        <w:t>igure S</w:t>
      </w:r>
      <w:r w:rsidR="009862DC">
        <w:rPr>
          <w:b/>
          <w:sz w:val="24"/>
          <w:szCs w:val="28"/>
        </w:rPr>
        <w:t>4</w:t>
      </w:r>
      <w:r w:rsidRPr="004A351F">
        <w:rPr>
          <w:bCs/>
          <w:sz w:val="24"/>
          <w:szCs w:val="28"/>
        </w:rPr>
        <w:t>. The raw and PVE-corrected IDIF curve from a representative healthy control (M, 60 y) and a ICVD patient (M, 43 y).</w:t>
      </w:r>
    </w:p>
    <w:p w14:paraId="328520F4" w14:textId="77777777" w:rsidR="004A351F" w:rsidRPr="004A351F" w:rsidRDefault="004A351F" w:rsidP="004A351F">
      <w:pPr>
        <w:rPr>
          <w:bCs/>
        </w:rPr>
      </w:pPr>
      <w:r w:rsidRPr="004A351F">
        <w:rPr>
          <w:bCs/>
          <w:noProof/>
        </w:rPr>
        <w:drawing>
          <wp:inline distT="0" distB="0" distL="0" distR="0" wp14:anchorId="0D539DF5" wp14:editId="630AFDF8">
            <wp:extent cx="6587836" cy="2035392"/>
            <wp:effectExtent l="0" t="0" r="3810" b="3175"/>
            <wp:docPr id="7" name="图片 7"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直方图&#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11298" cy="2042641"/>
                    </a:xfrm>
                    <a:prstGeom prst="rect">
                      <a:avLst/>
                    </a:prstGeom>
                    <a:noFill/>
                    <a:ln>
                      <a:noFill/>
                    </a:ln>
                  </pic:spPr>
                </pic:pic>
              </a:graphicData>
            </a:graphic>
          </wp:inline>
        </w:drawing>
      </w:r>
    </w:p>
    <w:p w14:paraId="4C393E81" w14:textId="58AEF7CB" w:rsidR="00492B70" w:rsidRDefault="00492B70"/>
    <w:p w14:paraId="4B650934" w14:textId="52D5798F" w:rsidR="00F84344" w:rsidRDefault="00F84344">
      <w:pPr>
        <w:widowControl/>
        <w:jc w:val="left"/>
      </w:pPr>
      <w:r>
        <w:br w:type="page"/>
      </w:r>
    </w:p>
    <w:p w14:paraId="02C77387" w14:textId="680A88B2" w:rsidR="00F413B2" w:rsidRPr="00F413B2" w:rsidRDefault="00F413B2" w:rsidP="00F413B2">
      <w:pPr>
        <w:spacing w:line="360" w:lineRule="auto"/>
        <w:rPr>
          <w:b/>
          <w:sz w:val="24"/>
          <w:szCs w:val="28"/>
        </w:rPr>
      </w:pPr>
      <w:r w:rsidRPr="00F413B2">
        <w:rPr>
          <w:rFonts w:hint="eastAsia"/>
          <w:b/>
          <w:sz w:val="24"/>
          <w:szCs w:val="28"/>
        </w:rPr>
        <w:lastRenderedPageBreak/>
        <w:t>Figure</w:t>
      </w:r>
      <w:r w:rsidRPr="00F413B2">
        <w:rPr>
          <w:b/>
          <w:sz w:val="24"/>
          <w:szCs w:val="28"/>
        </w:rPr>
        <w:t xml:space="preserve"> S</w:t>
      </w:r>
      <w:r w:rsidR="009862DC">
        <w:rPr>
          <w:b/>
          <w:sz w:val="24"/>
          <w:szCs w:val="28"/>
        </w:rPr>
        <w:t>5</w:t>
      </w:r>
      <w:r w:rsidRPr="00F413B2">
        <w:rPr>
          <w:b/>
          <w:sz w:val="24"/>
          <w:szCs w:val="28"/>
        </w:rPr>
        <w:t xml:space="preserve">. </w:t>
      </w:r>
      <w:r w:rsidRPr="00F413B2">
        <w:rPr>
          <w:bCs/>
          <w:sz w:val="24"/>
          <w:szCs w:val="28"/>
        </w:rPr>
        <w:t>Bland-Altman plot of cerebral arterial territories (anterior, middle, and posterior cerebral artery (ACA, MCA, and PCA), basilar artery (BA), and cerebellar artery (CA) territory) demonstrates close agreement for CMRGlc values from unilateral and bilateral IDIF.</w:t>
      </w:r>
    </w:p>
    <w:p w14:paraId="14EC039A" w14:textId="2646BCD8" w:rsidR="00F84344" w:rsidRDefault="00F413B2" w:rsidP="00AE2658">
      <w:pPr>
        <w:widowControl/>
        <w:jc w:val="center"/>
      </w:pPr>
      <w:r>
        <w:rPr>
          <w:noProof/>
        </w:rPr>
        <w:drawing>
          <wp:inline distT="0" distB="0" distL="0" distR="0" wp14:anchorId="5A7610AA" wp14:editId="76554EF3">
            <wp:extent cx="6192520" cy="7541895"/>
            <wp:effectExtent l="0" t="0" r="0" b="1905"/>
            <wp:docPr id="5" name="图片 5"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示, 工程绘图&#10;&#10;描述已自动生成"/>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2520" cy="7541895"/>
                    </a:xfrm>
                    <a:prstGeom prst="rect">
                      <a:avLst/>
                    </a:prstGeom>
                    <a:noFill/>
                    <a:ln>
                      <a:noFill/>
                    </a:ln>
                  </pic:spPr>
                </pic:pic>
              </a:graphicData>
            </a:graphic>
          </wp:inline>
        </w:drawing>
      </w:r>
    </w:p>
    <w:p w14:paraId="64CF7072" w14:textId="43D9C875" w:rsidR="000F1DDB" w:rsidRDefault="00F84344" w:rsidP="00F84344">
      <w:pPr>
        <w:widowControl/>
        <w:jc w:val="left"/>
      </w:pPr>
      <w:r>
        <w:br w:type="page"/>
      </w:r>
    </w:p>
    <w:p w14:paraId="50DCEB44" w14:textId="67C492C2" w:rsidR="00A17367" w:rsidRDefault="00E31209" w:rsidP="00E31209">
      <w:pPr>
        <w:spacing w:line="360" w:lineRule="auto"/>
        <w:rPr>
          <w:bCs/>
          <w:sz w:val="24"/>
          <w:szCs w:val="28"/>
        </w:rPr>
      </w:pPr>
      <w:r w:rsidRPr="00E31209">
        <w:rPr>
          <w:b/>
          <w:sz w:val="24"/>
          <w:szCs w:val="28"/>
        </w:rPr>
        <w:lastRenderedPageBreak/>
        <w:t xml:space="preserve">Figure </w:t>
      </w:r>
      <w:r>
        <w:rPr>
          <w:b/>
          <w:sz w:val="24"/>
          <w:szCs w:val="28"/>
        </w:rPr>
        <w:t>S</w:t>
      </w:r>
      <w:r w:rsidR="009862DC">
        <w:rPr>
          <w:b/>
          <w:sz w:val="24"/>
          <w:szCs w:val="28"/>
        </w:rPr>
        <w:t>6</w:t>
      </w:r>
      <w:r w:rsidRPr="00E31209">
        <w:rPr>
          <w:b/>
          <w:sz w:val="24"/>
          <w:szCs w:val="28"/>
        </w:rPr>
        <w:t xml:space="preserve">. </w:t>
      </w:r>
      <w:r w:rsidRPr="00E31209">
        <w:rPr>
          <w:bCs/>
          <w:sz w:val="24"/>
          <w:szCs w:val="28"/>
        </w:rPr>
        <w:t xml:space="preserve">The relationship between </w:t>
      </w:r>
      <w:r>
        <w:rPr>
          <w:bCs/>
          <w:sz w:val="24"/>
          <w:szCs w:val="28"/>
        </w:rPr>
        <w:t>mRS</w:t>
      </w:r>
      <w:r w:rsidRPr="00E31209">
        <w:rPr>
          <w:bCs/>
          <w:sz w:val="24"/>
          <w:szCs w:val="28"/>
        </w:rPr>
        <w:t xml:space="preserve"> score and CMRGlc values and SUVR</w:t>
      </w:r>
      <w:r w:rsidR="00F031D4">
        <w:rPr>
          <w:bCs/>
          <w:sz w:val="24"/>
          <w:szCs w:val="28"/>
        </w:rPr>
        <w:t>.</w:t>
      </w:r>
    </w:p>
    <w:p w14:paraId="2F8EE631" w14:textId="29D83DB8" w:rsidR="00F031D4" w:rsidRPr="00E31209" w:rsidRDefault="00F031D4" w:rsidP="00E31209">
      <w:pPr>
        <w:spacing w:line="360" w:lineRule="auto"/>
        <w:rPr>
          <w:b/>
          <w:sz w:val="24"/>
          <w:szCs w:val="28"/>
        </w:rPr>
      </w:pPr>
    </w:p>
    <w:p w14:paraId="4BC1849A" w14:textId="4741EDE4" w:rsidR="00A17367" w:rsidRDefault="00A17367" w:rsidP="00AE2658">
      <w:pPr>
        <w:jc w:val="center"/>
      </w:pPr>
      <w:r>
        <w:rPr>
          <w:noProof/>
        </w:rPr>
        <w:drawing>
          <wp:inline distT="0" distB="0" distL="0" distR="0" wp14:anchorId="205FD6E4" wp14:editId="7BD489FC">
            <wp:extent cx="6192520" cy="2131060"/>
            <wp:effectExtent l="0" t="0" r="0" b="254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92520" cy="2131060"/>
                    </a:xfrm>
                    <a:prstGeom prst="rect">
                      <a:avLst/>
                    </a:prstGeom>
                    <a:noFill/>
                    <a:ln>
                      <a:noFill/>
                    </a:ln>
                  </pic:spPr>
                </pic:pic>
              </a:graphicData>
            </a:graphic>
          </wp:inline>
        </w:drawing>
      </w:r>
    </w:p>
    <w:p w14:paraId="71F238E8" w14:textId="3882B294" w:rsidR="001F655A" w:rsidRDefault="001F655A">
      <w:pPr>
        <w:widowControl/>
        <w:jc w:val="left"/>
      </w:pPr>
    </w:p>
    <w:p w14:paraId="21128118" w14:textId="2C583993" w:rsidR="001F655A" w:rsidRDefault="001F655A">
      <w:r>
        <w:t>Reference</w:t>
      </w:r>
    </w:p>
    <w:p w14:paraId="16B0A384" w14:textId="77777777" w:rsidR="009B38E9" w:rsidRPr="009B38E9" w:rsidRDefault="00385A97" w:rsidP="009B38E9">
      <w:pPr>
        <w:pStyle w:val="EndNoteBibliography"/>
      </w:pPr>
      <w:r>
        <w:fldChar w:fldCharType="begin"/>
      </w:r>
      <w:r>
        <w:instrText xml:space="preserve"> ADDIN EN.REFLIST </w:instrText>
      </w:r>
      <w:r>
        <w:fldChar w:fldCharType="separate"/>
      </w:r>
      <w:r w:rsidR="009B38E9" w:rsidRPr="009B38E9">
        <w:rPr>
          <w:b/>
        </w:rPr>
        <w:t>1.</w:t>
      </w:r>
      <w:r w:rsidR="009B38E9" w:rsidRPr="009B38E9">
        <w:tab/>
        <w:t xml:space="preserve">Müller-Gärtner HW, Links JM, Prince JL, et al. Measurement of radiotracer concentration in brain gray matter using positron emission tomography: MRI-based correction for partial volume effects. </w:t>
      </w:r>
      <w:r w:rsidR="009B38E9" w:rsidRPr="009B38E9">
        <w:rPr>
          <w:i/>
        </w:rPr>
        <w:t xml:space="preserve">J Cereb Blood Flow Metab. </w:t>
      </w:r>
      <w:r w:rsidR="009B38E9" w:rsidRPr="009B38E9">
        <w:t>1992;12:571-583.</w:t>
      </w:r>
    </w:p>
    <w:p w14:paraId="1D38E2E3" w14:textId="77777777" w:rsidR="009B38E9" w:rsidRPr="009B38E9" w:rsidRDefault="009B38E9" w:rsidP="009B38E9">
      <w:pPr>
        <w:pStyle w:val="EndNoteBibliography"/>
      </w:pPr>
    </w:p>
    <w:p w14:paraId="77C62FFA" w14:textId="77777777" w:rsidR="009B38E9" w:rsidRPr="009B38E9" w:rsidRDefault="009B38E9" w:rsidP="009B38E9">
      <w:pPr>
        <w:pStyle w:val="EndNoteBibliography"/>
      </w:pPr>
      <w:r w:rsidRPr="009B38E9">
        <w:rPr>
          <w:b/>
        </w:rPr>
        <w:t>2.</w:t>
      </w:r>
      <w:r w:rsidRPr="009B38E9">
        <w:tab/>
        <w:t xml:space="preserve">Sundar LK, Muzik O, Rischka L, et al. Towards quantitative [18F]FDG-PET/MRI of the brain: Automated MR-driven calculation of an image-derived input function for the non-invasive determination of cerebral glucose metabolic rates. </w:t>
      </w:r>
      <w:r w:rsidRPr="009B38E9">
        <w:rPr>
          <w:i/>
        </w:rPr>
        <w:t xml:space="preserve">J Cereb Blood Flow Metab. </w:t>
      </w:r>
      <w:r w:rsidRPr="009B38E9">
        <w:t>2019;39:1516-1530.</w:t>
      </w:r>
    </w:p>
    <w:p w14:paraId="65FBFE44" w14:textId="77777777" w:rsidR="009B38E9" w:rsidRPr="009B38E9" w:rsidRDefault="009B38E9" w:rsidP="009B38E9">
      <w:pPr>
        <w:pStyle w:val="EndNoteBibliography"/>
      </w:pPr>
    </w:p>
    <w:p w14:paraId="02841AD0" w14:textId="77777777" w:rsidR="009B38E9" w:rsidRPr="009B38E9" w:rsidRDefault="009B38E9" w:rsidP="009B38E9">
      <w:pPr>
        <w:pStyle w:val="EndNoteBibliography"/>
      </w:pPr>
      <w:r w:rsidRPr="009B38E9">
        <w:rPr>
          <w:b/>
        </w:rPr>
        <w:t>3.</w:t>
      </w:r>
      <w:r w:rsidRPr="009B38E9">
        <w:tab/>
        <w:t xml:space="preserve">Shiyam Sundar LK, Muzik O, Rischka L, et al. Promise of Fully Integrated PET/MRI: Noninvasive Clinical Quantification of Cerebral Glucose Metabolism. </w:t>
      </w:r>
      <w:r w:rsidRPr="009B38E9">
        <w:rPr>
          <w:i/>
        </w:rPr>
        <w:t xml:space="preserve">J Nucl Med. </w:t>
      </w:r>
      <w:r w:rsidRPr="009B38E9">
        <w:t>2020;61:276-284.</w:t>
      </w:r>
    </w:p>
    <w:p w14:paraId="622E3363" w14:textId="77777777" w:rsidR="009B38E9" w:rsidRPr="009B38E9" w:rsidRDefault="009B38E9" w:rsidP="009B38E9">
      <w:pPr>
        <w:pStyle w:val="EndNoteBibliography"/>
      </w:pPr>
    </w:p>
    <w:p w14:paraId="558E5926" w14:textId="77777777" w:rsidR="009B38E9" w:rsidRPr="009B38E9" w:rsidRDefault="009B38E9" w:rsidP="009B38E9">
      <w:pPr>
        <w:pStyle w:val="EndNoteBibliography"/>
      </w:pPr>
      <w:r w:rsidRPr="009B38E9">
        <w:rPr>
          <w:b/>
        </w:rPr>
        <w:t>4.</w:t>
      </w:r>
      <w:r w:rsidRPr="009B38E9">
        <w:tab/>
        <w:t xml:space="preserve">Patlak CS, Blasberg RG. Graphical evaluation of blood-to-brain transfer constants from multiple-time uptake data. Generalizations. </w:t>
      </w:r>
      <w:r w:rsidRPr="009B38E9">
        <w:rPr>
          <w:i/>
        </w:rPr>
        <w:t xml:space="preserve">J Cereb Blood Flow Metab. </w:t>
      </w:r>
      <w:r w:rsidRPr="009B38E9">
        <w:t>1985;5:584-590.</w:t>
      </w:r>
    </w:p>
    <w:p w14:paraId="5E0DFF53" w14:textId="77777777" w:rsidR="009B38E9" w:rsidRPr="009B38E9" w:rsidRDefault="009B38E9" w:rsidP="009B38E9">
      <w:pPr>
        <w:pStyle w:val="EndNoteBibliography"/>
      </w:pPr>
    </w:p>
    <w:p w14:paraId="27F94A16" w14:textId="77777777" w:rsidR="009B38E9" w:rsidRPr="009B38E9" w:rsidRDefault="009B38E9" w:rsidP="009B38E9">
      <w:pPr>
        <w:pStyle w:val="EndNoteBibliography"/>
      </w:pPr>
      <w:r w:rsidRPr="009B38E9">
        <w:rPr>
          <w:b/>
        </w:rPr>
        <w:t>5.</w:t>
      </w:r>
      <w:r w:rsidRPr="009B38E9">
        <w:tab/>
        <w:t xml:space="preserve">Graham MM, Muzi M, Spence AM, et al. The FDG lumped constant in normal human brain. </w:t>
      </w:r>
      <w:r w:rsidRPr="009B38E9">
        <w:rPr>
          <w:i/>
        </w:rPr>
        <w:t xml:space="preserve">J Nucl Med. </w:t>
      </w:r>
      <w:r w:rsidRPr="009B38E9">
        <w:t>2002;43:1157-1166.</w:t>
      </w:r>
    </w:p>
    <w:p w14:paraId="7963EDDE" w14:textId="77777777" w:rsidR="009B38E9" w:rsidRPr="009B38E9" w:rsidRDefault="009B38E9" w:rsidP="009B38E9">
      <w:pPr>
        <w:pStyle w:val="EndNoteBibliography"/>
      </w:pPr>
    </w:p>
    <w:p w14:paraId="4FA597D0" w14:textId="219C0476" w:rsidR="001F655A" w:rsidRPr="004A351F" w:rsidRDefault="00385A97">
      <w:r>
        <w:fldChar w:fldCharType="end"/>
      </w:r>
    </w:p>
    <w:sectPr w:rsidR="001F655A" w:rsidRPr="004A351F" w:rsidSect="00CB5525">
      <w:pgSz w:w="11906" w:h="16838" w:code="9"/>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C2ADE" w14:textId="77777777" w:rsidR="003105FE" w:rsidRDefault="003105FE" w:rsidP="004A351F">
      <w:r>
        <w:separator/>
      </w:r>
    </w:p>
  </w:endnote>
  <w:endnote w:type="continuationSeparator" w:id="0">
    <w:p w14:paraId="2B26A3F9" w14:textId="77777777" w:rsidR="003105FE" w:rsidRDefault="003105FE" w:rsidP="004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FCC81" w14:textId="77777777" w:rsidR="003105FE" w:rsidRDefault="003105FE" w:rsidP="004A351F">
      <w:r>
        <w:separator/>
      </w:r>
    </w:p>
  </w:footnote>
  <w:footnote w:type="continuationSeparator" w:id="0">
    <w:p w14:paraId="3A6DACE5" w14:textId="77777777" w:rsidR="003105FE" w:rsidRDefault="003105FE" w:rsidP="004A35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Nuclear Medicine JNM&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tz0zz58v9wz4eeefppsps2rreaepwap2ep&quot;&gt;wm_paper&lt;record-ids&gt;&lt;item&gt;474&lt;/item&gt;&lt;item&gt;706&lt;/item&gt;&lt;item&gt;708&lt;/item&gt;&lt;item&gt;709&lt;/item&gt;&lt;item&gt;710&lt;/item&gt;&lt;/record-ids&gt;&lt;/item&gt;&lt;/Libraries&gt;"/>
  </w:docVars>
  <w:rsids>
    <w:rsidRoot w:val="001F1CCB"/>
    <w:rsid w:val="000C13CD"/>
    <w:rsid w:val="000F1DDB"/>
    <w:rsid w:val="00135E90"/>
    <w:rsid w:val="00147320"/>
    <w:rsid w:val="001F1CCB"/>
    <w:rsid w:val="001F655A"/>
    <w:rsid w:val="00220BCC"/>
    <w:rsid w:val="002D5FED"/>
    <w:rsid w:val="00303C59"/>
    <w:rsid w:val="003105FE"/>
    <w:rsid w:val="00385A97"/>
    <w:rsid w:val="00397143"/>
    <w:rsid w:val="004370B1"/>
    <w:rsid w:val="004843BC"/>
    <w:rsid w:val="00492B70"/>
    <w:rsid w:val="004A351F"/>
    <w:rsid w:val="004E455F"/>
    <w:rsid w:val="00514C4B"/>
    <w:rsid w:val="00565975"/>
    <w:rsid w:val="005736CC"/>
    <w:rsid w:val="00575E36"/>
    <w:rsid w:val="00590A3B"/>
    <w:rsid w:val="005C3020"/>
    <w:rsid w:val="006215F2"/>
    <w:rsid w:val="00682C79"/>
    <w:rsid w:val="00683A31"/>
    <w:rsid w:val="006B4889"/>
    <w:rsid w:val="006C76C1"/>
    <w:rsid w:val="006E14E8"/>
    <w:rsid w:val="00744F3D"/>
    <w:rsid w:val="00903B4B"/>
    <w:rsid w:val="009862DC"/>
    <w:rsid w:val="009B38E9"/>
    <w:rsid w:val="00A17367"/>
    <w:rsid w:val="00AE2658"/>
    <w:rsid w:val="00CB5525"/>
    <w:rsid w:val="00CD03B6"/>
    <w:rsid w:val="00D11718"/>
    <w:rsid w:val="00D734C9"/>
    <w:rsid w:val="00E1557C"/>
    <w:rsid w:val="00E31209"/>
    <w:rsid w:val="00F031D4"/>
    <w:rsid w:val="00F17E9E"/>
    <w:rsid w:val="00F33F07"/>
    <w:rsid w:val="00F413B2"/>
    <w:rsid w:val="00F84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7E1776"/>
  <w15:chartTrackingRefBased/>
  <w15:docId w15:val="{4ABBFCC0-A8EE-47C4-8213-751E25A03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83A31"/>
    <w:pPr>
      <w:keepNext/>
      <w:keepLines/>
      <w:spacing w:before="240" w:after="120" w:line="360"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3A31"/>
    <w:rPr>
      <w:b/>
      <w:bCs/>
      <w:kern w:val="44"/>
      <w:sz w:val="44"/>
      <w:szCs w:val="44"/>
    </w:rPr>
  </w:style>
  <w:style w:type="table" w:customStyle="1" w:styleId="a3">
    <w:name w:val="三线表"/>
    <w:basedOn w:val="a1"/>
    <w:uiPriority w:val="99"/>
    <w:rsid w:val="002D5FED"/>
    <w:tblPr>
      <w:tblBorders>
        <w:top w:val="single" w:sz="12" w:space="0" w:color="auto"/>
        <w:bottom w:val="single" w:sz="12" w:space="0" w:color="auto"/>
      </w:tblBorders>
    </w:tblPr>
    <w:tblStylePr w:type="firstRow">
      <w:tblPr/>
      <w:tcPr>
        <w:tcBorders>
          <w:bottom w:val="single" w:sz="4" w:space="0" w:color="auto"/>
        </w:tcBorders>
      </w:tcPr>
    </w:tblStylePr>
  </w:style>
  <w:style w:type="paragraph" w:styleId="a4">
    <w:name w:val="header"/>
    <w:basedOn w:val="a"/>
    <w:link w:val="a5"/>
    <w:uiPriority w:val="99"/>
    <w:unhideWhenUsed/>
    <w:rsid w:val="004A351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A351F"/>
    <w:rPr>
      <w:sz w:val="18"/>
      <w:szCs w:val="18"/>
    </w:rPr>
  </w:style>
  <w:style w:type="paragraph" w:styleId="a6">
    <w:name w:val="footer"/>
    <w:basedOn w:val="a"/>
    <w:link w:val="a7"/>
    <w:uiPriority w:val="99"/>
    <w:unhideWhenUsed/>
    <w:rsid w:val="004A351F"/>
    <w:pPr>
      <w:tabs>
        <w:tab w:val="center" w:pos="4153"/>
        <w:tab w:val="right" w:pos="8306"/>
      </w:tabs>
      <w:snapToGrid w:val="0"/>
      <w:jc w:val="left"/>
    </w:pPr>
    <w:rPr>
      <w:sz w:val="18"/>
      <w:szCs w:val="18"/>
    </w:rPr>
  </w:style>
  <w:style w:type="character" w:customStyle="1" w:styleId="a7">
    <w:name w:val="页脚 字符"/>
    <w:basedOn w:val="a0"/>
    <w:link w:val="a6"/>
    <w:uiPriority w:val="99"/>
    <w:rsid w:val="004A351F"/>
    <w:rPr>
      <w:sz w:val="18"/>
      <w:szCs w:val="18"/>
    </w:rPr>
  </w:style>
  <w:style w:type="paragraph" w:customStyle="1" w:styleId="EndNoteBibliographyTitle">
    <w:name w:val="EndNote Bibliography Title"/>
    <w:basedOn w:val="a"/>
    <w:link w:val="EndNoteBibliographyTitle0"/>
    <w:rsid w:val="00385A97"/>
    <w:pPr>
      <w:jc w:val="center"/>
    </w:pPr>
    <w:rPr>
      <w:noProof/>
      <w:sz w:val="20"/>
    </w:rPr>
  </w:style>
  <w:style w:type="character" w:customStyle="1" w:styleId="EndNoteBibliographyTitle0">
    <w:name w:val="EndNote Bibliography Title 字符"/>
    <w:basedOn w:val="a0"/>
    <w:link w:val="EndNoteBibliographyTitle"/>
    <w:rsid w:val="00385A97"/>
    <w:rPr>
      <w:noProof/>
      <w:sz w:val="20"/>
    </w:rPr>
  </w:style>
  <w:style w:type="paragraph" w:customStyle="1" w:styleId="EndNoteBibliography">
    <w:name w:val="EndNote Bibliography"/>
    <w:basedOn w:val="a"/>
    <w:link w:val="EndNoteBibliography0"/>
    <w:rsid w:val="00385A97"/>
    <w:rPr>
      <w:noProof/>
      <w:sz w:val="20"/>
    </w:rPr>
  </w:style>
  <w:style w:type="character" w:customStyle="1" w:styleId="EndNoteBibliography0">
    <w:name w:val="EndNote Bibliography 字符"/>
    <w:basedOn w:val="a0"/>
    <w:link w:val="EndNoteBibliography"/>
    <w:rsid w:val="00385A97"/>
    <w:rPr>
      <w:noProof/>
      <w:sz w:val="20"/>
    </w:rPr>
  </w:style>
  <w:style w:type="table" w:styleId="a8">
    <w:name w:val="Table Grid"/>
    <w:basedOn w:val="a1"/>
    <w:uiPriority w:val="39"/>
    <w:rsid w:val="00565975"/>
    <w:pPr>
      <w:ind w:left="357"/>
      <w:jc w:val="both"/>
    </w:pPr>
    <w:rPr>
      <w:rFonts w:cstheme="majorBidi"/>
      <w:bCs/>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6</Pages>
  <Words>1348</Words>
  <Characters>7688</Characters>
  <Application>Microsoft Office Word</Application>
  <DocSecurity>0</DocSecurity>
  <Lines>64</Lines>
  <Paragraphs>18</Paragraphs>
  <ScaleCrop>false</ScaleCrop>
  <Company/>
  <LinksUpToDate>false</LinksUpToDate>
  <CharactersWithSpaces>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敏</dc:creator>
  <cp:keywords/>
  <dc:description/>
  <cp:lastModifiedBy>敏</cp:lastModifiedBy>
  <cp:revision>20</cp:revision>
  <dcterms:created xsi:type="dcterms:W3CDTF">2021-08-26T08:06:00Z</dcterms:created>
  <dcterms:modified xsi:type="dcterms:W3CDTF">2021-10-05T13:56:00Z</dcterms:modified>
</cp:coreProperties>
</file>